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温州市外办系统</w:t>
      </w:r>
      <w:r>
        <w:rPr>
          <w:rFonts w:ascii="黑体" w:eastAsia="黑体" w:cs="黑体"/>
          <w:spacing w:val="15"/>
          <w:sz w:val="44"/>
          <w:szCs w:val="44"/>
        </w:rPr>
        <w:t>2015</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（一）主要职能</w:t>
      </w:r>
    </w:p>
    <w:p>
      <w:pPr>
        <w:pStyle w:val="10"/>
        <w:spacing w:line="580" w:lineRule="exact"/>
        <w:ind w:firstLine="620"/>
        <w:jc w:val="both"/>
        <w:rPr>
          <w:rFonts w:ascii="仿宋" w:hAnsi="仿宋" w:eastAsia="仿宋" w:cs="黑体"/>
          <w:sz w:val="32"/>
          <w:szCs w:val="32"/>
        </w:rPr>
      </w:pPr>
      <w:r>
        <w:rPr>
          <w:rFonts w:hint="eastAsia" w:ascii="仿宋" w:hAnsi="仿宋" w:eastAsia="仿宋"/>
          <w:sz w:val="32"/>
          <w:szCs w:val="32"/>
        </w:rPr>
        <w:t>市政府外事办公室是主管外事工作的市政府工作部门，挂温州市人民政府港澳事务办公室牌子，温州市人民对外友好协会与其合署办公。</w:t>
      </w:r>
      <w:r>
        <w:rPr>
          <w:rFonts w:hint="eastAsia" w:ascii="仿宋" w:hAnsi="仿宋" w:eastAsia="仿宋" w:cs="黑体"/>
          <w:sz w:val="32"/>
          <w:szCs w:val="32"/>
        </w:rPr>
        <w:t>主要职责如下：</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 xml:space="preserve">1.贯彻执行中央的外事政策、规定以及省、市关于外事工作的决定；研究本市外事工作并提出建议和意见；会同有关部门制定执行有关外事政策的具体措施和办法，并对执行情况进行督促检查。  </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2.归口管理和协调全市外事工作；会同有关部门处理重大外事活动和涉外事项；做好中央、省有关部门需要我市配合的外事工作；指导本市各外事机构的业务工作。</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 xml:space="preserve">3.负责接待应邀来访的外宾和来本市进行公务活动的外国驻华使领馆人员以及来本市采访的外国记者；承担市级领导的对外交往事宜；指导外宾接待工作。   </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4.归口管理各国驻华使领馆官员在温活动；协调我市参加各国驻华使领馆举办的活动；协调处理突发性涉外事件；协助处理温州籍中国公民的海外领事保护工作；协调有关部门做好境外非政府组织在温活动管理工作。</w:t>
      </w:r>
      <w:r>
        <w:rPr>
          <w:rFonts w:hint="eastAsia" w:ascii="仿宋" w:hAnsi="仿宋" w:eastAsia="仿宋" w:cs="宋体"/>
          <w:color w:val="000000"/>
          <w:spacing w:val="-4"/>
          <w:kern w:val="0"/>
          <w:sz w:val="32"/>
          <w:szCs w:val="32"/>
        </w:rPr>
        <w:br w:type="textWrapping"/>
      </w:r>
      <w:r>
        <w:rPr>
          <w:rFonts w:hint="eastAsia" w:ascii="仿宋" w:hAnsi="仿宋" w:eastAsia="仿宋" w:cs="宋体"/>
          <w:color w:val="000000"/>
          <w:spacing w:val="-4"/>
          <w:kern w:val="0"/>
          <w:sz w:val="32"/>
          <w:szCs w:val="32"/>
        </w:rPr>
        <w:t xml:space="preserve">   5.负责全市因公出国和赴港澳人员的审核、审批、报批和管理工作；负责因公出国（境）人员护照（通行证）的颁发与管理以及外国签证的代办工作；负责领事认证工作；督促、协调有关部门对因公出国（境）人员进行外事政策和纪律教育；了解和检查因公出国（境）人员在国（境）外的活动情况和出访结果。</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6.负责我市与外国友好城市、友好交流关系城市的日常联络和发展新友城工作，指导各县（市、区）和市直各部门、单位、团体与国外建立相应友好交流关系。开展我市与世界各国民间友好组织的交流活动。</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7.负责我市与中央人民政府驻港澳联络办、外交部驻港澳特派员公署、驻港澳部队以及港澳特区政府、重要民间团体的联系和接待工作；负责指导和管理我市与香港、澳门因公往来的有关事务。</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8.协助市委外宣部门做好对外宣传和群众性的外事教育工作；提供有关国际形势、对外政策和重大国际问题的宣传材料和对外表态口径；协同审核重要涉外报道。</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9.负责对全市外事干部和涉外人员进行国际形势、对外政策、外事纪律和保密等方面教育；协助纪检监察和有关部门监督、检查外事纪律和保密制度的执行情况，协助处理违反外事纪律和保密规定的重大案件。</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10.归口管理我市民间组织对外友好工作，统筹协调、组织指导我市民间组织的国际交流活动，负责国外重要民间团体、知名人士的联系和接待工作。</w:t>
      </w:r>
    </w:p>
    <w:p>
      <w:pPr>
        <w:widowControl/>
        <w:snapToGrid w:val="0"/>
        <w:spacing w:line="580" w:lineRule="exact"/>
        <w:ind w:firstLine="624" w:firstLineChars="200"/>
        <w:jc w:val="left"/>
        <w:rPr>
          <w:rFonts w:ascii="仿宋" w:hAnsi="仿宋" w:eastAsia="仿宋" w:cs="宋体"/>
          <w:color w:val="000000"/>
          <w:spacing w:val="15"/>
          <w:kern w:val="0"/>
          <w:sz w:val="32"/>
          <w:szCs w:val="32"/>
        </w:rPr>
      </w:pPr>
      <w:r>
        <w:rPr>
          <w:rFonts w:hint="eastAsia" w:ascii="仿宋" w:hAnsi="仿宋" w:eastAsia="仿宋" w:cs="宋体"/>
          <w:color w:val="000000"/>
          <w:spacing w:val="-4"/>
          <w:kern w:val="0"/>
          <w:sz w:val="32"/>
          <w:szCs w:val="32"/>
        </w:rPr>
        <w:t>11.承担市政府交办的其他事项。</w:t>
      </w:r>
    </w:p>
    <w:p>
      <w:pPr>
        <w:autoSpaceDE w:val="0"/>
        <w:autoSpaceDN w:val="0"/>
        <w:adjustRightInd w:val="0"/>
        <w:spacing w:line="560" w:lineRule="exact"/>
        <w:ind w:firstLine="588"/>
        <w:rPr>
          <w:rFonts w:ascii="仿宋" w:hAnsi="Times New Roman" w:eastAsia="仿宋" w:cs="仿宋"/>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2015</w:t>
      </w:r>
      <w:r>
        <w:rPr>
          <w:rFonts w:hint="eastAsia" w:ascii="仿宋" w:hAnsi="Times New Roman" w:eastAsia="仿宋" w:cs="仿宋"/>
          <w:sz w:val="30"/>
          <w:szCs w:val="30"/>
          <w:lang w:val="zh-CN"/>
        </w:rPr>
        <w:t>年度温州市外办系统</w:t>
      </w:r>
      <w:r>
        <w:rPr>
          <w:rFonts w:hint="eastAsia" w:ascii="仿宋" w:hAnsi="Times New Roman" w:eastAsia="仿宋" w:cs="仿宋"/>
          <w:sz w:val="32"/>
          <w:szCs w:val="32"/>
        </w:rPr>
        <w:t>部门决算包括：本级决算及所属1个事业单位决算，具体如下：</w:t>
      </w:r>
    </w:p>
    <w:tbl>
      <w:tblPr>
        <w:tblStyle w:val="4"/>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仿宋" w:hAnsi="Times New Roman" w:eastAsia="仿宋" w:cs="仿宋"/>
                <w:sz w:val="30"/>
                <w:szCs w:val="30"/>
                <w:lang w:val="zh-CN"/>
              </w:rPr>
              <w:t>温州市人民政府外事办公室</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仿宋" w:hAnsi="仿宋" w:eastAsia="仿宋" w:cs="Arial"/>
                <w:color w:val="000000"/>
                <w:kern w:val="0"/>
                <w:sz w:val="30"/>
                <w:szCs w:val="30"/>
              </w:rPr>
            </w:pPr>
            <w:r>
              <w:rPr>
                <w:rFonts w:hint="eastAsia" w:ascii="宋体" w:hAnsi="宋体" w:eastAsia="宋体" w:cs="Arial"/>
                <w:color w:val="000000"/>
                <w:kern w:val="0"/>
                <w:sz w:val="22"/>
              </w:rPr>
              <w:t>　</w:t>
            </w:r>
            <w:r>
              <w:rPr>
                <w:rFonts w:hint="eastAsia" w:ascii="仿宋" w:hAnsi="仿宋" w:eastAsia="仿宋" w:cs="Arial"/>
                <w:color w:val="000000"/>
                <w:kern w:val="0"/>
                <w:sz w:val="30"/>
                <w:szCs w:val="30"/>
              </w:rPr>
              <w:t>温州市国际交流中心</w:t>
            </w:r>
          </w:p>
        </w:tc>
      </w:tr>
    </w:tbl>
    <w:p>
      <w:pPr>
        <w:autoSpaceDE w:val="0"/>
        <w:autoSpaceDN w:val="0"/>
        <w:adjustRightInd w:val="0"/>
        <w:spacing w:line="560" w:lineRule="exact"/>
        <w:rPr>
          <w:rFonts w:ascii="仿宋_GB2312" w:hAnsi="Times New Roman" w:eastAsia="仿宋_GB2312" w:cs="仿宋_GB2312"/>
          <w:sz w:val="32"/>
          <w:szCs w:val="32"/>
        </w:rPr>
      </w:pPr>
    </w:p>
    <w:p>
      <w:pPr>
        <w:autoSpaceDE w:val="0"/>
        <w:autoSpaceDN w:val="0"/>
        <w:adjustRightInd w:val="0"/>
        <w:spacing w:line="560" w:lineRule="exact"/>
        <w:ind w:firstLine="627"/>
        <w:rPr>
          <w:rFonts w:ascii="黑体" w:hAnsi="Times New Roman" w:eastAsia="黑体" w:cs="黑体"/>
          <w:sz w:val="32"/>
          <w:szCs w:val="32"/>
          <w:lang w:val="zh-CN"/>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2015</w:t>
      </w:r>
      <w:r>
        <w:rPr>
          <w:rFonts w:hint="eastAsia" w:ascii="黑体" w:hAnsi="Times New Roman" w:eastAsia="黑体" w:cs="黑体"/>
          <w:sz w:val="32"/>
          <w:szCs w:val="32"/>
          <w:lang w:val="zh-CN"/>
        </w:rPr>
        <w:t>年度部门决算报表</w:t>
      </w: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2015年度部门收支决算总表</w:t>
      </w:r>
    </w:p>
    <w:tbl>
      <w:tblPr>
        <w:tblStyle w:val="4"/>
        <w:tblW w:w="15416" w:type="dxa"/>
        <w:tblInd w:w="93" w:type="dxa"/>
        <w:tblLayout w:type="autofit"/>
        <w:tblCellMar>
          <w:top w:w="0" w:type="dxa"/>
          <w:left w:w="108" w:type="dxa"/>
          <w:bottom w:w="0" w:type="dxa"/>
          <w:right w:w="108" w:type="dxa"/>
        </w:tblCellMar>
      </w:tblPr>
      <w:tblGrid>
        <w:gridCol w:w="15129"/>
        <w:gridCol w:w="1280"/>
        <w:gridCol w:w="910"/>
        <w:gridCol w:w="280"/>
        <w:gridCol w:w="260"/>
        <w:gridCol w:w="2240"/>
        <w:gridCol w:w="1430"/>
      </w:tblGrid>
      <w:tr>
        <w:tblPrEx>
          <w:tblCellMar>
            <w:top w:w="0" w:type="dxa"/>
            <w:left w:w="108" w:type="dxa"/>
            <w:bottom w:w="0" w:type="dxa"/>
            <w:right w:w="108" w:type="dxa"/>
          </w:tblCellMar>
        </w:tblPrEx>
        <w:trPr>
          <w:trHeight w:val="540" w:hRule="atLeast"/>
        </w:trPr>
        <w:tc>
          <w:tcPr>
            <w:tcW w:w="9016" w:type="dxa"/>
            <w:tcBorders>
              <w:top w:val="nil"/>
              <w:left w:val="nil"/>
              <w:bottom w:val="nil"/>
              <w:right w:val="nil"/>
            </w:tcBorders>
            <w:shd w:val="clear" w:color="auto" w:fill="auto"/>
            <w:noWrap/>
            <w:vAlign w:val="bottom"/>
          </w:tcPr>
          <w:tbl>
            <w:tblPr>
              <w:tblStyle w:val="4"/>
              <w:tblW w:w="14796" w:type="dxa"/>
              <w:tblInd w:w="0" w:type="dxa"/>
              <w:tblLayout w:type="autofit"/>
              <w:tblCellMar>
                <w:top w:w="0" w:type="dxa"/>
                <w:left w:w="108" w:type="dxa"/>
                <w:bottom w:w="0" w:type="dxa"/>
                <w:right w:w="108" w:type="dxa"/>
              </w:tblCellMar>
            </w:tblPr>
            <w:tblGrid>
              <w:gridCol w:w="9233"/>
              <w:gridCol w:w="1280"/>
              <w:gridCol w:w="340"/>
              <w:gridCol w:w="280"/>
              <w:gridCol w:w="260"/>
              <w:gridCol w:w="2240"/>
              <w:gridCol w:w="1280"/>
            </w:tblGrid>
            <w:tr>
              <w:tblPrEx>
                <w:tblCellMar>
                  <w:top w:w="0" w:type="dxa"/>
                  <w:left w:w="108" w:type="dxa"/>
                  <w:bottom w:w="0" w:type="dxa"/>
                  <w:right w:w="108" w:type="dxa"/>
                </w:tblCellMar>
              </w:tblPrEx>
              <w:trPr>
                <w:trHeight w:val="255" w:hRule="atLeast"/>
              </w:trPr>
              <w:tc>
                <w:tcPr>
                  <w:tcW w:w="9116" w:type="dxa"/>
                  <w:tcBorders>
                    <w:top w:val="nil"/>
                    <w:left w:val="nil"/>
                    <w:bottom w:val="nil"/>
                    <w:right w:val="nil"/>
                  </w:tcBorders>
                  <w:shd w:val="clear" w:color="auto" w:fill="auto"/>
                  <w:noWrap/>
                  <w:vAlign w:val="bottom"/>
                </w:tcPr>
                <w:tbl>
                  <w:tblPr>
                    <w:tblStyle w:val="4"/>
                    <w:tblW w:w="8900" w:type="dxa"/>
                    <w:tblInd w:w="0" w:type="dxa"/>
                    <w:tblLayout w:type="autofit"/>
                    <w:tblCellMar>
                      <w:top w:w="0" w:type="dxa"/>
                      <w:left w:w="108" w:type="dxa"/>
                      <w:bottom w:w="0" w:type="dxa"/>
                      <w:right w:w="108" w:type="dxa"/>
                    </w:tblCellMar>
                  </w:tblPr>
                  <w:tblGrid>
                    <w:gridCol w:w="3220"/>
                    <w:gridCol w:w="1280"/>
                    <w:gridCol w:w="385"/>
                    <w:gridCol w:w="317"/>
                    <w:gridCol w:w="295"/>
                    <w:gridCol w:w="2240"/>
                    <w:gridCol w:w="1280"/>
                  </w:tblGrid>
                  <w:tr>
                    <w:tblPrEx>
                      <w:tblCellMar>
                        <w:top w:w="0" w:type="dxa"/>
                        <w:left w:w="108" w:type="dxa"/>
                        <w:bottom w:w="0" w:type="dxa"/>
                        <w:right w:w="108" w:type="dxa"/>
                      </w:tblCellMar>
                    </w:tblPrEx>
                    <w:trPr>
                      <w:trHeight w:val="255" w:hRule="atLeast"/>
                    </w:trPr>
                    <w:tc>
                      <w:tcPr>
                        <w:tcW w:w="32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公开01表</w:t>
                        </w:r>
                      </w:p>
                    </w:tc>
                  </w:tr>
                  <w:tr>
                    <w:tblPrEx>
                      <w:tblCellMar>
                        <w:top w:w="0" w:type="dxa"/>
                        <w:left w:w="108" w:type="dxa"/>
                        <w:bottom w:w="0" w:type="dxa"/>
                        <w:right w:w="108" w:type="dxa"/>
                      </w:tblCellMar>
                    </w:tblPrEx>
                    <w:trPr>
                      <w:trHeight w:val="270" w:hRule="atLeast"/>
                    </w:trPr>
                    <w:tc>
                      <w:tcPr>
                        <w:tcW w:w="322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部门：温州市外办系统</w:t>
                        </w: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500" w:type="dxa"/>
                        <w:gridSpan w:val="2"/>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440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出（按支出功能分类到项级）</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12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3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一、财政拨款</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一般公共服务支出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1,046.93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一般公共预算</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1,193.01</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政府办公厅（室）及相关机构事务</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1,030.23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政府性基金预算</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2010301</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行政运行</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523.50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二、事业单位专户资金</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2010302</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一般行政管理事务</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235.21</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三、事业收入（不含专户资金）</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2010350</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事业运行</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240.20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四、事业单位经营收入</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2010399</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其他政府办公厅（室）及相关机构事务支出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31.32</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五、其他收入</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20110</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人力资源事务</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2011008</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引进人才费用</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科学技术支出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20699</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其他科学技术支出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2069999</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其他科学技术支出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医疗卫生与计划生育支出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医疗保障</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2100501</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行政单位医疗</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22.60</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2100502</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事业单位医疗</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14.83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商业服务业等支出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21606</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涉外发展服务支出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2160699</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其他涉外发展服务支出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住房保障支出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住房改革支出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2210201</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住房公积金</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其他支出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22904</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其他政府性基金及对应专项债务收入安排的支出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80" w:type="dxa"/>
                        <w:gridSpan w:val="3"/>
                        <w:tcBorders>
                          <w:top w:val="single" w:color="000000" w:sz="4" w:space="0"/>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2290400</w:t>
                        </w:r>
                      </w:p>
                    </w:tc>
                    <w:tc>
                      <w:tcPr>
                        <w:tcW w:w="224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8"/>
                            <w:szCs w:val="18"/>
                          </w:rPr>
                        </w:pPr>
                        <w:r>
                          <w:rPr>
                            <w:rFonts w:hint="eastAsia" w:cs="Arial"/>
                            <w:color w:val="000000"/>
                            <w:sz w:val="18"/>
                            <w:szCs w:val="18"/>
                          </w:rPr>
                          <w:t xml:space="preserve">  其他政府性基金及对应专项债务收入安排的支出</w:t>
                        </w:r>
                      </w:p>
                    </w:tc>
                    <w:tc>
                      <w:tcPr>
                        <w:tcW w:w="128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1,227.38</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1,227.38</w:t>
                        </w: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六、上级补助收入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对附属单位补助支出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七、附属单位上缴收入</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上缴上级支出</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八、用事业基金弥补收支差额</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九、上年结转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结转下年</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其中：专项结转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政府性基金结转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其他结转</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0.00</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2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 总 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1,227.38</w:t>
                        </w:r>
                        <w:r>
                          <w:rPr>
                            <w:rFonts w:hint="eastAsia" w:ascii="宋体" w:hAnsi="宋体" w:eastAsia="宋体" w:cs="Arial"/>
                            <w:color w:val="000000"/>
                            <w:kern w:val="0"/>
                            <w:sz w:val="22"/>
                          </w:rPr>
                          <w:t>　</w:t>
                        </w:r>
                      </w:p>
                    </w:tc>
                    <w:tc>
                      <w:tcPr>
                        <w:tcW w:w="3120"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 总 计</w:t>
                        </w:r>
                      </w:p>
                    </w:tc>
                    <w:tc>
                      <w:tcPr>
                        <w:tcW w:w="12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cs="Arial"/>
                            <w:color w:val="000000"/>
                            <w:sz w:val="22"/>
                          </w:rPr>
                          <w:t>1,227.38</w:t>
                        </w:r>
                        <w:r>
                          <w:rPr>
                            <w:rFonts w:hint="eastAsia" w:ascii="宋体" w:hAnsi="宋体" w:eastAsia="宋体" w:cs="Arial"/>
                            <w:color w:val="000000"/>
                            <w:kern w:val="0"/>
                            <w:sz w:val="22"/>
                          </w:rPr>
                          <w:t>　</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70" w:hRule="atLeast"/>
              </w:trPr>
              <w:tc>
                <w:tcPr>
                  <w:tcW w:w="911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52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p>
        </w:tc>
        <w:tc>
          <w:tcPr>
            <w:tcW w:w="28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center"/>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90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2015年度部门收入决算总表(分科目）</w:t>
      </w:r>
    </w:p>
    <w:tbl>
      <w:tblPr>
        <w:tblStyle w:val="4"/>
        <w:tblW w:w="9940" w:type="dxa"/>
        <w:tblInd w:w="93" w:type="dxa"/>
        <w:tblLayout w:type="autofit"/>
        <w:tblCellMar>
          <w:top w:w="0" w:type="dxa"/>
          <w:left w:w="108" w:type="dxa"/>
          <w:bottom w:w="0" w:type="dxa"/>
          <w:right w:w="108" w:type="dxa"/>
        </w:tblCellMar>
      </w:tblPr>
      <w:tblGrid>
        <w:gridCol w:w="436"/>
        <w:gridCol w:w="436"/>
        <w:gridCol w:w="436"/>
        <w:gridCol w:w="1940"/>
        <w:gridCol w:w="996"/>
        <w:gridCol w:w="996"/>
        <w:gridCol w:w="940"/>
        <w:gridCol w:w="940"/>
        <w:gridCol w:w="940"/>
        <w:gridCol w:w="940"/>
        <w:gridCol w:w="940"/>
      </w:tblGrid>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CellMar>
            <w:top w:w="0" w:type="dxa"/>
            <w:left w:w="108" w:type="dxa"/>
            <w:bottom w:w="0" w:type="dxa"/>
            <w:right w:w="108" w:type="dxa"/>
          </w:tblCellMar>
        </w:tblPrEx>
        <w:trPr>
          <w:trHeight w:val="315" w:hRule="atLeast"/>
        </w:trPr>
        <w:tc>
          <w:tcPr>
            <w:tcW w:w="1308" w:type="dxa"/>
            <w:gridSpan w:val="3"/>
            <w:tcBorders>
              <w:top w:val="nil"/>
              <w:left w:val="nil"/>
              <w:bottom w:val="nil"/>
              <w:right w:val="nil"/>
            </w:tcBorders>
            <w:shd w:val="clear" w:color="auto" w:fill="auto"/>
            <w:noWrap/>
          </w:tcPr>
          <w:p>
            <w:pPr>
              <w:widowControl/>
              <w:rPr>
                <w:rFonts w:ascii="Arial" w:hAnsi="Arial" w:eastAsia="宋体" w:cs="Arial"/>
                <w:color w:val="000000"/>
                <w:kern w:val="0"/>
                <w:sz w:val="20"/>
                <w:szCs w:val="20"/>
              </w:rPr>
            </w:pPr>
            <w:r>
              <w:rPr>
                <w:rFonts w:hint="eastAsia" w:ascii="宋体" w:hAnsi="宋体" w:eastAsia="宋体" w:cs="Arial"/>
                <w:color w:val="000000"/>
                <w:kern w:val="0"/>
                <w:sz w:val="20"/>
                <w:szCs w:val="20"/>
              </w:rPr>
              <w:t>部门：</w:t>
            </w:r>
            <w:r>
              <w:rPr>
                <w:rFonts w:ascii="Arial" w:hAnsi="Arial" w:eastAsia="宋体" w:cs="Arial"/>
                <w:color w:val="000000"/>
                <w:kern w:val="0"/>
                <w:sz w:val="20"/>
                <w:szCs w:val="20"/>
              </w:rPr>
              <w:t xml:space="preserve"> </w:t>
            </w:r>
          </w:p>
        </w:tc>
        <w:tc>
          <w:tcPr>
            <w:tcW w:w="1940" w:type="dxa"/>
            <w:tcBorders>
              <w:top w:val="nil"/>
              <w:left w:val="nil"/>
              <w:bottom w:val="nil"/>
              <w:right w:val="nil"/>
            </w:tcBorders>
            <w:shd w:val="clear" w:color="auto" w:fill="auto"/>
            <w:noWrap/>
          </w:tcPr>
          <w:p>
            <w:pPr>
              <w:widowControl/>
              <w:rPr>
                <w:rFonts w:ascii="Arial" w:hAnsi="Arial" w:eastAsia="宋体" w:cs="Arial"/>
                <w:color w:val="000000"/>
                <w:kern w:val="0"/>
                <w:sz w:val="20"/>
                <w:szCs w:val="20"/>
              </w:rPr>
            </w:pPr>
            <w:r>
              <w:rPr>
                <w:rFonts w:hint="eastAsia" w:ascii="Arial" w:hAnsi="Arial" w:eastAsia="宋体" w:cs="Arial"/>
                <w:color w:val="000000"/>
                <w:kern w:val="0"/>
                <w:sz w:val="20"/>
                <w:szCs w:val="20"/>
              </w:rPr>
              <w:t>温州市外办系统</w:t>
            </w:r>
          </w:p>
        </w:tc>
        <w:tc>
          <w:tcPr>
            <w:tcW w:w="9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99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99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9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9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9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08"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94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9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99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9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9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9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9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一般公共服务支出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1,046.93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1,046.93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20103</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政府办公厅（室）及相关机构事务</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1,030.23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1,030.23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2010301</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行政运行</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523.50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523.50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2010302</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一般行政管理事务</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235.21</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235.21</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2010350</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事业运行</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240.20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240.20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2010399</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其他政府办公厅（室）及相关机构事务支出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31.32</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31.32</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20110</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人力资源事务</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16.70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16.70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2011008</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引进人才费用</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16.70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16.70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206</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科学技术支出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20699</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其他科学技术支出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2069999</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其他科学技术支出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医疗卫生与计划生育支出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37.43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37.43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21005</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医疗保障</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37.43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37.43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2100501</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行政单位医疗</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22.60</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22.60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2100502</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事业单位医疗</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14.83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14.83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216</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商业服务业等支出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21606</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涉外发展服务支出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2160699</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其他涉外发展服务支出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52.03</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住房保障支出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22102</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住房改革支出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2210201</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住房公积金</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55.42</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其他支出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22904</w:t>
            </w:r>
          </w:p>
        </w:tc>
        <w:tc>
          <w:tcPr>
            <w:tcW w:w="1940"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其他政府性基金及对应专项债务收入安排的支出</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9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4"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1308"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2290400</w:t>
            </w:r>
          </w:p>
        </w:tc>
        <w:tc>
          <w:tcPr>
            <w:tcW w:w="1940" w:type="dxa"/>
            <w:tcBorders>
              <w:top w:val="nil"/>
              <w:left w:val="nil"/>
              <w:bottom w:val="single" w:color="000000" w:sz="8" w:space="0"/>
              <w:right w:val="single" w:color="000000" w:sz="4" w:space="0"/>
            </w:tcBorders>
            <w:shd w:val="clear" w:color="auto" w:fill="auto"/>
            <w:noWrap/>
            <w:vAlign w:val="center"/>
          </w:tcPr>
          <w:p>
            <w:pPr>
              <w:rPr>
                <w:rFonts w:ascii="宋体" w:hAnsi="宋体" w:eastAsia="宋体" w:cs="Arial"/>
                <w:color w:val="000000"/>
                <w:sz w:val="15"/>
                <w:szCs w:val="15"/>
              </w:rPr>
            </w:pPr>
            <w:r>
              <w:rPr>
                <w:rFonts w:hint="eastAsia" w:cs="Arial"/>
                <w:color w:val="000000"/>
                <w:sz w:val="15"/>
                <w:szCs w:val="15"/>
              </w:rPr>
              <w:t xml:space="preserve">  其他政府性基金及对应专项债务收入安排的支出</w:t>
            </w:r>
          </w:p>
        </w:tc>
        <w:tc>
          <w:tcPr>
            <w:tcW w:w="996"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96"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34.37</w:t>
            </w:r>
          </w:p>
        </w:tc>
        <w:tc>
          <w:tcPr>
            <w:tcW w:w="940"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8"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940" w:type="dxa"/>
            <w:tcBorders>
              <w:top w:val="nil"/>
              <w:left w:val="nil"/>
              <w:bottom w:val="single" w:color="000000" w:sz="8" w:space="0"/>
              <w:right w:val="single" w:color="000000" w:sz="8"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ind w:left="-1134" w:leftChars="-540" w:right="-1424" w:rightChars="-678" w:firstLine="140" w:firstLineChars="44"/>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2015年度部门收入决算总表(分单位）</w:t>
      </w:r>
    </w:p>
    <w:tbl>
      <w:tblPr>
        <w:tblStyle w:val="4"/>
        <w:tblW w:w="17416" w:type="dxa"/>
        <w:tblInd w:w="93" w:type="dxa"/>
        <w:tblLayout w:type="autofit"/>
        <w:tblCellMar>
          <w:top w:w="0" w:type="dxa"/>
          <w:left w:w="108" w:type="dxa"/>
          <w:bottom w:w="0" w:type="dxa"/>
          <w:right w:w="108" w:type="dxa"/>
        </w:tblCellMar>
      </w:tblPr>
      <w:tblGrid>
        <w:gridCol w:w="10403"/>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noWrap/>
            <w:vAlign w:val="bottom"/>
          </w:tcPr>
          <w:tbl>
            <w:tblPr>
              <w:tblStyle w:val="4"/>
              <w:tblW w:w="10187" w:type="dxa"/>
              <w:tblInd w:w="0" w:type="dxa"/>
              <w:tblLayout w:type="autofit"/>
              <w:tblCellMar>
                <w:top w:w="0" w:type="dxa"/>
                <w:left w:w="108" w:type="dxa"/>
                <w:bottom w:w="0" w:type="dxa"/>
                <w:right w:w="108" w:type="dxa"/>
              </w:tblCellMar>
            </w:tblPr>
            <w:tblGrid>
              <w:gridCol w:w="1840"/>
              <w:gridCol w:w="846"/>
              <w:gridCol w:w="640"/>
              <w:gridCol w:w="830"/>
              <w:gridCol w:w="833"/>
              <w:gridCol w:w="718"/>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部门： </w:t>
                  </w:r>
                </w:p>
              </w:tc>
              <w:tc>
                <w:tcPr>
                  <w:tcW w:w="5787" w:type="dxa"/>
                  <w:gridSpan w:val="8"/>
                  <w:tcBorders>
                    <w:top w:val="nil"/>
                    <w:left w:val="nil"/>
                    <w:bottom w:val="nil"/>
                    <w:right w:val="nil"/>
                  </w:tcBorders>
                  <w:shd w:val="clear" w:color="auto" w:fill="auto"/>
                  <w:noWrap/>
                </w:tcPr>
                <w:p>
                  <w:r>
                    <w:rPr>
                      <w:rFonts w:hint="eastAsia" w:ascii="宋体" w:hAnsi="宋体" w:eastAsia="宋体" w:cs="Arial"/>
                      <w:color w:val="000000"/>
                      <w:kern w:val="0"/>
                      <w:sz w:val="20"/>
                      <w:szCs w:val="20"/>
                    </w:rPr>
                    <w:t>温州市外办系统</w:t>
                  </w: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84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381"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事业收入（不含专户资金）</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8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71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83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83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71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12</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84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6"/>
                      <w:szCs w:val="16"/>
                    </w:rPr>
                  </w:pPr>
                  <w:r>
                    <w:rPr>
                      <w:rFonts w:hint="eastAsia" w:cs="Arial"/>
                      <w:color w:val="000000"/>
                      <w:sz w:val="16"/>
                      <w:szCs w:val="16"/>
                    </w:rPr>
                    <w:t>1,227.38</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83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cs="Arial"/>
                      <w:color w:val="000000"/>
                      <w:sz w:val="16"/>
                      <w:szCs w:val="16"/>
                    </w:rPr>
                    <w:t>1,227.38</w:t>
                  </w:r>
                  <w:r>
                    <w:rPr>
                      <w:rFonts w:hint="eastAsia" w:ascii="宋体" w:hAnsi="宋体" w:eastAsia="宋体" w:cs="Arial"/>
                      <w:color w:val="000000"/>
                      <w:kern w:val="0"/>
                      <w:sz w:val="16"/>
                      <w:szCs w:val="16"/>
                    </w:rPr>
                    <w:t>　</w:t>
                  </w:r>
                </w:p>
              </w:tc>
              <w:tc>
                <w:tcPr>
                  <w:tcW w:w="833"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1193.01</w:t>
                  </w:r>
                  <w:r>
                    <w:rPr>
                      <w:rFonts w:hint="eastAsia" w:ascii="宋体" w:hAnsi="宋体" w:eastAsia="宋体" w:cs="Arial"/>
                      <w:color w:val="000000"/>
                      <w:kern w:val="0"/>
                      <w:sz w:val="16"/>
                      <w:szCs w:val="16"/>
                    </w:rPr>
                    <w:t>　</w:t>
                  </w:r>
                </w:p>
              </w:tc>
              <w:tc>
                <w:tcPr>
                  <w:tcW w:w="718"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34.37</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ind w:right="90"/>
                    <w:jc w:val="right"/>
                    <w:rPr>
                      <w:rFonts w:ascii="宋体" w:hAnsi="宋体" w:eastAsia="宋体" w:cs="Arial"/>
                      <w:color w:val="000000"/>
                      <w:kern w:val="0"/>
                      <w:sz w:val="16"/>
                      <w:szCs w:val="16"/>
                    </w:rPr>
                  </w:pPr>
                  <w:r>
                    <w:rPr>
                      <w:rFonts w:hint="eastAsia" w:cs="Arial"/>
                      <w:color w:val="000000"/>
                      <w:sz w:val="16"/>
                      <w:szCs w:val="16"/>
                    </w:rPr>
                    <w:t>0.00</w:t>
                  </w: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eastAsia="宋体" w:cs="Arial"/>
                      <w:color w:val="000000"/>
                      <w:sz w:val="18"/>
                      <w:szCs w:val="18"/>
                    </w:rPr>
                  </w:pPr>
                  <w:r>
                    <w:rPr>
                      <w:rFonts w:hint="eastAsia" w:cs="Arial"/>
                      <w:color w:val="000000"/>
                      <w:sz w:val="18"/>
                      <w:szCs w:val="18"/>
                    </w:rPr>
                    <w:t>温州市人民政府外事办公室</w:t>
                  </w:r>
                </w:p>
              </w:tc>
              <w:tc>
                <w:tcPr>
                  <w:tcW w:w="846"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886.69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83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886.69</w:t>
                  </w:r>
                </w:p>
              </w:tc>
              <w:tc>
                <w:tcPr>
                  <w:tcW w:w="833"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886.69</w:t>
                  </w:r>
                </w:p>
              </w:tc>
              <w:tc>
                <w:tcPr>
                  <w:tcW w:w="718"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eastAsia="宋体" w:cs="Arial"/>
                      <w:color w:val="000000"/>
                      <w:sz w:val="18"/>
                      <w:szCs w:val="18"/>
                    </w:rPr>
                  </w:pPr>
                  <w:r>
                    <w:rPr>
                      <w:rFonts w:hint="eastAsia" w:cs="Arial"/>
                      <w:color w:val="000000"/>
                      <w:sz w:val="18"/>
                      <w:szCs w:val="18"/>
                    </w:rPr>
                    <w:t>温州市国际交流中心</w:t>
                  </w:r>
                </w:p>
              </w:tc>
              <w:tc>
                <w:tcPr>
                  <w:tcW w:w="846"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340.69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83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340.69</w:t>
                  </w:r>
                </w:p>
              </w:tc>
              <w:tc>
                <w:tcPr>
                  <w:tcW w:w="833"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306.32</w:t>
                  </w:r>
                </w:p>
              </w:tc>
              <w:tc>
                <w:tcPr>
                  <w:tcW w:w="718"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34.37</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c>
                <w:tcPr>
                  <w:tcW w:w="640" w:type="dxa"/>
                  <w:tcBorders>
                    <w:top w:val="nil"/>
                    <w:left w:val="nil"/>
                    <w:bottom w:val="single" w:color="000000" w:sz="4" w:space="0"/>
                    <w:right w:val="single" w:color="000000" w:sz="8" w:space="0"/>
                  </w:tcBorders>
                  <w:shd w:val="clear" w:color="000000" w:fill="FFFFFF"/>
                  <w:vAlign w:val="center"/>
                </w:tcPr>
                <w:p>
                  <w:pPr>
                    <w:jc w:val="right"/>
                    <w:rPr>
                      <w:rFonts w:ascii="宋体" w:hAnsi="宋体" w:eastAsia="宋体" w:cs="Arial"/>
                      <w:color w:val="000000"/>
                      <w:sz w:val="16"/>
                      <w:szCs w:val="16"/>
                    </w:rPr>
                  </w:pPr>
                  <w:r>
                    <w:rPr>
                      <w:rFonts w:hint="eastAsia" w:cs="Arial"/>
                      <w:color w:val="000000"/>
                      <w:sz w:val="16"/>
                      <w:szCs w:val="16"/>
                    </w:rPr>
                    <w:t>0.00</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1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CellMar>
            <w:top w:w="0" w:type="dxa"/>
            <w:left w:w="108" w:type="dxa"/>
            <w:bottom w:w="0" w:type="dxa"/>
            <w:right w:w="108" w:type="dxa"/>
          </w:tblCellMar>
        </w:tblPrEx>
        <w:trPr>
          <w:trHeight w:val="270" w:hRule="atLeast"/>
        </w:trPr>
        <w:tc>
          <w:tcPr>
            <w:tcW w:w="973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2015年度部门支出决算总表（分科目）</w:t>
      </w:r>
    </w:p>
    <w:tbl>
      <w:tblPr>
        <w:tblStyle w:val="4"/>
        <w:tblW w:w="19156" w:type="dxa"/>
        <w:tblInd w:w="93" w:type="dxa"/>
        <w:tblLayout w:type="autofit"/>
        <w:tblCellMar>
          <w:top w:w="0" w:type="dxa"/>
          <w:left w:w="108" w:type="dxa"/>
          <w:bottom w:w="0" w:type="dxa"/>
          <w:right w:w="108" w:type="dxa"/>
        </w:tblCellMar>
      </w:tblPr>
      <w:tblGrid>
        <w:gridCol w:w="992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noWrap/>
            <w:vAlign w:val="bottom"/>
          </w:tcPr>
          <w:tbl>
            <w:tblPr>
              <w:tblStyle w:val="4"/>
              <w:tblW w:w="9708" w:type="dxa"/>
              <w:tblInd w:w="0" w:type="dxa"/>
              <w:tblLayout w:type="autofit"/>
              <w:tblCellMar>
                <w:top w:w="0" w:type="dxa"/>
                <w:left w:w="108" w:type="dxa"/>
                <w:bottom w:w="0" w:type="dxa"/>
                <w:right w:w="108" w:type="dxa"/>
              </w:tblCellMar>
            </w:tblPr>
            <w:tblGrid>
              <w:gridCol w:w="456"/>
              <w:gridCol w:w="436"/>
              <w:gridCol w:w="436"/>
              <w:gridCol w:w="2020"/>
              <w:gridCol w:w="1060"/>
              <w:gridCol w:w="1060"/>
              <w:gridCol w:w="1060"/>
              <w:gridCol w:w="1060"/>
              <w:gridCol w:w="1060"/>
              <w:gridCol w:w="1060"/>
            </w:tblGrid>
            <w:tr>
              <w:tblPrEx>
                <w:tblCellMar>
                  <w:top w:w="0" w:type="dxa"/>
                  <w:left w:w="108" w:type="dxa"/>
                  <w:bottom w:w="0" w:type="dxa"/>
                  <w:right w:w="108" w:type="dxa"/>
                </w:tblCellMar>
              </w:tblPrEx>
              <w:trPr>
                <w:trHeight w:val="434" w:hRule="atLeast"/>
              </w:trPr>
              <w:tc>
                <w:tcPr>
                  <w:tcW w:w="45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3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公开03-1表</w:t>
                  </w:r>
                </w:p>
              </w:tc>
            </w:tr>
            <w:tr>
              <w:tblPrEx>
                <w:tblCellMar>
                  <w:top w:w="0" w:type="dxa"/>
                  <w:left w:w="108" w:type="dxa"/>
                  <w:bottom w:w="0" w:type="dxa"/>
                  <w:right w:w="108" w:type="dxa"/>
                </w:tblCellMar>
              </w:tblPrEx>
              <w:trPr>
                <w:trHeight w:val="315" w:hRule="atLeast"/>
              </w:trPr>
              <w:tc>
                <w:tcPr>
                  <w:tcW w:w="1328" w:type="dxa"/>
                  <w:gridSpan w:val="3"/>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r>
                    <w:rPr>
                      <w:rFonts w:hint="eastAsia" w:ascii="Arial" w:hAnsi="Arial" w:eastAsia="宋体" w:cs="Arial"/>
                      <w:color w:val="000000"/>
                      <w:kern w:val="0"/>
                      <w:sz w:val="20"/>
                      <w:szCs w:val="20"/>
                    </w:rPr>
                    <w:t>部门：</w:t>
                  </w:r>
                </w:p>
              </w:tc>
              <w:tc>
                <w:tcPr>
                  <w:tcW w:w="20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温州市外办系统</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12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348"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0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0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06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08" w:hRule="atLeast"/>
              </w:trPr>
              <w:tc>
                <w:tcPr>
                  <w:tcW w:w="132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02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420" w:hRule="atLeast"/>
              </w:trPr>
              <w:tc>
                <w:tcPr>
                  <w:tcW w:w="132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5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0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6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45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1,227.38</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873.53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353.85</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一般公共服务支出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1,046.93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780.68</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266.25</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政府办公厅（室）及相关机构事务</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1,030.23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780.68</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249.55</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2010301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行政运行</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523.50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523.50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2010302</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一般行政管理事务</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235.21</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235.21</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2010350</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事业运行</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240.20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240.20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2010399</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其他政府办公厅（室）及相关机构事务支出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31.32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16.98</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14.34</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20110</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人力资源事务</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16.70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16.70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2011008</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引进人才费用</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16.70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16.70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206</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科学技术支出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20699</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其他科学技术支出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2069999</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其他科学技术支出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1.20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210</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医疗卫生与计划生育支出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37.43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37.43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21005</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医疗保障</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37.43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37.43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2100501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行政单位医疗</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22.60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22.60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2100502</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事业单位医疗</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14.83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14.83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216</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商业服务业等支出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21606</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涉外发展服务支出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2160699</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其他涉外发展服务支出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52.03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住房保障支出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22102</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住房改革支出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2210201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住房公积金</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55.42</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229</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22904</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其他政府性基金及对应专项债务收入安排的支出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2290400</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其他政府性基金及对应专项债务收入安排的支出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34.37</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w:t>
                  </w:r>
                </w:p>
              </w:tc>
              <w:tc>
                <w:tcPr>
                  <w:tcW w:w="2020"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一般公共服务支出</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1,046.93</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780.68</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266.25</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4"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r>
              <w:tblPrEx>
                <w:tblCellMar>
                  <w:top w:w="0" w:type="dxa"/>
                  <w:left w:w="108" w:type="dxa"/>
                  <w:bottom w:w="0" w:type="dxa"/>
                  <w:right w:w="108" w:type="dxa"/>
                </w:tblCellMar>
              </w:tblPrEx>
              <w:trPr>
                <w:trHeight w:val="308" w:hRule="atLeast"/>
              </w:trPr>
              <w:tc>
                <w:tcPr>
                  <w:tcW w:w="1328" w:type="dxa"/>
                  <w:gridSpan w:val="3"/>
                  <w:tcBorders>
                    <w:top w:val="single" w:color="000000" w:sz="4" w:space="0"/>
                    <w:left w:val="single" w:color="000000" w:sz="8" w:space="0"/>
                    <w:bottom w:val="single" w:color="000000" w:sz="8"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20103</w:t>
                  </w:r>
                </w:p>
              </w:tc>
              <w:tc>
                <w:tcPr>
                  <w:tcW w:w="2020" w:type="dxa"/>
                  <w:tcBorders>
                    <w:top w:val="nil"/>
                    <w:left w:val="nil"/>
                    <w:bottom w:val="single" w:color="000000" w:sz="8"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政府办公厅（室）及相关机构事务</w:t>
                  </w:r>
                </w:p>
              </w:tc>
              <w:tc>
                <w:tcPr>
                  <w:tcW w:w="106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1,030.23</w:t>
                  </w:r>
                </w:p>
              </w:tc>
              <w:tc>
                <w:tcPr>
                  <w:tcW w:w="106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780.68</w:t>
                  </w:r>
                </w:p>
              </w:tc>
              <w:tc>
                <w:tcPr>
                  <w:tcW w:w="106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249.55</w:t>
                  </w:r>
                </w:p>
              </w:tc>
              <w:tc>
                <w:tcPr>
                  <w:tcW w:w="106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c>
                <w:tcPr>
                  <w:tcW w:w="1060" w:type="dxa"/>
                  <w:tcBorders>
                    <w:top w:val="nil"/>
                    <w:left w:val="nil"/>
                    <w:bottom w:val="single" w:color="000000" w:sz="8" w:space="0"/>
                    <w:right w:val="single" w:color="000000" w:sz="8" w:space="0"/>
                  </w:tcBorders>
                  <w:shd w:val="clear" w:color="000000" w:fill="FFFFFF"/>
                  <w:noWrap/>
                  <w:vAlign w:val="center"/>
                </w:tcPr>
                <w:p>
                  <w:pPr>
                    <w:jc w:val="right"/>
                    <w:rPr>
                      <w:rFonts w:ascii="宋体" w:hAnsi="宋体" w:eastAsia="宋体" w:cs="Arial"/>
                      <w:color w:val="000000"/>
                      <w:sz w:val="15"/>
                      <w:szCs w:val="15"/>
                    </w:rPr>
                  </w:pPr>
                  <w:r>
                    <w:rPr>
                      <w:rFonts w:hint="eastAsia" w:cs="Arial"/>
                      <w:color w:val="000000"/>
                      <w:sz w:val="15"/>
                      <w:szCs w:val="15"/>
                    </w:rPr>
                    <w:t>0.00</w:t>
                  </w: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r>
        <w:tblPrEx>
          <w:tblCellMar>
            <w:top w:w="0" w:type="dxa"/>
            <w:left w:w="108" w:type="dxa"/>
            <w:bottom w:w="0" w:type="dxa"/>
            <w:right w:w="108" w:type="dxa"/>
          </w:tblCellMar>
        </w:tblPrEx>
        <w:trPr>
          <w:trHeight w:val="315" w:hRule="atLeast"/>
        </w:trPr>
        <w:tc>
          <w:tcPr>
            <w:tcW w:w="990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p>
            <w:pPr>
              <w:widowControl/>
              <w:jc w:val="left"/>
              <w:rPr>
                <w:rFonts w:ascii="宋体" w:hAnsi="宋体" w:eastAsia="宋体" w:cs="Arial"/>
                <w:color w:val="000000"/>
                <w:kern w:val="0"/>
                <w:sz w:val="24"/>
                <w:szCs w:val="24"/>
              </w:rPr>
            </w:pPr>
          </w:p>
          <w:p>
            <w:pPr>
              <w:widowControl/>
              <w:jc w:val="left"/>
              <w:rPr>
                <w:rFonts w:ascii="宋体" w:hAnsi="宋体" w:eastAsia="宋体" w:cs="Arial"/>
                <w:color w:val="000000"/>
                <w:kern w:val="0"/>
                <w:sz w:val="24"/>
                <w:szCs w:val="24"/>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2015年度部门支出决算总表（分单位）</w:t>
      </w:r>
    </w:p>
    <w:tbl>
      <w:tblPr>
        <w:tblStyle w:val="4"/>
        <w:tblW w:w="16336" w:type="dxa"/>
        <w:tblInd w:w="93" w:type="dxa"/>
        <w:tblLayout w:type="autofit"/>
        <w:tblCellMar>
          <w:top w:w="0" w:type="dxa"/>
          <w:left w:w="108" w:type="dxa"/>
          <w:bottom w:w="0" w:type="dxa"/>
          <w:right w:w="108" w:type="dxa"/>
        </w:tblCellMar>
      </w:tblPr>
      <w:tblGrid>
        <w:gridCol w:w="9464"/>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noWrap/>
            <w:vAlign w:val="bottom"/>
          </w:tcPr>
          <w:tbl>
            <w:tblPr>
              <w:tblStyle w:val="4"/>
              <w:tblW w:w="0" w:type="auto"/>
              <w:tblInd w:w="0" w:type="dxa"/>
              <w:tblLayout w:type="autofit"/>
              <w:tblCellMar>
                <w:top w:w="0" w:type="dxa"/>
                <w:left w:w="108" w:type="dxa"/>
                <w:bottom w:w="0" w:type="dxa"/>
                <w:right w:w="108" w:type="dxa"/>
              </w:tblCellMar>
            </w:tblPr>
            <w:tblGrid>
              <w:gridCol w:w="2856"/>
              <w:gridCol w:w="1162"/>
              <w:gridCol w:w="1134"/>
              <w:gridCol w:w="150"/>
              <w:gridCol w:w="830"/>
              <w:gridCol w:w="893"/>
              <w:gridCol w:w="607"/>
              <w:gridCol w:w="882"/>
              <w:gridCol w:w="734"/>
            </w:tblGrid>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162"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84"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0" w:type="auto"/>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0" w:type="auto"/>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0" w:type="auto"/>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0" w:type="auto"/>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r>
                    <w:rPr>
                      <w:rFonts w:hint="eastAsia" w:ascii="Arial" w:hAnsi="Arial" w:eastAsia="宋体" w:cs="Arial"/>
                      <w:color w:val="000000"/>
                      <w:kern w:val="0"/>
                      <w:sz w:val="20"/>
                      <w:szCs w:val="20"/>
                    </w:rPr>
                    <w:t>温州市外办系统</w:t>
                  </w:r>
                </w:p>
              </w:tc>
              <w:tc>
                <w:tcPr>
                  <w:tcW w:w="4169" w:type="dxa"/>
                  <w:gridSpan w:val="5"/>
                  <w:tcBorders>
                    <w:top w:val="nil"/>
                    <w:left w:val="nil"/>
                    <w:bottom w:val="nil"/>
                    <w:right w:val="nil"/>
                  </w:tcBorders>
                  <w:shd w:val="clear" w:color="000000" w:fill="FFFFFF"/>
                  <w:noWrap/>
                  <w:vAlign w:val="bottom"/>
                </w:tcPr>
                <w:p>
                  <w:pPr>
                    <w:widowControl/>
                    <w:jc w:val="center"/>
                    <w:rPr>
                      <w:rFonts w:ascii="Arial" w:hAnsi="Arial" w:eastAsia="宋体" w:cs="Arial"/>
                      <w:color w:val="000000"/>
                      <w:kern w:val="0"/>
                      <w:sz w:val="20"/>
                      <w:szCs w:val="20"/>
                    </w:rPr>
                  </w:pPr>
                </w:p>
              </w:tc>
              <w:tc>
                <w:tcPr>
                  <w:tcW w:w="0" w:type="auto"/>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0" w:type="auto"/>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16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14"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0" w:type="auto"/>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0" w:type="auto"/>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0" w:type="auto"/>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0" w:type="auto"/>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0" w:type="auto"/>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9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16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98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0" w:type="auto"/>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16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113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757.03</w:t>
                  </w:r>
                </w:p>
              </w:tc>
              <w:tc>
                <w:tcPr>
                  <w:tcW w:w="98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116.50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353.85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eastAsia="宋体" w:cs="Arial"/>
                      <w:color w:val="000000"/>
                      <w:sz w:val="22"/>
                    </w:rPr>
                  </w:pPr>
                  <w:r>
                    <w:rPr>
                      <w:rFonts w:hint="eastAsia" w:cs="Arial"/>
                      <w:color w:val="000000"/>
                      <w:sz w:val="22"/>
                    </w:rPr>
                    <w:t>温州市人民政府外事办公室</w:t>
                  </w:r>
                </w:p>
              </w:tc>
              <w:tc>
                <w:tcPr>
                  <w:tcW w:w="116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886.69</w:t>
                  </w:r>
                </w:p>
              </w:tc>
              <w:tc>
                <w:tcPr>
                  <w:tcW w:w="113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495.80</w:t>
                  </w:r>
                </w:p>
              </w:tc>
              <w:tc>
                <w:tcPr>
                  <w:tcW w:w="98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85.75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305.14</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8" w:space="0"/>
                    <w:bottom w:val="single" w:color="000000" w:sz="4" w:space="0"/>
                    <w:right w:val="single" w:color="000000" w:sz="4" w:space="0"/>
                  </w:tcBorders>
                  <w:shd w:val="clear" w:color="FFFFFF" w:fill="FFFFFF"/>
                  <w:noWrap/>
                  <w:vAlign w:val="center"/>
                </w:tcPr>
                <w:p>
                  <w:pPr>
                    <w:rPr>
                      <w:rFonts w:ascii="宋体" w:hAnsi="宋体" w:eastAsia="宋体" w:cs="Arial"/>
                      <w:color w:val="000000"/>
                      <w:sz w:val="22"/>
                    </w:rPr>
                  </w:pPr>
                  <w:r>
                    <w:rPr>
                      <w:rFonts w:hint="eastAsia" w:cs="Arial"/>
                      <w:color w:val="000000"/>
                      <w:sz w:val="22"/>
                    </w:rPr>
                    <w:t>温州市国际交流中心</w:t>
                  </w:r>
                </w:p>
              </w:tc>
              <w:tc>
                <w:tcPr>
                  <w:tcW w:w="1162"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340.69</w:t>
                  </w:r>
                </w:p>
              </w:tc>
              <w:tc>
                <w:tcPr>
                  <w:tcW w:w="1134"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261.23</w:t>
                  </w:r>
                </w:p>
              </w:tc>
              <w:tc>
                <w:tcPr>
                  <w:tcW w:w="98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30.75</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48.71</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0" w:type="auto"/>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CellMar>
            <w:top w:w="0" w:type="dxa"/>
            <w:left w:w="108" w:type="dxa"/>
            <w:bottom w:w="0" w:type="dxa"/>
            <w:right w:w="108" w:type="dxa"/>
          </w:tblCellMar>
        </w:tblPrEx>
        <w:trPr>
          <w:trHeight w:val="270" w:hRule="atLeast"/>
        </w:trPr>
        <w:tc>
          <w:tcPr>
            <w:tcW w:w="933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0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2015年度部门财政拨款收入支出决算总表</w:t>
      </w:r>
    </w:p>
    <w:tbl>
      <w:tblPr>
        <w:tblStyle w:val="4"/>
        <w:tblW w:w="15990" w:type="dxa"/>
        <w:tblInd w:w="93" w:type="dxa"/>
        <w:tblLayout w:type="autofit"/>
        <w:tblCellMar>
          <w:top w:w="0" w:type="dxa"/>
          <w:left w:w="108" w:type="dxa"/>
          <w:bottom w:w="0" w:type="dxa"/>
          <w:right w:w="108" w:type="dxa"/>
        </w:tblCellMar>
      </w:tblPr>
      <w:tblGrid>
        <w:gridCol w:w="9678"/>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shd w:val="clear" w:color="auto" w:fill="auto"/>
            <w:noWrap/>
            <w:vAlign w:val="bottom"/>
          </w:tcPr>
          <w:tbl>
            <w:tblPr>
              <w:tblStyle w:val="4"/>
              <w:tblW w:w="9462" w:type="dxa"/>
              <w:tblInd w:w="0" w:type="dxa"/>
              <w:tblLayout w:type="autofit"/>
              <w:tblCellMar>
                <w:top w:w="0" w:type="dxa"/>
                <w:left w:w="108" w:type="dxa"/>
                <w:bottom w:w="0" w:type="dxa"/>
                <w:right w:w="108" w:type="dxa"/>
              </w:tblCellMar>
            </w:tblPr>
            <w:tblGrid>
              <w:gridCol w:w="2260"/>
              <w:gridCol w:w="376"/>
              <w:gridCol w:w="996"/>
              <w:gridCol w:w="2240"/>
              <w:gridCol w:w="440"/>
              <w:gridCol w:w="99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5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p>
              </w:tc>
              <w:tc>
                <w:tcPr>
                  <w:tcW w:w="3612" w:type="dxa"/>
                  <w:gridSpan w:val="3"/>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r>
                    <w:rPr>
                      <w:rFonts w:hint="eastAsia" w:ascii="Arial" w:hAnsi="Arial" w:eastAsia="宋体" w:cs="Arial"/>
                      <w:color w:val="000000"/>
                      <w:kern w:val="0"/>
                      <w:sz w:val="20"/>
                      <w:szCs w:val="20"/>
                    </w:rPr>
                    <w:t>温州市外办系统</w:t>
                  </w: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15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632"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83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99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3150"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99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9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1,193.01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1,046.93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1,046.93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1,193.01</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9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基本支出结转</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项目支出结转和结余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996"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　</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　</w:t>
                  </w:r>
                </w:p>
              </w:tc>
              <w:tc>
                <w:tcPr>
                  <w:tcW w:w="107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996"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996"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1077"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1,193.01</w:t>
                  </w:r>
                </w:p>
              </w:tc>
              <w:tc>
                <w:tcPr>
                  <w:tcW w:w="1077"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2015年度部门财政拨款支出决算表</w:t>
      </w:r>
    </w:p>
    <w:tbl>
      <w:tblPr>
        <w:tblStyle w:val="4"/>
        <w:tblW w:w="8662" w:type="dxa"/>
        <w:tblInd w:w="93" w:type="dxa"/>
        <w:tblLayout w:type="autofit"/>
        <w:tblCellMar>
          <w:top w:w="0" w:type="dxa"/>
          <w:left w:w="108" w:type="dxa"/>
          <w:bottom w:w="0" w:type="dxa"/>
          <w:right w:w="108" w:type="dxa"/>
        </w:tblCellMar>
      </w:tblPr>
      <w:tblGrid>
        <w:gridCol w:w="482"/>
        <w:gridCol w:w="482"/>
        <w:gridCol w:w="482"/>
        <w:gridCol w:w="1754"/>
        <w:gridCol w:w="1520"/>
        <w:gridCol w:w="1520"/>
        <w:gridCol w:w="1520"/>
        <w:gridCol w:w="902"/>
      </w:tblGrid>
      <w:tr>
        <w:tblPrEx>
          <w:tblCellMar>
            <w:top w:w="0" w:type="dxa"/>
            <w:left w:w="108" w:type="dxa"/>
            <w:bottom w:w="0" w:type="dxa"/>
            <w:right w:w="108" w:type="dxa"/>
          </w:tblCellMar>
        </w:tblPrEx>
        <w:trPr>
          <w:trHeight w:val="255" w:hRule="atLeast"/>
        </w:trPr>
        <w:tc>
          <w:tcPr>
            <w:tcW w:w="3200" w:type="dxa"/>
            <w:gridSpan w:val="4"/>
            <w:tcBorders>
              <w:top w:val="nil"/>
              <w:left w:val="nil"/>
              <w:bottom w:val="nil"/>
              <w:right w:val="nil"/>
            </w:tcBorders>
            <w:shd w:val="clear" w:color="000000" w:fill="FFFFFF"/>
            <w:noWrap/>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422"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CellMar>
            <w:top w:w="0" w:type="dxa"/>
            <w:left w:w="108" w:type="dxa"/>
            <w:bottom w:w="0" w:type="dxa"/>
            <w:right w:w="108" w:type="dxa"/>
          </w:tblCellMar>
        </w:tblPrEx>
        <w:trPr>
          <w:trHeight w:val="270" w:hRule="atLeast"/>
        </w:trPr>
        <w:tc>
          <w:tcPr>
            <w:tcW w:w="3200" w:type="dxa"/>
            <w:gridSpan w:val="4"/>
            <w:tcBorders>
              <w:top w:val="nil"/>
              <w:left w:val="nil"/>
              <w:bottom w:val="single" w:color="000000" w:sz="8" w:space="0"/>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部门：温州市外办系统</w:t>
            </w:r>
          </w:p>
        </w:tc>
        <w:tc>
          <w:tcPr>
            <w:tcW w:w="3040"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422"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90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CellMar>
            <w:top w:w="0" w:type="dxa"/>
            <w:left w:w="108" w:type="dxa"/>
            <w:bottom w:w="0" w:type="dxa"/>
            <w:right w:w="108" w:type="dxa"/>
          </w:tblCellMar>
        </w:tblPrEx>
        <w:trPr>
          <w:trHeight w:val="308" w:hRule="atLeast"/>
        </w:trPr>
        <w:tc>
          <w:tcPr>
            <w:tcW w:w="1446"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0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90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1,227.38</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873.53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353.85</w:t>
            </w:r>
          </w:p>
        </w:tc>
        <w:tc>
          <w:tcPr>
            <w:tcW w:w="9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一般公共服务支出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1,046.93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780.68</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266.25</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政府办公厅（室）及相关机构事务</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1,030.23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780.68</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249.55</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行政运行</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523.50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523.50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一般行政管理事务</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235.21</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235.21</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2010350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事业运行</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240.20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240.20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2010399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其他政府办公厅（室）及相关机构事务支出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31.32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16.98</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14.34</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20110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人力资源事务</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2011008</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引进人才费用</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16.70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科学技术支出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其他科学技术支出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2069999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其他科学技术支出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1.20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医疗卫生与计划生育支出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医疗保障</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37.43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行政单位医疗</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22.60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22.60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2100502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事业单位医疗</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14.83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14.83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商业服务业等支出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21606</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涉外发展服务支出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2160699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其他涉外发展服务支出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52.03</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住房保障支出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住房改革支出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2210201</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住房公积金</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55.42</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22904</w:t>
            </w:r>
          </w:p>
        </w:tc>
        <w:tc>
          <w:tcPr>
            <w:tcW w:w="1754"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其他政府性基金及对应专项债务收入安排的支出</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902" w:type="dxa"/>
            <w:tcBorders>
              <w:top w:val="nil"/>
              <w:left w:val="nil"/>
              <w:bottom w:val="single" w:color="000000" w:sz="4" w:space="0"/>
              <w:right w:val="single" w:color="000000" w:sz="4" w:space="0"/>
            </w:tcBorders>
            <w:shd w:val="clear" w:color="000000" w:fill="FFFFFF"/>
            <w:noWrap/>
            <w:vAlign w:val="center"/>
          </w:tcPr>
          <w:p>
            <w:pPr>
              <w:rPr>
                <w:rFonts w:ascii="宋体" w:hAnsi="宋体" w:eastAsia="宋体" w:cs="Arial"/>
                <w:color w:val="000000"/>
                <w:sz w:val="15"/>
                <w:szCs w:val="15"/>
              </w:rPr>
            </w:pPr>
          </w:p>
        </w:tc>
      </w:tr>
      <w:tr>
        <w:tblPrEx>
          <w:tblCellMar>
            <w:top w:w="0" w:type="dxa"/>
            <w:left w:w="108" w:type="dxa"/>
            <w:bottom w:w="0" w:type="dxa"/>
            <w:right w:w="108" w:type="dxa"/>
          </w:tblCellMar>
        </w:tblPrEx>
        <w:trPr>
          <w:trHeight w:val="308" w:hRule="atLeast"/>
        </w:trPr>
        <w:tc>
          <w:tcPr>
            <w:tcW w:w="1446" w:type="dxa"/>
            <w:gridSpan w:val="3"/>
            <w:tcBorders>
              <w:top w:val="single" w:color="000000" w:sz="4" w:space="0"/>
              <w:left w:val="single" w:color="000000" w:sz="8" w:space="0"/>
              <w:bottom w:val="single" w:color="000000" w:sz="8" w:space="0"/>
              <w:right w:val="single" w:color="000000"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2290400</w:t>
            </w:r>
          </w:p>
        </w:tc>
        <w:tc>
          <w:tcPr>
            <w:tcW w:w="1754" w:type="dxa"/>
            <w:tcBorders>
              <w:top w:val="nil"/>
              <w:left w:val="nil"/>
              <w:bottom w:val="single" w:color="000000" w:sz="8" w:space="0"/>
              <w:right w:val="single" w:color="000000" w:sz="4" w:space="0"/>
            </w:tcBorders>
            <w:shd w:val="clear" w:color="000000" w:fill="FFFFFF"/>
            <w:noWrap/>
            <w:vAlign w:val="center"/>
          </w:tcPr>
          <w:p>
            <w:pPr>
              <w:rPr>
                <w:rFonts w:ascii="宋体" w:hAnsi="宋体" w:eastAsia="宋体" w:cs="Arial"/>
                <w:color w:val="000000"/>
                <w:sz w:val="15"/>
                <w:szCs w:val="15"/>
              </w:rPr>
            </w:pPr>
            <w:r>
              <w:rPr>
                <w:rFonts w:hint="eastAsia" w:cs="Arial"/>
                <w:color w:val="000000"/>
                <w:sz w:val="15"/>
                <w:szCs w:val="15"/>
              </w:rPr>
              <w:t xml:space="preserve">  其他政府性基金及对应专项债务收入安排的支出</w:t>
            </w:r>
          </w:p>
        </w:tc>
        <w:tc>
          <w:tcPr>
            <w:tcW w:w="152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152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0.00</w:t>
            </w:r>
          </w:p>
        </w:tc>
        <w:tc>
          <w:tcPr>
            <w:tcW w:w="1520" w:type="dxa"/>
            <w:tcBorders>
              <w:top w:val="nil"/>
              <w:left w:val="nil"/>
              <w:bottom w:val="single" w:color="000000" w:sz="8" w:space="0"/>
              <w:right w:val="single" w:color="000000" w:sz="4" w:space="0"/>
            </w:tcBorders>
            <w:shd w:val="clear" w:color="000000" w:fill="FFFFFF"/>
            <w:noWrap/>
            <w:vAlign w:val="center"/>
          </w:tcPr>
          <w:p>
            <w:pPr>
              <w:jc w:val="right"/>
              <w:rPr>
                <w:rFonts w:ascii="宋体" w:hAnsi="宋体" w:eastAsia="宋体" w:cs="Arial"/>
                <w:color w:val="000000"/>
                <w:sz w:val="22"/>
              </w:rPr>
            </w:pPr>
            <w:r>
              <w:rPr>
                <w:rFonts w:hint="eastAsia" w:cs="Arial"/>
                <w:color w:val="000000"/>
                <w:sz w:val="22"/>
              </w:rPr>
              <w:t>34.37</w:t>
            </w:r>
          </w:p>
        </w:tc>
        <w:tc>
          <w:tcPr>
            <w:tcW w:w="902" w:type="dxa"/>
            <w:tcBorders>
              <w:top w:val="nil"/>
              <w:left w:val="nil"/>
              <w:bottom w:val="single" w:color="000000" w:sz="8" w:space="0"/>
              <w:right w:val="single" w:color="000000" w:sz="4" w:space="0"/>
            </w:tcBorders>
            <w:shd w:val="clear" w:color="000000" w:fill="FFFFFF"/>
            <w:noWrap/>
            <w:vAlign w:val="center"/>
          </w:tcPr>
          <w:p>
            <w:pPr>
              <w:rPr>
                <w:rFonts w:ascii="宋体" w:hAnsi="宋体" w:eastAsia="宋体" w:cs="Arial"/>
                <w:color w:val="000000"/>
                <w:sz w:val="15"/>
                <w:szCs w:val="15"/>
              </w:rPr>
            </w:pPr>
          </w:p>
        </w:tc>
      </w:tr>
    </w:tbl>
    <w:p>
      <w:pPr>
        <w:autoSpaceDE w:val="0"/>
        <w:autoSpaceDN w:val="0"/>
        <w:adjustRightInd w:val="0"/>
        <w:spacing w:line="560" w:lineRule="exact"/>
        <w:rPr>
          <w:rFonts w:ascii="仿宋" w:hAnsi="Times New Roman" w:eastAsia="仿宋" w:cs="仿宋"/>
          <w:b/>
          <w:sz w:val="32"/>
          <w:szCs w:val="32"/>
        </w:rPr>
      </w:pPr>
    </w:p>
    <w:tbl>
      <w:tblPr>
        <w:tblStyle w:val="4"/>
        <w:tblW w:w="18916" w:type="dxa"/>
        <w:tblInd w:w="93"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2015年度部门一般公共预算基本支出决算表</w:t>
      </w:r>
    </w:p>
    <w:tbl>
      <w:tblPr>
        <w:tblStyle w:val="4"/>
        <w:tblW w:w="8710" w:type="dxa"/>
        <w:tblInd w:w="93" w:type="dxa"/>
        <w:tblLayout w:type="autofit"/>
        <w:tblCellMar>
          <w:top w:w="0" w:type="dxa"/>
          <w:left w:w="108" w:type="dxa"/>
          <w:bottom w:w="0" w:type="dxa"/>
          <w:right w:w="108" w:type="dxa"/>
        </w:tblCellMar>
      </w:tblPr>
      <w:tblGrid>
        <w:gridCol w:w="580"/>
        <w:gridCol w:w="1240"/>
        <w:gridCol w:w="830"/>
        <w:gridCol w:w="580"/>
        <w:gridCol w:w="1720"/>
        <w:gridCol w:w="980"/>
        <w:gridCol w:w="598"/>
        <w:gridCol w:w="1584"/>
        <w:gridCol w:w="696"/>
      </w:tblGrid>
      <w:tr>
        <w:tblPrEx>
          <w:tblCellMar>
            <w:top w:w="0" w:type="dxa"/>
            <w:left w:w="108" w:type="dxa"/>
            <w:bottom w:w="0" w:type="dxa"/>
            <w:right w:w="108" w:type="dxa"/>
          </w:tblCellMar>
        </w:tblPrEx>
        <w:trPr>
          <w:trHeight w:val="255" w:hRule="atLeast"/>
        </w:trPr>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p>
            <w:pPr>
              <w:widowControl/>
              <w:jc w:val="left"/>
              <w:rPr>
                <w:rFonts w:ascii="Arial" w:hAnsi="Arial" w:eastAsia="宋体" w:cs="Arial"/>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7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CellMar>
            <w:top w:w="0" w:type="dxa"/>
            <w:left w:w="108" w:type="dxa"/>
            <w:bottom w:w="0" w:type="dxa"/>
            <w:right w:w="108" w:type="dxa"/>
          </w:tblCellMar>
        </w:tblPrEx>
        <w:trPr>
          <w:trHeight w:val="270" w:hRule="atLeast"/>
        </w:trPr>
        <w:tc>
          <w:tcPr>
            <w:tcW w:w="4950"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Arial" w:hAnsi="Arial" w:eastAsia="宋体" w:cs="Arial"/>
                <w:color w:val="000000"/>
                <w:kern w:val="0"/>
                <w:sz w:val="20"/>
                <w:szCs w:val="20"/>
              </w:rPr>
              <w:t>部门：温州市外办系统</w:t>
            </w:r>
          </w:p>
        </w:tc>
        <w:tc>
          <w:tcPr>
            <w:tcW w:w="9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8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1820" w:type="dxa"/>
            <w:gridSpan w:val="2"/>
            <w:tcBorders>
              <w:top w:val="single" w:color="000000" w:sz="8" w:space="0"/>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830" w:type="dxa"/>
            <w:vMerge w:val="restart"/>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300" w:type="dxa"/>
            <w:gridSpan w:val="2"/>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980" w:type="dxa"/>
            <w:vMerge w:val="restart"/>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c>
          <w:tcPr>
            <w:tcW w:w="2182" w:type="dxa"/>
            <w:gridSpan w:val="2"/>
            <w:tcBorders>
              <w:top w:val="single" w:color="000000" w:sz="8"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经济分类科目</w:t>
            </w:r>
          </w:p>
        </w:tc>
        <w:tc>
          <w:tcPr>
            <w:tcW w:w="598"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金额</w:t>
            </w:r>
          </w:p>
        </w:tc>
      </w:tr>
      <w:tr>
        <w:tblPrEx>
          <w:tblCellMar>
            <w:top w:w="0" w:type="dxa"/>
            <w:left w:w="108" w:type="dxa"/>
            <w:bottom w:w="0" w:type="dxa"/>
            <w:right w:w="108" w:type="dxa"/>
          </w:tblCellMar>
        </w:tblPrEx>
        <w:trPr>
          <w:trHeight w:val="450"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83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8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980" w:type="dxa"/>
            <w:vMerge w:val="continue"/>
            <w:tcBorders>
              <w:top w:val="single" w:color="000000" w:sz="8"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科目编码</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科目名称</w:t>
            </w:r>
          </w:p>
        </w:tc>
        <w:tc>
          <w:tcPr>
            <w:tcW w:w="598" w:type="dxa"/>
            <w:vMerge w:val="continue"/>
            <w:tcBorders>
              <w:top w:val="nil"/>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color w:val="000000"/>
                <w:kern w:val="0"/>
                <w:sz w:val="12"/>
                <w:szCs w:val="12"/>
              </w:rPr>
            </w:pP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工资福利支出</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590.06</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商品和服务支出（续）</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对企事业单位的补贴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基本工资</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98.98</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30224</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被装购置费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企业政策性补贴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津贴补贴</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160.12</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30225</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专用燃料费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事业单位补贴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奖金</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117.33</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30226</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劳务费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0.98</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30403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财政贴息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社会保障缴费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40.47</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30227</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委托业务费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1.75</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30499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其他对企事业单位的补贴</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伙食补助费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10.02</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30228</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工会经费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5.33</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债务利息支出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30107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绩效工资</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118.59</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30229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福利费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8.52</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国内债务付息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30199</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其他工资福利支出</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44.55</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公务用车运行维护费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2.52</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30707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国外债务付息</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302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商品和服务支出</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115.51</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30239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其他交通费用</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45.15</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0.99</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12.45</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30240</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税金及附加费用</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房屋建筑物购建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印刷费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1.98</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30299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其他商品和服务支出</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6.50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办公设备购置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0.99</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咨询费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0.20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对个人和家庭的补助</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166.97</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专用设备购置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手续费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0.30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离休费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3.10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31005</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基础设施建设</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30205</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水费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0.26</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退休费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53.26</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31006</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大型修缮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电费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3.10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退职（役）费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31007</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信息网络及软件购置更新</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邮电费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5.39</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30304</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抚恤金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15.36</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31008</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物资储备</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30208</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取暖费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30305</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生活补助</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31009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土地补偿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30209</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物业管理费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0.39</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30306</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救济费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31010</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安置补助</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30211</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差旅费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14.06</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30307</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医疗费</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37.43</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31011</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地上附着物和青苗补偿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30212</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因公出国（境）费用</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30308</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助学金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31012</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拆迁补偿</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30213</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维修(护)费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3.02</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30309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奖励金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31013</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公务用车购置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30214</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租赁费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30310</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生产补贴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31019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其他交通工具购置</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30215</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会议费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0.84</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30311</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住房公积金</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55.42</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31099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其他资本性支出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30216</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培训费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2.79</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30312</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提租补贴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color w:val="000000"/>
                <w:kern w:val="0"/>
                <w:sz w:val="12"/>
                <w:szCs w:val="12"/>
              </w:rPr>
            </w:pPr>
            <w:r>
              <w:rPr>
                <w:rFonts w:hint="eastAsia" w:ascii="宋体" w:hAnsi="宋体" w:eastAsia="宋体" w:cs="Arial"/>
                <w:b/>
                <w:bCs/>
                <w:color w:val="000000"/>
                <w:kern w:val="0"/>
                <w:sz w:val="12"/>
                <w:szCs w:val="12"/>
              </w:rPr>
              <w:t>其他支出</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30217</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公务接待费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30313</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购房补贴</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98"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39906</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赠与</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308" w:hRule="atLeast"/>
        </w:trPr>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30218</w:t>
            </w:r>
          </w:p>
        </w:tc>
        <w:tc>
          <w:tcPr>
            <w:tcW w:w="124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专用材料费</w:t>
            </w:r>
          </w:p>
        </w:tc>
        <w:tc>
          <w:tcPr>
            <w:tcW w:w="83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0.00</w:t>
            </w:r>
          </w:p>
        </w:tc>
        <w:tc>
          <w:tcPr>
            <w:tcW w:w="58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color w:val="000000"/>
                <w:kern w:val="0"/>
                <w:sz w:val="12"/>
                <w:szCs w:val="12"/>
              </w:rPr>
            </w:pPr>
            <w:r>
              <w:rPr>
                <w:rFonts w:hint="eastAsia" w:ascii="宋体" w:hAnsi="宋体" w:eastAsia="宋体" w:cs="Arial"/>
                <w:color w:val="000000"/>
                <w:kern w:val="0"/>
                <w:sz w:val="12"/>
                <w:szCs w:val="12"/>
              </w:rPr>
              <w:t>30399</w:t>
            </w:r>
          </w:p>
        </w:tc>
        <w:tc>
          <w:tcPr>
            <w:tcW w:w="1720"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其他对个人和家庭的补助支出</w:t>
            </w:r>
          </w:p>
        </w:tc>
        <w:tc>
          <w:tcPr>
            <w:tcW w:w="98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eastAsia="宋体" w:cs="Arial"/>
                <w:color w:val="000000"/>
                <w:sz w:val="22"/>
              </w:rPr>
            </w:pPr>
            <w:r>
              <w:rPr>
                <w:rFonts w:hint="eastAsia" w:cs="Arial"/>
                <w:color w:val="000000"/>
                <w:sz w:val="22"/>
              </w:rPr>
              <w:t>2.38</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1584" w:type="dxa"/>
            <w:tcBorders>
              <w:top w:val="nil"/>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color w:val="000000"/>
                <w:kern w:val="0"/>
                <w:sz w:val="12"/>
                <w:szCs w:val="12"/>
              </w:rPr>
            </w:pPr>
            <w:r>
              <w:rPr>
                <w:rFonts w:hint="eastAsia" w:ascii="宋体" w:hAnsi="宋体" w:eastAsia="宋体" w:cs="Arial"/>
                <w:color w:val="000000"/>
                <w:kern w:val="0"/>
                <w:sz w:val="12"/>
                <w:szCs w:val="12"/>
              </w:rPr>
              <w:t>　</w:t>
            </w:r>
          </w:p>
        </w:tc>
        <w:tc>
          <w:tcPr>
            <w:tcW w:w="59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kern w:val="0"/>
                <w:sz w:val="12"/>
                <w:szCs w:val="12"/>
              </w:rPr>
            </w:pPr>
            <w:r>
              <w:rPr>
                <w:rFonts w:hint="eastAsia" w:ascii="宋体" w:hAnsi="宋体" w:eastAsia="宋体" w:cs="Arial"/>
                <w:color w:val="000000"/>
                <w:kern w:val="0"/>
                <w:sz w:val="12"/>
                <w:szCs w:val="12"/>
              </w:rPr>
              <w:t>────</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2015年度部门“三公”经费决算表</w:t>
      </w:r>
    </w:p>
    <w:tbl>
      <w:tblPr>
        <w:tblStyle w:val="4"/>
        <w:tblpPr w:leftFromText="180" w:rightFromText="180" w:vertAnchor="text" w:horzAnchor="margin" w:tblpXSpec="center" w:tblpY="472"/>
        <w:tblW w:w="7302" w:type="dxa"/>
        <w:tblInd w:w="0" w:type="dxa"/>
        <w:tblLayout w:type="autofit"/>
        <w:tblCellMar>
          <w:top w:w="0" w:type="dxa"/>
          <w:left w:w="108" w:type="dxa"/>
          <w:bottom w:w="0" w:type="dxa"/>
          <w:right w:w="108" w:type="dxa"/>
        </w:tblCellMar>
      </w:tblPr>
      <w:tblGrid>
        <w:gridCol w:w="3740"/>
        <w:gridCol w:w="620"/>
        <w:gridCol w:w="2680"/>
        <w:gridCol w:w="262"/>
      </w:tblGrid>
      <w:tr>
        <w:tblPrEx>
          <w:tblCellMar>
            <w:top w:w="0" w:type="dxa"/>
            <w:left w:w="108" w:type="dxa"/>
            <w:bottom w:w="0" w:type="dxa"/>
            <w:right w:w="108" w:type="dxa"/>
          </w:tblCellMar>
        </w:tblPrEx>
        <w:trPr>
          <w:gridAfter w:val="1"/>
          <w:wAfter w:w="262" w:type="dxa"/>
          <w:trHeight w:val="255" w:hRule="atLeast"/>
        </w:trPr>
        <w:tc>
          <w:tcPr>
            <w:tcW w:w="4360" w:type="dxa"/>
            <w:gridSpan w:val="2"/>
            <w:tcBorders>
              <w:top w:val="nil"/>
              <w:left w:val="nil"/>
              <w:bottom w:val="nil"/>
              <w:right w:val="nil"/>
            </w:tcBorders>
            <w:shd w:val="clear" w:color="auto" w:fill="auto"/>
            <w:noWrap/>
            <w:vAlign w:val="bottom"/>
          </w:tcPr>
          <w:p>
            <w:pPr>
              <w:jc w:val="center"/>
              <w:rPr>
                <w:rFonts w:ascii="Arial" w:hAnsi="Arial" w:eastAsia="宋体" w:cs="Arial"/>
                <w:color w:val="000000"/>
                <w:sz w:val="20"/>
                <w:szCs w:val="20"/>
              </w:rPr>
            </w:pPr>
          </w:p>
        </w:tc>
        <w:tc>
          <w:tcPr>
            <w:tcW w:w="2680" w:type="dxa"/>
            <w:tcBorders>
              <w:top w:val="nil"/>
              <w:left w:val="nil"/>
              <w:bottom w:val="nil"/>
              <w:right w:val="nil"/>
            </w:tcBorders>
            <w:shd w:val="clear" w:color="auto" w:fill="auto"/>
            <w:noWrap/>
            <w:vAlign w:val="bottom"/>
          </w:tcPr>
          <w:p>
            <w:pPr>
              <w:ind w:firstLine="1350" w:firstLineChars="900"/>
              <w:jc w:val="center"/>
              <w:rPr>
                <w:rFonts w:ascii="宋体" w:hAnsi="宋体" w:eastAsia="宋体" w:cs="Arial"/>
                <w:color w:val="000000"/>
                <w:sz w:val="15"/>
                <w:szCs w:val="15"/>
              </w:rPr>
            </w:pPr>
            <w:r>
              <w:rPr>
                <w:rFonts w:hint="eastAsia" w:cs="Arial"/>
                <w:color w:val="000000"/>
                <w:sz w:val="15"/>
                <w:szCs w:val="15"/>
              </w:rPr>
              <w:t>公开07表</w:t>
            </w:r>
          </w:p>
        </w:tc>
      </w:tr>
      <w:tr>
        <w:tblPrEx>
          <w:tblCellMar>
            <w:top w:w="0" w:type="dxa"/>
            <w:left w:w="108" w:type="dxa"/>
            <w:bottom w:w="0" w:type="dxa"/>
            <w:right w:w="108" w:type="dxa"/>
          </w:tblCellMar>
        </w:tblPrEx>
        <w:trPr>
          <w:gridAfter w:val="1"/>
          <w:wAfter w:w="262" w:type="dxa"/>
          <w:trHeight w:val="270" w:hRule="atLeast"/>
        </w:trPr>
        <w:tc>
          <w:tcPr>
            <w:tcW w:w="4360" w:type="dxa"/>
            <w:gridSpan w:val="2"/>
            <w:tcBorders>
              <w:top w:val="nil"/>
              <w:left w:val="nil"/>
              <w:bottom w:val="nil"/>
              <w:right w:val="nil"/>
            </w:tcBorders>
            <w:shd w:val="clear" w:color="auto" w:fill="auto"/>
            <w:noWrap/>
            <w:vAlign w:val="bottom"/>
          </w:tcPr>
          <w:p>
            <w:pPr>
              <w:jc w:val="center"/>
              <w:rPr>
                <w:rFonts w:ascii="宋体" w:hAnsi="宋体" w:eastAsia="宋体" w:cs="Arial"/>
                <w:color w:val="000000"/>
                <w:sz w:val="20"/>
                <w:szCs w:val="20"/>
              </w:rPr>
            </w:pPr>
            <w:r>
              <w:rPr>
                <w:rFonts w:hint="eastAsia" w:cs="Arial"/>
                <w:color w:val="000000"/>
                <w:sz w:val="20"/>
                <w:szCs w:val="20"/>
              </w:rPr>
              <w:t>部门：温州市外办系统</w:t>
            </w:r>
          </w:p>
        </w:tc>
        <w:tc>
          <w:tcPr>
            <w:tcW w:w="2680" w:type="dxa"/>
            <w:tcBorders>
              <w:top w:val="nil"/>
              <w:left w:val="nil"/>
              <w:bottom w:val="single" w:color="000000" w:sz="8" w:space="0"/>
              <w:right w:val="nil"/>
            </w:tcBorders>
            <w:shd w:val="clear" w:color="auto" w:fill="auto"/>
            <w:noWrap/>
            <w:vAlign w:val="bottom"/>
          </w:tcPr>
          <w:p>
            <w:pPr>
              <w:ind w:firstLine="1200" w:firstLineChars="800"/>
              <w:jc w:val="center"/>
              <w:rPr>
                <w:rFonts w:ascii="宋体" w:hAnsi="宋体" w:eastAsia="宋体" w:cs="Arial"/>
                <w:color w:val="000000"/>
                <w:sz w:val="15"/>
                <w:szCs w:val="15"/>
              </w:rPr>
            </w:pPr>
            <w:r>
              <w:rPr>
                <w:rFonts w:hint="eastAsia" w:cs="Arial"/>
                <w:color w:val="000000"/>
                <w:sz w:val="15"/>
                <w:szCs w:val="15"/>
              </w:rPr>
              <w:t>金额单位：万元</w:t>
            </w:r>
          </w:p>
        </w:tc>
      </w:tr>
      <w:tr>
        <w:tblPrEx>
          <w:tblCellMar>
            <w:top w:w="0" w:type="dxa"/>
            <w:left w:w="108" w:type="dxa"/>
            <w:bottom w:w="0" w:type="dxa"/>
            <w:right w:w="108" w:type="dxa"/>
          </w:tblCellMar>
        </w:tblPrEx>
        <w:trPr>
          <w:trHeight w:val="308" w:hRule="atLeast"/>
        </w:trPr>
        <w:tc>
          <w:tcPr>
            <w:tcW w:w="374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项   目</w:t>
            </w:r>
          </w:p>
        </w:tc>
        <w:tc>
          <w:tcPr>
            <w:tcW w:w="3562"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决算数</w:t>
            </w:r>
          </w:p>
        </w:tc>
      </w:tr>
      <w:tr>
        <w:tblPrEx>
          <w:tblCellMar>
            <w:top w:w="0" w:type="dxa"/>
            <w:left w:w="108" w:type="dxa"/>
            <w:bottom w:w="0" w:type="dxa"/>
            <w:right w:w="108" w:type="dxa"/>
          </w:tblCellMar>
        </w:tblPrEx>
        <w:trPr>
          <w:trHeight w:val="600" w:hRule="atLeast"/>
        </w:trPr>
        <w:tc>
          <w:tcPr>
            <w:tcW w:w="374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themeColor="text1"/>
                <w:kern w:val="0"/>
                <w:sz w:val="22"/>
              </w:rPr>
            </w:pPr>
          </w:p>
        </w:tc>
        <w:tc>
          <w:tcPr>
            <w:tcW w:w="3562"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color w:val="000000" w:themeColor="text1"/>
                <w:kern w:val="0"/>
                <w:sz w:val="22"/>
              </w:rPr>
            </w:pP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合   计</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cs="Arial"/>
                <w:color w:val="000000"/>
                <w:sz w:val="22"/>
              </w:rPr>
            </w:pPr>
            <w:r>
              <w:rPr>
                <w:rFonts w:hint="eastAsia" w:cs="Arial"/>
                <w:color w:val="000000"/>
                <w:sz w:val="22"/>
              </w:rPr>
              <w:t>108.10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1.因公出国（境）费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Arial"/>
                <w:color w:val="000000"/>
                <w:sz w:val="22"/>
              </w:rPr>
            </w:pPr>
            <w:r>
              <w:rPr>
                <w:rFonts w:hint="eastAsia" w:cs="Arial"/>
                <w:color w:val="000000"/>
                <w:sz w:val="22"/>
              </w:rPr>
              <w:t>78.00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2.公务接待费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Arial"/>
                <w:color w:val="000000"/>
                <w:sz w:val="22"/>
              </w:rPr>
            </w:pPr>
            <w:r>
              <w:rPr>
                <w:rFonts w:hint="eastAsia" w:cs="Arial"/>
                <w:color w:val="000000"/>
                <w:sz w:val="22"/>
              </w:rPr>
              <w:t>27.58</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3.公务用车购置及运行费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Arial"/>
                <w:color w:val="000000"/>
                <w:sz w:val="22"/>
              </w:rPr>
            </w:pPr>
            <w:r>
              <w:rPr>
                <w:rFonts w:hint="eastAsia" w:cs="Arial"/>
                <w:color w:val="000000"/>
                <w:sz w:val="22"/>
              </w:rPr>
              <w:t>2.52</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其中：公务用车购置费</w:t>
            </w:r>
          </w:p>
        </w:tc>
        <w:tc>
          <w:tcPr>
            <w:tcW w:w="3562"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740" w:type="dxa"/>
            <w:tcBorders>
              <w:top w:val="nil"/>
              <w:left w:val="single" w:color="000000" w:sz="8" w:space="0"/>
              <w:bottom w:val="single" w:color="000000" w:sz="8" w:space="0"/>
              <w:right w:val="single" w:color="000000" w:sz="4" w:space="0"/>
            </w:tcBorders>
            <w:shd w:val="clear" w:color="auto" w:fill="FFFFFF" w:themeFill="background1"/>
            <w:noWrap/>
            <w:vAlign w:val="center"/>
          </w:tcPr>
          <w:p>
            <w:pPr>
              <w:widowControl/>
              <w:jc w:val="center"/>
              <w:rPr>
                <w:rFonts w:ascii="宋体" w:hAnsi="宋体" w:eastAsia="宋体" w:cs="Arial"/>
                <w:color w:val="000000" w:themeColor="text1"/>
                <w:kern w:val="0"/>
                <w:sz w:val="22"/>
              </w:rPr>
            </w:pPr>
            <w:r>
              <w:rPr>
                <w:rFonts w:hint="eastAsia" w:ascii="宋体" w:hAnsi="宋体" w:eastAsia="宋体" w:cs="Arial"/>
                <w:color w:val="000000" w:themeColor="text1"/>
                <w:kern w:val="0"/>
                <w:sz w:val="22"/>
              </w:rPr>
              <w:t>公务用车运行维护费</w:t>
            </w:r>
          </w:p>
        </w:tc>
        <w:tc>
          <w:tcPr>
            <w:tcW w:w="3562" w:type="dxa"/>
            <w:gridSpan w:val="3"/>
            <w:tcBorders>
              <w:top w:val="nil"/>
              <w:left w:val="nil"/>
              <w:bottom w:val="single" w:color="000000" w:sz="8" w:space="0"/>
              <w:right w:val="single" w:color="000000" w:sz="4" w:space="0"/>
            </w:tcBorders>
            <w:shd w:val="clear" w:color="auto" w:fill="FFFFFF" w:themeFill="background1"/>
            <w:noWrap/>
            <w:vAlign w:val="center"/>
          </w:tcPr>
          <w:p>
            <w:pPr>
              <w:jc w:val="center"/>
              <w:rPr>
                <w:rFonts w:ascii="宋体" w:hAnsi="宋体" w:eastAsia="宋体" w:cs="Arial"/>
                <w:color w:val="000000"/>
                <w:sz w:val="22"/>
              </w:rPr>
            </w:pPr>
            <w:r>
              <w:rPr>
                <w:rFonts w:hint="eastAsia" w:cs="Arial"/>
                <w:color w:val="000000"/>
                <w:sz w:val="22"/>
              </w:rPr>
              <w:t>2.52</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sz w:val="32"/>
          <w:szCs w:val="32"/>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黑体" w:hAnsi="Times New Roman" w:eastAsia="黑体" w:cs="黑体"/>
          <w:sz w:val="32"/>
          <w:szCs w:val="32"/>
          <w:lang w:val="zh-CN"/>
        </w:rPr>
      </w:pPr>
    </w:p>
    <w:p>
      <w:pPr>
        <w:autoSpaceDE w:val="0"/>
        <w:autoSpaceDN w:val="0"/>
        <w:adjustRightInd w:val="0"/>
        <w:spacing w:line="560" w:lineRule="exact"/>
        <w:ind w:firstLine="627"/>
        <w:rPr>
          <w:rFonts w:ascii="仿宋" w:hAnsi="仿宋" w:eastAsia="仿宋" w:cs="黑体"/>
          <w:sz w:val="32"/>
          <w:szCs w:val="32"/>
          <w:lang w:val="zh-CN"/>
        </w:rPr>
      </w:pPr>
      <w:r>
        <w:rPr>
          <w:rFonts w:hint="eastAsia" w:ascii="仿宋" w:hAnsi="仿宋" w:eastAsia="仿宋" w:cs="黑体"/>
          <w:sz w:val="32"/>
          <w:szCs w:val="32"/>
          <w:lang w:val="zh-CN"/>
        </w:rPr>
        <w:t>2015年度部门政府性基金预算财政拨款收入支出决算表</w:t>
      </w:r>
    </w:p>
    <w:tbl>
      <w:tblPr>
        <w:tblStyle w:val="4"/>
        <w:tblW w:w="9428" w:type="dxa"/>
        <w:tblInd w:w="98" w:type="dxa"/>
        <w:tblLayout w:type="autofit"/>
        <w:tblCellMar>
          <w:top w:w="0" w:type="dxa"/>
          <w:left w:w="108" w:type="dxa"/>
          <w:bottom w:w="0" w:type="dxa"/>
          <w:right w:w="108" w:type="dxa"/>
        </w:tblCellMar>
      </w:tblPr>
      <w:tblGrid>
        <w:gridCol w:w="416"/>
        <w:gridCol w:w="416"/>
        <w:gridCol w:w="416"/>
        <w:gridCol w:w="1080"/>
        <w:gridCol w:w="1120"/>
        <w:gridCol w:w="1260"/>
        <w:gridCol w:w="1180"/>
        <w:gridCol w:w="1180"/>
        <w:gridCol w:w="1180"/>
        <w:gridCol w:w="1180"/>
      </w:tblGrid>
      <w:tr>
        <w:tblPrEx>
          <w:tblCellMar>
            <w:top w:w="0" w:type="dxa"/>
            <w:left w:w="108" w:type="dxa"/>
            <w:bottom w:w="0" w:type="dxa"/>
            <w:right w:w="108" w:type="dxa"/>
          </w:tblCellMar>
        </w:tblPrEx>
        <w:trPr>
          <w:trHeight w:val="255" w:hRule="atLeast"/>
        </w:trPr>
        <w:tc>
          <w:tcPr>
            <w:tcW w:w="416"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p>
            <w:pPr>
              <w:widowControl/>
              <w:jc w:val="left"/>
              <w:rPr>
                <w:rFonts w:cs="Arial" w:asciiTheme="minorEastAsia" w:hAnsiTheme="minorEastAsia"/>
                <w:color w:val="000000"/>
                <w:kern w:val="0"/>
                <w:sz w:val="20"/>
                <w:szCs w:val="20"/>
              </w:rPr>
            </w:pPr>
          </w:p>
          <w:p>
            <w:pPr>
              <w:widowControl/>
              <w:jc w:val="left"/>
              <w:rPr>
                <w:rFonts w:cs="Arial" w:asciiTheme="minorEastAsia" w:hAnsiTheme="minorEastAsia"/>
                <w:color w:val="000000"/>
                <w:kern w:val="0"/>
                <w:sz w:val="20"/>
                <w:szCs w:val="20"/>
              </w:rPr>
            </w:pPr>
          </w:p>
        </w:tc>
        <w:tc>
          <w:tcPr>
            <w:tcW w:w="416"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416"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08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12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26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18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18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c>
          <w:tcPr>
            <w:tcW w:w="118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公开</w:t>
            </w:r>
            <w:r>
              <w:rPr>
                <w:rFonts w:cs="Arial" w:asciiTheme="minorEastAsia" w:hAnsiTheme="minorEastAsia"/>
                <w:color w:val="000000"/>
                <w:kern w:val="0"/>
                <w:sz w:val="20"/>
                <w:szCs w:val="20"/>
              </w:rPr>
              <w:t>08</w:t>
            </w:r>
            <w:r>
              <w:rPr>
                <w:rFonts w:hint="eastAsia" w:cs="Arial" w:asciiTheme="minorEastAsia" w:hAnsiTheme="minorEastAsia"/>
                <w:color w:val="000000"/>
                <w:kern w:val="0"/>
                <w:sz w:val="20"/>
                <w:szCs w:val="20"/>
              </w:rPr>
              <w:t>表</w:t>
            </w:r>
          </w:p>
        </w:tc>
        <w:tc>
          <w:tcPr>
            <w:tcW w:w="1180" w:type="dxa"/>
            <w:tcBorders>
              <w:top w:val="nil"/>
              <w:left w:val="nil"/>
              <w:bottom w:val="nil"/>
              <w:right w:val="nil"/>
            </w:tcBorders>
            <w:shd w:val="clear" w:color="auto" w:fill="auto"/>
            <w:noWrap/>
            <w:vAlign w:val="bottom"/>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315" w:hRule="atLeast"/>
        </w:trPr>
        <w:tc>
          <w:tcPr>
            <w:tcW w:w="832" w:type="dxa"/>
            <w:gridSpan w:val="2"/>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部门</w:t>
            </w:r>
          </w:p>
        </w:tc>
        <w:tc>
          <w:tcPr>
            <w:tcW w:w="3876" w:type="dxa"/>
            <w:gridSpan w:val="4"/>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cs="Arial" w:asciiTheme="minorEastAsia" w:hAnsiTheme="minorEastAsia"/>
                <w:color w:val="000000"/>
                <w:kern w:val="0"/>
                <w:sz w:val="20"/>
                <w:szCs w:val="20"/>
              </w:rPr>
              <w:t>　</w:t>
            </w:r>
          </w:p>
          <w:p>
            <w:pPr>
              <w:widowControl/>
              <w:jc w:val="left"/>
              <w:rPr>
                <w:rFonts w:cs="Arial" w:asciiTheme="minorEastAsia" w:hAnsiTheme="minorEastAsia"/>
                <w:color w:val="000000"/>
                <w:kern w:val="0"/>
                <w:sz w:val="20"/>
                <w:szCs w:val="20"/>
              </w:rPr>
            </w:pPr>
            <w:r>
              <w:rPr>
                <w:rFonts w:cs="Arial" w:asciiTheme="minorEastAsia" w:hAnsiTheme="minorEastAsia"/>
                <w:color w:val="000000"/>
                <w:kern w:val="0"/>
                <w:sz w:val="20"/>
                <w:szCs w:val="20"/>
              </w:rPr>
              <w:t>　</w:t>
            </w:r>
            <w:r>
              <w:rPr>
                <w:rFonts w:hint="eastAsia" w:cs="Arial" w:asciiTheme="minorEastAsia" w:hAnsiTheme="minorEastAsia"/>
                <w:color w:val="000000"/>
                <w:kern w:val="0"/>
                <w:sz w:val="20"/>
                <w:szCs w:val="20"/>
              </w:rPr>
              <w:t>温州市外办系统</w:t>
            </w:r>
          </w:p>
        </w:tc>
        <w:tc>
          <w:tcPr>
            <w:tcW w:w="1180" w:type="dxa"/>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cs="Arial" w:asciiTheme="minorEastAsia" w:hAnsiTheme="minorEastAsia"/>
                <w:color w:val="000000"/>
                <w:kern w:val="0"/>
                <w:sz w:val="20"/>
                <w:szCs w:val="20"/>
              </w:rPr>
              <w:t>　</w:t>
            </w:r>
          </w:p>
        </w:tc>
        <w:tc>
          <w:tcPr>
            <w:tcW w:w="1180" w:type="dxa"/>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cs="Arial" w:asciiTheme="minorEastAsia" w:hAnsiTheme="minorEastAsia"/>
                <w:color w:val="000000"/>
                <w:kern w:val="0"/>
                <w:sz w:val="20"/>
                <w:szCs w:val="20"/>
              </w:rPr>
              <w:t>　</w:t>
            </w:r>
          </w:p>
        </w:tc>
        <w:tc>
          <w:tcPr>
            <w:tcW w:w="1180" w:type="dxa"/>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单位：万元</w:t>
            </w:r>
          </w:p>
        </w:tc>
        <w:tc>
          <w:tcPr>
            <w:tcW w:w="1180" w:type="dxa"/>
            <w:tcBorders>
              <w:top w:val="nil"/>
              <w:left w:val="nil"/>
              <w:bottom w:val="nil"/>
              <w:right w:val="nil"/>
            </w:tcBorders>
            <w:shd w:val="clear" w:color="000000" w:fill="FFFFFF"/>
            <w:noWrap/>
            <w:vAlign w:val="bottom"/>
          </w:tcPr>
          <w:p>
            <w:pPr>
              <w:widowControl/>
              <w:jc w:val="left"/>
              <w:rPr>
                <w:rFonts w:cs="Arial" w:asciiTheme="minorEastAsia" w:hAnsiTheme="minorEastAsia"/>
                <w:color w:val="000000"/>
                <w:kern w:val="0"/>
                <w:sz w:val="20"/>
                <w:szCs w:val="20"/>
              </w:rPr>
            </w:pPr>
            <w:r>
              <w:rPr>
                <w:rFonts w:cs="Arial" w:asciiTheme="minorEastAsia" w:hAnsiTheme="minorEastAsia"/>
                <w:color w:val="000000"/>
                <w:kern w:val="0"/>
                <w:sz w:val="20"/>
                <w:szCs w:val="20"/>
              </w:rPr>
              <w:t>　</w:t>
            </w:r>
          </w:p>
        </w:tc>
      </w:tr>
      <w:tr>
        <w:tblPrEx>
          <w:tblCellMar>
            <w:top w:w="0" w:type="dxa"/>
            <w:left w:w="108" w:type="dxa"/>
            <w:bottom w:w="0" w:type="dxa"/>
            <w:right w:w="108" w:type="dxa"/>
          </w:tblCellMar>
        </w:tblPrEx>
        <w:trPr>
          <w:trHeight w:val="308" w:hRule="atLeast"/>
        </w:trPr>
        <w:tc>
          <w:tcPr>
            <w:tcW w:w="2328"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项目</w:t>
            </w:r>
          </w:p>
        </w:tc>
        <w:tc>
          <w:tcPr>
            <w:tcW w:w="11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年初结转和结余</w:t>
            </w:r>
          </w:p>
        </w:tc>
        <w:tc>
          <w:tcPr>
            <w:tcW w:w="12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本年收入</w:t>
            </w:r>
          </w:p>
        </w:tc>
        <w:tc>
          <w:tcPr>
            <w:tcW w:w="35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本年支出</w:t>
            </w:r>
          </w:p>
        </w:tc>
        <w:tc>
          <w:tcPr>
            <w:tcW w:w="11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支出功能分类科目编码</w:t>
            </w:r>
          </w:p>
        </w:tc>
        <w:tc>
          <w:tcPr>
            <w:tcW w:w="10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科目名称</w:t>
            </w:r>
          </w:p>
        </w:tc>
        <w:tc>
          <w:tcPr>
            <w:tcW w:w="112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26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tcBorders>
              <w:top w:val="nil"/>
              <w:left w:val="nil"/>
              <w:bottom w:val="nil"/>
              <w:right w:val="single" w:color="000000" w:sz="4" w:space="0"/>
            </w:tcBorders>
            <w:shd w:val="clear" w:color="FFFFFF" w:fill="FFFFFF"/>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118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基本支出</w:t>
            </w:r>
          </w:p>
        </w:tc>
        <w:tc>
          <w:tcPr>
            <w:tcW w:w="118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项目支出</w:t>
            </w:r>
          </w:p>
        </w:tc>
        <w:tc>
          <w:tcPr>
            <w:tcW w:w="1180" w:type="dxa"/>
            <w:vMerge w:val="continue"/>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2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26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tcBorders>
              <w:top w:val="nil"/>
              <w:left w:val="nil"/>
              <w:bottom w:val="nil"/>
              <w:right w:val="single" w:color="000000" w:sz="4" w:space="0"/>
            </w:tcBorders>
            <w:shd w:val="clear" w:color="FFFFFF" w:fill="FFFFFF"/>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w:t>
            </w: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vMerge w:val="continue"/>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615"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2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26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小计</w:t>
            </w: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180" w:type="dxa"/>
            <w:vMerge w:val="continue"/>
            <w:tcBorders>
              <w:top w:val="single" w:color="000000" w:sz="8" w:space="0"/>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r>
      <w:tr>
        <w:tblPrEx>
          <w:tblCellMar>
            <w:top w:w="0" w:type="dxa"/>
            <w:left w:w="108" w:type="dxa"/>
            <w:bottom w:w="0" w:type="dxa"/>
            <w:right w:w="108" w:type="dxa"/>
          </w:tblCellMar>
        </w:tblPrEx>
        <w:trPr>
          <w:trHeight w:val="308" w:hRule="atLeast"/>
        </w:trPr>
        <w:tc>
          <w:tcPr>
            <w:tcW w:w="41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类</w:t>
            </w:r>
          </w:p>
        </w:tc>
        <w:tc>
          <w:tcPr>
            <w:tcW w:w="4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款</w:t>
            </w:r>
          </w:p>
        </w:tc>
        <w:tc>
          <w:tcPr>
            <w:tcW w:w="4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项</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栏次</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1</w:t>
            </w:r>
          </w:p>
        </w:tc>
        <w:tc>
          <w:tcPr>
            <w:tcW w:w="126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w:t>
            </w:r>
          </w:p>
        </w:tc>
        <w:tc>
          <w:tcPr>
            <w:tcW w:w="118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w:t>
            </w:r>
          </w:p>
        </w:tc>
        <w:tc>
          <w:tcPr>
            <w:tcW w:w="118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4</w:t>
            </w:r>
          </w:p>
        </w:tc>
        <w:tc>
          <w:tcPr>
            <w:tcW w:w="118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5</w:t>
            </w:r>
          </w:p>
        </w:tc>
        <w:tc>
          <w:tcPr>
            <w:tcW w:w="1180" w:type="dxa"/>
            <w:tcBorders>
              <w:top w:val="nil"/>
              <w:left w:val="nil"/>
              <w:bottom w:val="single" w:color="000000" w:sz="4" w:space="0"/>
              <w:right w:val="single" w:color="000000" w:sz="4" w:space="0"/>
            </w:tcBorders>
            <w:shd w:val="clear" w:color="FFFFFF"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6</w:t>
            </w:r>
          </w:p>
        </w:tc>
      </w:tr>
      <w:tr>
        <w:tblPrEx>
          <w:tblCellMar>
            <w:top w:w="0" w:type="dxa"/>
            <w:left w:w="108" w:type="dxa"/>
            <w:bottom w:w="0" w:type="dxa"/>
            <w:right w:w="108" w:type="dxa"/>
          </w:tblCellMar>
        </w:tblPrEx>
        <w:trPr>
          <w:trHeight w:val="308" w:hRule="atLeast"/>
        </w:trPr>
        <w:tc>
          <w:tcPr>
            <w:tcW w:w="416" w:type="dxa"/>
            <w:vMerge w:val="continue"/>
            <w:tcBorders>
              <w:top w:val="nil"/>
              <w:left w:val="single" w:color="000000" w:sz="8" w:space="0"/>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cs="Arial" w:asciiTheme="minorEastAsia" w:hAnsiTheme="minorEastAsia"/>
                <w:color w:val="000000"/>
                <w:kern w:val="0"/>
                <w:sz w:val="20"/>
                <w:szCs w:val="20"/>
              </w:rPr>
            </w:pP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合计</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0.00</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37.37</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0.00</w:t>
            </w:r>
          </w:p>
        </w:tc>
      </w:tr>
      <w:tr>
        <w:tblPrEx>
          <w:tblCellMar>
            <w:top w:w="0" w:type="dxa"/>
            <w:left w:w="108" w:type="dxa"/>
            <w:bottom w:w="0" w:type="dxa"/>
            <w:right w:w="108" w:type="dxa"/>
          </w:tblCellMar>
        </w:tblPrEx>
        <w:trPr>
          <w:trHeight w:val="308"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　229</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16"/>
                <w:szCs w:val="16"/>
              </w:rPr>
            </w:pPr>
            <w:r>
              <w:rPr>
                <w:rFonts w:hint="eastAsia" w:cs="Arial" w:asciiTheme="minorEastAsia" w:hAnsiTheme="minorEastAsia"/>
                <w:color w:val="000000"/>
                <w:kern w:val="0"/>
                <w:sz w:val="16"/>
                <w:szCs w:val="16"/>
              </w:rPr>
              <w:t>　其他支出</w:t>
            </w:r>
          </w:p>
        </w:tc>
        <w:tc>
          <w:tcPr>
            <w:tcW w:w="112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r>
      <w:tr>
        <w:tblPrEx>
          <w:tblCellMar>
            <w:top w:w="0" w:type="dxa"/>
            <w:left w:w="108" w:type="dxa"/>
            <w:bottom w:w="0" w:type="dxa"/>
            <w:right w:w="108" w:type="dxa"/>
          </w:tblCellMar>
        </w:tblPrEx>
        <w:trPr>
          <w:trHeight w:val="308"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22904</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16"/>
                <w:szCs w:val="16"/>
              </w:rPr>
            </w:pPr>
            <w:r>
              <w:rPr>
                <w:rFonts w:hint="eastAsia" w:cs="Arial" w:asciiTheme="minorEastAsia" w:hAnsiTheme="minorEastAsia"/>
                <w:color w:val="000000"/>
                <w:kern w:val="0"/>
                <w:sz w:val="16"/>
                <w:szCs w:val="16"/>
              </w:rPr>
              <w:t>其他政府型基金及对应专项债务收入安排的支出</w:t>
            </w:r>
          </w:p>
        </w:tc>
        <w:tc>
          <w:tcPr>
            <w:tcW w:w="112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r>
      <w:tr>
        <w:tblPrEx>
          <w:tblCellMar>
            <w:top w:w="0" w:type="dxa"/>
            <w:left w:w="108" w:type="dxa"/>
            <w:bottom w:w="0" w:type="dxa"/>
            <w:right w:w="108" w:type="dxa"/>
          </w:tblCellMar>
        </w:tblPrEx>
        <w:trPr>
          <w:trHeight w:val="308"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2290400</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left"/>
              <w:rPr>
                <w:rFonts w:cs="Arial" w:asciiTheme="minorEastAsia" w:hAnsiTheme="minorEastAsia"/>
                <w:color w:val="000000"/>
                <w:kern w:val="0"/>
                <w:sz w:val="16"/>
                <w:szCs w:val="16"/>
              </w:rPr>
            </w:pPr>
            <w:r>
              <w:rPr>
                <w:rFonts w:hint="eastAsia" w:cs="Arial" w:asciiTheme="minorEastAsia" w:hAnsiTheme="minorEastAsia"/>
                <w:color w:val="000000"/>
                <w:kern w:val="0"/>
                <w:sz w:val="16"/>
                <w:szCs w:val="16"/>
              </w:rPr>
              <w:t>　其他政府型基金及对应专项债务收入安排的支出</w:t>
            </w:r>
          </w:p>
        </w:tc>
        <w:tc>
          <w:tcPr>
            <w:tcW w:w="112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26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c>
          <w:tcPr>
            <w:tcW w:w="1180" w:type="dxa"/>
            <w:tcBorders>
              <w:top w:val="nil"/>
              <w:left w:val="nil"/>
              <w:bottom w:val="single" w:color="000000" w:sz="4" w:space="0"/>
              <w:right w:val="single" w:color="000000" w:sz="4" w:space="0"/>
            </w:tcBorders>
            <w:shd w:val="clear" w:color="000000" w:fill="FFFFFF"/>
            <w:noWrap/>
            <w:vAlign w:val="center"/>
          </w:tcPr>
          <w:p>
            <w:pPr>
              <w:widowControl/>
              <w:jc w:val="center"/>
              <w:rPr>
                <w:rFonts w:cs="Arial" w:asciiTheme="minorEastAsia" w:hAnsiTheme="minorEastAsia"/>
                <w:color w:val="000000"/>
                <w:kern w:val="0"/>
                <w:sz w:val="20"/>
                <w:szCs w:val="20"/>
              </w:rPr>
            </w:pPr>
            <w:r>
              <w:rPr>
                <w:rFonts w:hint="eastAsia" w:cs="Arial" w:asciiTheme="minorEastAsia" w:hAnsiTheme="minorEastAsia"/>
                <w:color w:val="000000"/>
                <w:kern w:val="0"/>
                <w:sz w:val="20"/>
                <w:szCs w:val="20"/>
              </w:rPr>
              <w:t>34.37</w:t>
            </w:r>
          </w:p>
        </w:tc>
        <w:tc>
          <w:tcPr>
            <w:tcW w:w="1180" w:type="dxa"/>
            <w:tcBorders>
              <w:top w:val="nil"/>
              <w:left w:val="nil"/>
              <w:bottom w:val="single" w:color="000000" w:sz="4" w:space="0"/>
              <w:right w:val="single" w:color="000000" w:sz="4" w:space="0"/>
            </w:tcBorders>
            <w:shd w:val="clear" w:color="000000" w:fill="FFFFFF"/>
            <w:noWrap/>
          </w:tcPr>
          <w:p>
            <w:pPr>
              <w:jc w:val="center"/>
            </w:pPr>
            <w:r>
              <w:rPr>
                <w:rFonts w:hint="eastAsia" w:cs="Arial" w:asciiTheme="minorEastAsia" w:hAnsiTheme="minorEastAsia"/>
                <w:color w:val="000000"/>
                <w:kern w:val="0"/>
                <w:sz w:val="20"/>
                <w:szCs w:val="20"/>
              </w:rPr>
              <w:t>0.00</w:t>
            </w:r>
          </w:p>
        </w:tc>
      </w:tr>
    </w:tbl>
    <w:p>
      <w:pPr>
        <w:autoSpaceDE w:val="0"/>
        <w:autoSpaceDN w:val="0"/>
        <w:adjustRightInd w:val="0"/>
        <w:spacing w:line="560" w:lineRule="exact"/>
        <w:ind w:firstLine="627"/>
        <w:rPr>
          <w:rFonts w:cs="黑体" w:asciiTheme="minorEastAsia" w:hAnsiTheme="minorEastAsia"/>
          <w:sz w:val="20"/>
          <w:szCs w:val="20"/>
          <w:lang w:val="zh-CN"/>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2015</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2015年度收入总计1227.38万元，支出总计1227.38万元。与上年相比，收支总计各增13.65万元，增长1.12%，主要原因:</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1、收入方面：财政拨款增加61.36万元，2014年度上年结转数24.4万元，其他收入数23.31万元，2015年度两项均无数据。</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2、支出方面：一般公共服务支出数减少10.05万元，科学技术支出减少51.42万元，医疗保障增加4.54万元，涉外发展服务支出增加52.03万元，住房保障支出增加11.26万元，其他支出增加7.29万元。</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年度收入合计1227.38万元，比上年增加13.65万元，增长1.12%。其中：财政拨款1227.38万元，占100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年度支出合计1227.38万元，比上年增加13.65万元，增长1.12%。其中：基本支出873.53万元，占71.17 %；项目支出353.85万元，占28.83%。</w:t>
      </w:r>
    </w:p>
    <w:p>
      <w:pPr>
        <w:autoSpaceDE w:val="0"/>
        <w:autoSpaceDN w:val="0"/>
        <w:adjustRightInd w:val="0"/>
        <w:spacing w:line="560" w:lineRule="exact"/>
        <w:ind w:firstLine="63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2015年度财政拨款收支总计1227.38万元，与上年相比，财政拨款收支总计各增36.96万元，增长3.11%，主要原因是2015年度无其它收入数，均为财政拨款数。</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2015</w:t>
      </w:r>
      <w:r>
        <w:rPr>
          <w:rFonts w:hint="eastAsia" w:ascii="仿宋" w:hAnsi="Times New Roman" w:eastAsia="仿宋" w:cs="仿宋"/>
          <w:color w:val="000000"/>
          <w:sz w:val="32"/>
          <w:szCs w:val="32"/>
        </w:rPr>
        <w:t>年度部门决算财政拨款支出年初预算1114.96万元，支出决算1227.38万元，完成年初预算110.09%, 决算数大于预算数的主要原因是一般公共服务支出追加55.4万元、涉外发展服务支出追加52.03万元等。</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．行政运行支出主要用于本级行政人员及其离退休人员工资福利支出，以及商品和服务指出等公用经费开支等。</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．一般行政管理事务支出主要用于本级各项目经费开支，保障各项工作任务的顺利完成。</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．事业运行支出主要用于下属事业单位人员及其离退休人员工资福利支出，以及商品和服务支出等公用经费的开支等。</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4. 其他政府办公厅(室)及相关机构事务支出主要用于下属事业单位各项目经费开支,保障各项工作任务的顺利完成.</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5. 引进人才费用支出主要用于本级外语人才培养与</w:t>
      </w:r>
      <w:r>
        <w:rPr>
          <w:rFonts w:hint="eastAsia" w:ascii="仿宋" w:hAnsi="Times New Roman" w:eastAsia="仿宋" w:cs="仿宋"/>
          <w:color w:val="000000"/>
          <w:sz w:val="32"/>
          <w:szCs w:val="32"/>
          <w:lang w:eastAsia="zh-CN"/>
        </w:rPr>
        <w:t>选拔</w:t>
      </w:r>
      <w:bookmarkStart w:id="0" w:name="_GoBack"/>
      <w:bookmarkEnd w:id="0"/>
      <w:r>
        <w:rPr>
          <w:rFonts w:hint="eastAsia" w:ascii="仿宋" w:hAnsi="Times New Roman" w:eastAsia="仿宋" w:cs="仿宋"/>
          <w:color w:val="000000"/>
          <w:sz w:val="32"/>
          <w:szCs w:val="32"/>
        </w:rPr>
        <w:t>经费.</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6. 其他科学技术支出主要用于本级外语人才培养与选拔经费.</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7. 行政单位医疗支出主要用于本级行政人员医疗保障经费.</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8. 事业单位医疗支出主要用于下属事业单位人员医疗保障经费.</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9. 其他涉外发展服务支出主要用于中日韩文化交流论坛第十一次会议经费.</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10.住房公积金支出主要用于本级及下属单位人员住房保障支出.</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11.其他政府性基金及对应专项债务收入安排的支出主要用于下属单位对应其他政府性基金收入的业务费用的支出以及保障业务开展的专项开支等.</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480"/>
        <w:rPr>
          <w:rFonts w:ascii="仿宋" w:hAnsi="Times New Roman" w:eastAsia="仿宋" w:cs="仿宋"/>
          <w:color w:val="000000"/>
          <w:sz w:val="32"/>
          <w:szCs w:val="32"/>
        </w:rPr>
      </w:pPr>
      <w:r>
        <w:rPr>
          <w:rFonts w:hint="eastAsia" w:ascii="仿宋" w:hAnsi="Times New Roman" w:eastAsia="仿宋" w:cs="仿宋"/>
          <w:color w:val="000000"/>
          <w:sz w:val="32"/>
          <w:szCs w:val="32"/>
        </w:rPr>
        <w:t>2015年度一般公共预算财政拨款基本支出873.53万元。其中：人员经费757.03万元，包括工资福利支出590.06万元,对个人和家庭的补助166.97万元；公用经费116.5万元，包括商品和服务支出115.51万元,其他资本性支出0.99万元。</w:t>
      </w:r>
    </w:p>
    <w:p>
      <w:pPr>
        <w:autoSpaceDE w:val="0"/>
        <w:autoSpaceDN w:val="0"/>
        <w:adjustRightInd w:val="0"/>
        <w:spacing w:line="560" w:lineRule="exact"/>
        <w:ind w:left="477" w:firstLine="150"/>
        <w:rPr>
          <w:rFonts w:ascii="仿宋" w:hAnsi="Times New Roman" w:eastAsia="仿宋" w:cs="仿宋"/>
          <w:color w:val="000000"/>
          <w:sz w:val="32"/>
          <w:szCs w:val="32"/>
        </w:rPr>
      </w:pPr>
      <w:r>
        <w:rPr>
          <w:rFonts w:hint="eastAsia" w:ascii="仿宋" w:hAnsi="Times New Roman" w:eastAsia="仿宋" w:cs="仿宋"/>
          <w:color w:val="000000"/>
          <w:sz w:val="32"/>
          <w:szCs w:val="32"/>
        </w:rPr>
        <w:t>（七）</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根据市政府安排的因公出国计划和实际工作需要，</w:t>
      </w:r>
      <w:r>
        <w:rPr>
          <w:rFonts w:ascii="仿宋" w:hAnsi="Times New Roman" w:eastAsia="仿宋" w:cs="仿宋"/>
          <w:kern w:val="0"/>
          <w:sz w:val="32"/>
          <w:szCs w:val="32"/>
        </w:rPr>
        <w:t>2015</w:t>
      </w:r>
      <w:r>
        <w:rPr>
          <w:rFonts w:hint="eastAsia" w:ascii="仿宋" w:hAnsi="Times New Roman" w:eastAsia="仿宋" w:cs="仿宋"/>
          <w:kern w:val="0"/>
          <w:sz w:val="32"/>
          <w:szCs w:val="32"/>
        </w:rPr>
        <w:t>年度因公出国（境）支出78万元，比上年下降6.85</w:t>
      </w:r>
      <w:r>
        <w:rPr>
          <w:rFonts w:ascii="仿宋" w:hAnsi="Times New Roman" w:eastAsia="仿宋" w:cs="仿宋"/>
          <w:kern w:val="0"/>
          <w:sz w:val="32"/>
          <w:szCs w:val="32"/>
        </w:rPr>
        <w:t>%</w:t>
      </w:r>
      <w:r>
        <w:rPr>
          <w:rFonts w:hint="eastAsia" w:ascii="仿宋" w:hAnsi="Times New Roman" w:eastAsia="仿宋" w:cs="仿宋"/>
          <w:kern w:val="0"/>
          <w:sz w:val="32"/>
          <w:szCs w:val="32"/>
        </w:rPr>
        <w:t>。主要用于本级机关及下属预算单位的执行出访任务的工作人员及翻译人员公务出国（境）的住宿费、国际旅费、公杂费等支出。由于出访任务的不同、出访国家的不同、出访时间的不同以及本着厉行节约的原则等等，2015年度因公出国（境）费用略有下降。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团组2个；本部门全年因公出国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累计25人次(含上年出访在本年结算的3人次)，与上年同口径人次数持平。</w:t>
      </w:r>
    </w:p>
    <w:p>
      <w:pPr>
        <w:tabs>
          <w:tab w:val="left" w:pos="2706"/>
        </w:tabs>
        <w:autoSpaceDE w:val="0"/>
        <w:autoSpaceDN w:val="0"/>
        <w:adjustRightInd w:val="0"/>
        <w:spacing w:line="560" w:lineRule="exact"/>
        <w:ind w:firstLine="6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2015</w:t>
      </w:r>
      <w:r>
        <w:rPr>
          <w:rFonts w:hint="eastAsia" w:ascii="仿宋" w:hAnsi="Times New Roman" w:eastAsia="仿宋" w:cs="仿宋"/>
          <w:sz w:val="32"/>
          <w:szCs w:val="32"/>
        </w:rPr>
        <w:t>年度公务接待费支出27.58万元，比上年决算数下降23.24</w:t>
      </w:r>
      <w:r>
        <w:rPr>
          <w:rFonts w:ascii="仿宋" w:hAnsi="Times New Roman" w:eastAsia="仿宋" w:cs="仿宋"/>
          <w:sz w:val="32"/>
          <w:szCs w:val="32"/>
        </w:rPr>
        <w:t>%</w:t>
      </w:r>
      <w:r>
        <w:rPr>
          <w:rFonts w:hint="eastAsia" w:ascii="仿宋" w:hAnsi="Times New Roman" w:eastAsia="仿宋" w:cs="仿宋"/>
          <w:sz w:val="32"/>
          <w:szCs w:val="32"/>
        </w:rPr>
        <w:t>。主要用于接待来我市访问的内外宾公务团组等支出。减少的主要原因是本着厉行节约的原则， 严格执行公务接待标准， 降低公务接待费用所致。</w:t>
      </w:r>
      <w:r>
        <w:rPr>
          <w:rFonts w:hint="eastAsia" w:ascii="仿宋" w:hAnsi="Times New Roman" w:eastAsia="仿宋" w:cs="仿宋"/>
          <w:kern w:val="0"/>
          <w:sz w:val="32"/>
          <w:szCs w:val="32"/>
        </w:rPr>
        <w:t>其中，本部门国内公务接待批次379批，人次（不包括陪同人员）782人，支出27.58万元；无国（境）外外事接待。</w:t>
      </w:r>
    </w:p>
    <w:p>
      <w:pPr>
        <w:autoSpaceDE w:val="0"/>
        <w:autoSpaceDN w:val="0"/>
        <w:adjustRightInd w:val="0"/>
        <w:spacing w:line="560" w:lineRule="exact"/>
        <w:ind w:firstLine="600"/>
        <w:rPr>
          <w:rFonts w:ascii="仿宋" w:hAnsi="Times New Roman" w:eastAsia="仿宋" w:cs="仿宋"/>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2015</w:t>
      </w:r>
      <w:r>
        <w:rPr>
          <w:rFonts w:hint="eastAsia" w:ascii="仿宋" w:hAnsi="Times New Roman" w:eastAsia="仿宋" w:cs="仿宋"/>
          <w:kern w:val="0"/>
          <w:sz w:val="32"/>
          <w:szCs w:val="32"/>
        </w:rPr>
        <w:t>年度公务用车购置及运行维护费支出2.52万元，比上年下降13.7</w:t>
      </w:r>
      <w:r>
        <w:rPr>
          <w:rFonts w:ascii="仿宋" w:hAnsi="Times New Roman" w:eastAsia="仿宋" w:cs="仿宋"/>
          <w:kern w:val="0"/>
          <w:sz w:val="32"/>
          <w:szCs w:val="32"/>
        </w:rPr>
        <w:t>%</w:t>
      </w:r>
      <w:r>
        <w:rPr>
          <w:rFonts w:hint="eastAsia" w:ascii="仿宋" w:hAnsi="Times New Roman" w:eastAsia="仿宋" w:cs="仿宋"/>
          <w:kern w:val="0"/>
          <w:sz w:val="32"/>
          <w:szCs w:val="32"/>
        </w:rPr>
        <w:t>。其中，无公务用车购置支出，公务用车运行维护费支出2.52万元，主要用于本级一辆外事接待用车所需的燃料费、维修费、过路过桥费、保险费等支出。</w:t>
      </w:r>
      <w:r>
        <w:rPr>
          <w:rFonts w:ascii="仿宋" w:hAnsi="Times New Roman" w:eastAsia="仿宋" w:cs="仿宋"/>
          <w:kern w:val="0"/>
          <w:sz w:val="32"/>
          <w:szCs w:val="32"/>
        </w:rPr>
        <w:t>2015</w:t>
      </w:r>
      <w:r>
        <w:rPr>
          <w:rFonts w:hint="eastAsia" w:ascii="仿宋" w:hAnsi="Times New Roman" w:eastAsia="仿宋" w:cs="仿宋"/>
          <w:kern w:val="0"/>
          <w:sz w:val="32"/>
          <w:szCs w:val="32"/>
        </w:rPr>
        <w:t>年度，本级及所属单位</w:t>
      </w:r>
      <w:r>
        <w:rPr>
          <w:rFonts w:hint="eastAsia" w:ascii="仿宋" w:hAnsi="Times New Roman" w:eastAsia="仿宋" w:cs="仿宋"/>
          <w:sz w:val="32"/>
          <w:szCs w:val="32"/>
          <w:lang w:val="zh-CN"/>
        </w:rPr>
        <w:t>公务用车保有量为1</w:t>
      </w:r>
      <w:r>
        <w:rPr>
          <w:rFonts w:hint="eastAsia" w:ascii="仿宋" w:hAnsi="Times New Roman" w:eastAsia="仿宋" w:cs="仿宋"/>
          <w:sz w:val="32"/>
          <w:szCs w:val="32"/>
        </w:rPr>
        <w:t>辆，</w:t>
      </w:r>
      <w:r>
        <w:rPr>
          <w:rFonts w:hint="eastAsia" w:ascii="仿宋" w:hAnsi="Times New Roman" w:eastAsia="仿宋" w:cs="仿宋"/>
          <w:kern w:val="0"/>
          <w:sz w:val="32"/>
          <w:szCs w:val="32"/>
        </w:rPr>
        <w:t>无增减。公务用车运行维护费支出比上年增长下降13.7</w:t>
      </w:r>
      <w:r>
        <w:rPr>
          <w:rFonts w:ascii="仿宋" w:hAnsi="Times New Roman" w:eastAsia="仿宋" w:cs="仿宋"/>
          <w:kern w:val="0"/>
          <w:sz w:val="32"/>
          <w:szCs w:val="32"/>
        </w:rPr>
        <w:t>%</w:t>
      </w:r>
      <w:r>
        <w:rPr>
          <w:rFonts w:hint="eastAsia" w:ascii="仿宋" w:hAnsi="Times New Roman" w:eastAsia="仿宋" w:cs="仿宋"/>
          <w:kern w:val="0"/>
          <w:sz w:val="32"/>
          <w:szCs w:val="32"/>
        </w:rPr>
        <w:t>，主要原因是燃料费有所减少。</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4.“三公”经费决算小于预算的原因：执行三公经费压缩要求，打造节约型机关。</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（八）机关运行经费支出情况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2015年度本级机关1</w:t>
      </w:r>
      <w:r>
        <w:rPr>
          <w:rFonts w:hint="eastAsia" w:ascii="仿宋" w:eastAsia="仿宋" w:cs="仿宋"/>
          <w:kern w:val="0"/>
          <w:sz w:val="32"/>
          <w:szCs w:val="32"/>
        </w:rPr>
        <w:t>家行政单位机关</w:t>
      </w:r>
      <w:r>
        <w:rPr>
          <w:rFonts w:hint="eastAsia" w:ascii="仿宋" w:hAnsi="Times New Roman" w:eastAsia="仿宋" w:cs="仿宋"/>
          <w:kern w:val="0"/>
          <w:sz w:val="32"/>
          <w:szCs w:val="32"/>
        </w:rPr>
        <w:t>运行经费支出85.75万元， 2014年度决算中机关运行经费支出51.55万元，不包含日常业务经费项下机关运行经费支出42.15万元，为合理比较，故此调整2014年度机关运行经费支出为93.7万元，2015年度比上年减少7.95万元，下降8.49 %，主要原因是人员减少一人以及节约开支等。</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2015年度市外办</w:t>
      </w:r>
      <w:r>
        <w:rPr>
          <w:rFonts w:hint="eastAsia" w:ascii="仿宋" w:eastAsia="仿宋" w:cs="仿宋"/>
          <w:kern w:val="0"/>
          <w:sz w:val="32"/>
          <w:szCs w:val="32"/>
        </w:rPr>
        <w:t>本级及下属中心单位</w:t>
      </w:r>
      <w:r>
        <w:rPr>
          <w:rFonts w:hint="eastAsia" w:ascii="仿宋" w:hAnsi="Times New Roman" w:eastAsia="仿宋" w:cs="仿宋"/>
          <w:kern w:val="0"/>
          <w:sz w:val="32"/>
          <w:szCs w:val="32"/>
        </w:rPr>
        <w:t>政府采购预算6.32万元，采购支出总额5.99万元。其中：货物采购预算6.32万元，采购支出5.99万元。采购支出小于采购预算的主要原因是实际购买价格小于预算单价。</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（十）国有资产占用情况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截止2015年底，市外办</w:t>
      </w:r>
      <w:r>
        <w:rPr>
          <w:rFonts w:hint="eastAsia" w:ascii="仿宋" w:eastAsia="仿宋" w:cs="仿宋"/>
          <w:kern w:val="0"/>
          <w:sz w:val="32"/>
          <w:szCs w:val="32"/>
        </w:rPr>
        <w:t>本级及所下属预算单位</w:t>
      </w:r>
      <w:r>
        <w:rPr>
          <w:rFonts w:hint="eastAsia" w:ascii="仿宋" w:hAnsi="Times New Roman" w:eastAsia="仿宋" w:cs="仿宋"/>
          <w:kern w:val="0"/>
          <w:sz w:val="32"/>
          <w:szCs w:val="32"/>
        </w:rPr>
        <w:t>资产合计1171.61万元，比上年增长5.69%，主要原因是流动资产增加52.27万元，占增长数82.83%。其中：流动资产437.8万元，占总资产的37.36%；固定资产720.12万元，占总资产的61.47%；无形资产13.69万元，占总资产的1.17%。固定资产含：车辆1辆，其中其他用车1辆，其他用车主要用于外宾接待。</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（十一）绩效评价结果情况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2015年度本部门无绩效评价项目。</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p>
    <w:p>
      <w:pPr>
        <w:spacing w:line="600" w:lineRule="exact"/>
        <w:ind w:firstLine="640" w:firstLineChars="200"/>
        <w:rPr>
          <w:rFonts w:ascii="仿宋" w:hAnsi="仿宋" w:eastAsia="仿宋"/>
          <w:sz w:val="32"/>
        </w:rPr>
      </w:pPr>
      <w:r>
        <w:rPr>
          <w:rFonts w:hint="eastAsia" w:ascii="仿宋_GB2312" w:hAnsi="仿宋_GB2312" w:eastAsia="仿宋_GB2312"/>
          <w:sz w:val="32"/>
        </w:rPr>
        <w:t>1</w:t>
      </w:r>
      <w:r>
        <w:rPr>
          <w:rFonts w:hint="eastAsia" w:ascii="仿宋" w:hAnsi="仿宋" w:eastAsia="仿宋"/>
          <w:sz w:val="32"/>
        </w:rPr>
        <w:t>.财政拨款收入：从同级财政部门取得的财政预算资金，包括公共预算财政拨款和政府性基金预算财政拨款。</w:t>
      </w:r>
    </w:p>
    <w:p>
      <w:pPr>
        <w:spacing w:line="600" w:lineRule="exact"/>
        <w:ind w:firstLine="640" w:firstLineChars="200"/>
        <w:rPr>
          <w:rFonts w:ascii="仿宋" w:hAnsi="仿宋" w:eastAsia="仿宋"/>
          <w:sz w:val="32"/>
        </w:rPr>
      </w:pPr>
      <w:r>
        <w:rPr>
          <w:rFonts w:hint="eastAsia" w:ascii="仿宋" w:hAnsi="仿宋" w:eastAsia="仿宋"/>
          <w:sz w:val="32"/>
        </w:rPr>
        <w:t>2.事业单位专户资金收入：从同级财政部门取得的财政专户管理资金。</w:t>
      </w:r>
    </w:p>
    <w:p>
      <w:pPr>
        <w:spacing w:line="600" w:lineRule="exact"/>
        <w:ind w:firstLine="640" w:firstLineChars="200"/>
        <w:rPr>
          <w:rFonts w:ascii="仿宋" w:hAnsi="仿宋" w:eastAsia="仿宋"/>
          <w:sz w:val="32"/>
        </w:rPr>
      </w:pPr>
      <w:r>
        <w:rPr>
          <w:rFonts w:hint="eastAsia" w:ascii="仿宋" w:hAnsi="仿宋" w:eastAsia="仿宋"/>
          <w:sz w:val="32"/>
        </w:rPr>
        <w:t>3.事业收入：事业单位开展专业业务活动及辅助活动所取得的收入，不含财政专户管理资金收入。</w:t>
      </w:r>
    </w:p>
    <w:p>
      <w:pPr>
        <w:spacing w:line="600" w:lineRule="exact"/>
        <w:ind w:firstLine="640" w:firstLineChars="200"/>
        <w:rPr>
          <w:rFonts w:ascii="仿宋" w:hAnsi="仿宋" w:eastAsia="仿宋"/>
          <w:sz w:val="32"/>
        </w:rPr>
      </w:pPr>
      <w:r>
        <w:rPr>
          <w:rFonts w:hint="eastAsia" w:ascii="仿宋" w:hAnsi="仿宋" w:eastAsia="仿宋"/>
          <w:sz w:val="32"/>
        </w:rPr>
        <w:t>4.经营收入：事业单位在专业业务活动及辅助活动之外开展非独立核算经营活动取得的收入。</w:t>
      </w:r>
    </w:p>
    <w:p>
      <w:pPr>
        <w:spacing w:line="600" w:lineRule="exact"/>
        <w:ind w:firstLine="640" w:firstLineChars="200"/>
        <w:rPr>
          <w:rFonts w:ascii="仿宋" w:hAnsi="仿宋" w:eastAsia="仿宋"/>
          <w:sz w:val="32"/>
        </w:rPr>
      </w:pPr>
      <w:r>
        <w:rPr>
          <w:rFonts w:hint="eastAsia" w:ascii="仿宋" w:hAnsi="仿宋" w:eastAsia="仿宋"/>
          <w:sz w:val="32"/>
        </w:rPr>
        <w:t>5.其他收入：预算单位在“财政拨款、事业收入（财政专户管理资金收入）、经营收入”等之外取得的各项收入（含上级补助收入和附属单位缴款等收入）。</w:t>
      </w:r>
    </w:p>
    <w:p>
      <w:pPr>
        <w:spacing w:line="600" w:lineRule="exact"/>
        <w:ind w:firstLine="640" w:firstLineChars="200"/>
        <w:rPr>
          <w:rFonts w:ascii="仿宋" w:hAnsi="仿宋" w:eastAsia="仿宋"/>
          <w:sz w:val="32"/>
        </w:rPr>
      </w:pPr>
      <w:r>
        <w:rPr>
          <w:rFonts w:hint="eastAsia" w:ascii="仿宋" w:hAnsi="仿宋" w:eastAsia="仿宋"/>
          <w:sz w:val="32"/>
        </w:rPr>
        <w:t>6.用事业基金弥补收支差额：事业单位在当年收入不足以安排当年支出情况下，使用以前年度积累的事业基金弥补本年收支缺口的资金。</w:t>
      </w:r>
    </w:p>
    <w:p>
      <w:pPr>
        <w:spacing w:line="600" w:lineRule="exact"/>
        <w:ind w:firstLine="640" w:firstLineChars="200"/>
        <w:rPr>
          <w:rFonts w:ascii="仿宋" w:hAnsi="仿宋" w:eastAsia="仿宋"/>
          <w:sz w:val="32"/>
        </w:rPr>
      </w:pPr>
      <w:r>
        <w:rPr>
          <w:rFonts w:hint="eastAsia" w:ascii="仿宋" w:hAnsi="仿宋" w:eastAsia="仿宋"/>
          <w:sz w:val="32"/>
        </w:rPr>
        <w:t>7.上年结转：预算单位以前年度的收入预算未执行完毕，需结转本年度继续使用的结转资金，以及以前年度收支相抵后的盈余或亏损结余资金。</w:t>
      </w:r>
    </w:p>
    <w:p>
      <w:pPr>
        <w:spacing w:line="600" w:lineRule="exact"/>
        <w:ind w:firstLine="640" w:firstLineChars="200"/>
        <w:rPr>
          <w:rFonts w:ascii="仿宋" w:hAnsi="仿宋" w:eastAsia="仿宋"/>
          <w:sz w:val="32"/>
        </w:rPr>
      </w:pPr>
      <w:r>
        <w:rPr>
          <w:rFonts w:hint="eastAsia" w:ascii="仿宋" w:hAnsi="仿宋" w:eastAsia="仿宋"/>
          <w:sz w:val="32"/>
        </w:rPr>
        <w:t>8.结余分配：事业单位按照国家规定应交所得税和提取事业基金、专用基金的分配情况和结果。</w:t>
      </w:r>
    </w:p>
    <w:p>
      <w:pPr>
        <w:spacing w:line="600" w:lineRule="exact"/>
        <w:ind w:firstLine="640" w:firstLineChars="200"/>
        <w:rPr>
          <w:rFonts w:ascii="仿宋" w:hAnsi="仿宋" w:eastAsia="仿宋"/>
          <w:sz w:val="32"/>
        </w:rPr>
      </w:pPr>
      <w:r>
        <w:rPr>
          <w:rFonts w:hint="eastAsia" w:ascii="仿宋" w:hAnsi="仿宋" w:eastAsia="仿宋"/>
          <w:sz w:val="32"/>
        </w:rPr>
        <w:t>9.结转下年：预算单位本年底前的收入预算未执行完毕，需结转下年度按照原用途继续使用的结转资金，以及本年底前收支相抵后盈余或亏损的结余资金。</w:t>
      </w:r>
    </w:p>
    <w:p>
      <w:pPr>
        <w:spacing w:line="600" w:lineRule="exact"/>
        <w:ind w:firstLine="640" w:firstLineChars="200"/>
        <w:rPr>
          <w:rFonts w:ascii="仿宋" w:hAnsi="仿宋" w:eastAsia="仿宋"/>
          <w:sz w:val="32"/>
        </w:rPr>
      </w:pPr>
      <w:r>
        <w:rPr>
          <w:rFonts w:hint="eastAsia" w:ascii="仿宋" w:hAnsi="仿宋" w:eastAsia="仿宋"/>
          <w:sz w:val="32"/>
        </w:rPr>
        <w:t>10.基本支出：是预算单位为保障其正常运转，完成日常工作任务所发生的支出，包括人员支出和日常公用支出。</w:t>
      </w:r>
    </w:p>
    <w:p>
      <w:pPr>
        <w:spacing w:line="600" w:lineRule="exact"/>
        <w:ind w:firstLine="640" w:firstLineChars="200"/>
        <w:rPr>
          <w:rFonts w:ascii="仿宋" w:hAnsi="仿宋" w:eastAsia="仿宋"/>
          <w:sz w:val="32"/>
        </w:rPr>
      </w:pPr>
      <w:r>
        <w:rPr>
          <w:rFonts w:hint="eastAsia" w:ascii="仿宋" w:hAnsi="仿宋" w:eastAsia="仿宋"/>
          <w:sz w:val="32"/>
        </w:rPr>
        <w:t>11.项目支出：是预算单位为完成其特定的行政工作任务或事业发展目标所发生的支出。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12.因公出国（境）费用：反映单位公务出国（境）的国际旅费、国外城市间交通费、住宿费、伙食费、培训费、公杂费等支出。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13.公务接待费：反映单位按规定开支的各类公务接待（含外宾接待）费用。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14.公务用车购置：反映公务用车车辆购置支出（含车辆购置税）。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15.公务用车运行维护费：反映公务用车租用费、燃料费、维修费、过桥过路费、保险费、安全奖励费用等支出。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20.无形资产：是指不具有实物形态而能为单位提供某种权利的非货币性资产。包括计算机软件、土地使用权、著作权、专利权、非专利技术等。</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21. 201一般公共服务：反映政府提供一般公共服务的支出。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22</w:t>
      </w:r>
      <w:r>
        <w:rPr>
          <w:rFonts w:ascii="仿宋" w:hAnsi="仿宋" w:eastAsia="仿宋"/>
          <w:sz w:val="32"/>
        </w:rPr>
        <w:t>.</w:t>
      </w:r>
      <w:r>
        <w:rPr>
          <w:rFonts w:hint="eastAsia" w:ascii="仿宋" w:hAnsi="仿宋" w:eastAsia="仿宋"/>
          <w:sz w:val="32"/>
        </w:rPr>
        <w:t xml:space="preserve"> 20103政府办公厅（室）及相关机构事务：反映各级政府办公厅（室）及相关机构的支出。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23. 2010301行政运行：反映行政单位的基本支出。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24. 2010302一般行政管理事务：反映行政单位未单独设置项级科目的其他项目支出。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25. 2010350事业运行：反映除为行政单位提供后勤服务的各类后勤服务中心、医务室等附属事业单位外的其他事业单位基本支出。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26. 2010399其他政府办公厅（室）及相关机构事务支出：反映除上述项目以外的其他政府办公厅（室）及相关机构事务支出。</w:t>
      </w:r>
    </w:p>
    <w:p>
      <w:pPr>
        <w:spacing w:line="360" w:lineRule="auto"/>
        <w:jc w:val="left"/>
        <w:rPr>
          <w:rFonts w:ascii="仿宋" w:hAnsi="仿宋" w:eastAsia="仿宋" w:cs="宋体"/>
          <w:color w:val="000000"/>
          <w:kern w:val="0"/>
          <w:sz w:val="32"/>
          <w:szCs w:val="32"/>
        </w:rPr>
      </w:pPr>
      <w:r>
        <w:rPr>
          <w:rFonts w:hint="eastAsia" w:ascii="仿宋" w:hAnsi="仿宋" w:eastAsia="仿宋"/>
          <w:sz w:val="32"/>
        </w:rPr>
        <w:t xml:space="preserve">    27. 20110人力资源事务:</w:t>
      </w:r>
      <w:r>
        <w:rPr>
          <w:rFonts w:hint="eastAsia" w:ascii="宋体" w:hAnsi="宋体" w:eastAsia="宋体" w:cs="宋体"/>
          <w:color w:val="000000"/>
          <w:kern w:val="0"/>
          <w:sz w:val="20"/>
          <w:szCs w:val="20"/>
        </w:rPr>
        <w:t xml:space="preserve"> </w:t>
      </w:r>
      <w:r>
        <w:rPr>
          <w:rFonts w:hint="eastAsia" w:ascii="仿宋" w:hAnsi="仿宋" w:eastAsia="仿宋" w:cs="宋体"/>
          <w:color w:val="000000"/>
          <w:kern w:val="0"/>
          <w:sz w:val="32"/>
          <w:szCs w:val="32"/>
        </w:rPr>
        <w:t xml:space="preserve"> 反映人力资源、机构编制、公务员管理、军转、外专等方面的支出。</w:t>
      </w:r>
    </w:p>
    <w:p>
      <w:pPr>
        <w:spacing w:line="360" w:lineRule="auto"/>
        <w:jc w:val="left"/>
        <w:rPr>
          <w:rFonts w:ascii="仿宋" w:hAnsi="仿宋" w:eastAsia="仿宋" w:cs="宋体"/>
          <w:color w:val="000000"/>
          <w:kern w:val="0"/>
          <w:sz w:val="32"/>
          <w:szCs w:val="32"/>
        </w:rPr>
      </w:pPr>
      <w:r>
        <w:rPr>
          <w:rFonts w:hint="eastAsia" w:ascii="仿宋" w:hAnsi="仿宋" w:eastAsia="仿宋"/>
          <w:sz w:val="32"/>
          <w:szCs w:val="32"/>
        </w:rPr>
        <w:t xml:space="preserve">    28. 2011008引进人才费用:</w:t>
      </w:r>
      <w:r>
        <w:rPr>
          <w:rFonts w:hint="eastAsia" w:ascii="宋体" w:hAnsi="宋体" w:eastAsia="宋体" w:cs="宋体"/>
          <w:color w:val="000000"/>
          <w:kern w:val="0"/>
          <w:sz w:val="20"/>
          <w:szCs w:val="20"/>
        </w:rPr>
        <w:t xml:space="preserve">  </w:t>
      </w:r>
      <w:r>
        <w:rPr>
          <w:rFonts w:hint="eastAsia" w:ascii="仿宋" w:hAnsi="仿宋" w:eastAsia="仿宋" w:cs="宋体"/>
          <w:color w:val="000000"/>
          <w:kern w:val="0"/>
          <w:sz w:val="32"/>
          <w:szCs w:val="32"/>
        </w:rPr>
        <w:t>反映用于引进外国专家补助、引智成果推广等方面的支出。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29. 206科学技术支出：反映用于科学技术方面的支出。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30. 2069999其他科学技术支出：反映其他科学技术支出中除以上各项外用于科技方面的支出。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31. 210医疗卫生与计划生育支出：反映政府医疗卫生与计划生育管理方面的支出。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32. 21005医疗保障：反映用于医疗保障方面的支出。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33. 2100501行政单位医疗：反映财政部门集中安排的行政单位基本医疗保险缴费经费，未参加医疗保险的行政单位的公费医疗经费，按国家规定享受离休人员、红军老战士待遇人员的医疗经费 。</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34. 2100502事业单位医疗：反映财政部门集中安排的事业单位基本医疗保险缴费经费，未参加医疗保险的事业单位的公费医疗经费，按国家规定享受离休人员待遇人员的医疗经费。</w:t>
      </w:r>
    </w:p>
    <w:p>
      <w:pPr>
        <w:spacing w:line="360" w:lineRule="auto"/>
        <w:ind w:firstLine="640" w:firstLineChars="200"/>
        <w:rPr>
          <w:rFonts w:ascii="仿宋" w:hAnsi="仿宋" w:eastAsia="仿宋" w:cs="宋体"/>
          <w:color w:val="000000"/>
          <w:sz w:val="32"/>
          <w:szCs w:val="32"/>
        </w:rPr>
      </w:pPr>
      <w:r>
        <w:rPr>
          <w:rFonts w:hint="eastAsia" w:ascii="仿宋" w:hAnsi="仿宋" w:eastAsia="仿宋"/>
          <w:color w:val="000000"/>
          <w:sz w:val="32"/>
          <w:szCs w:val="32"/>
        </w:rPr>
        <w:t>35. 216商业服务业等支出：反映商业服务业等方面支出。</w:t>
      </w:r>
    </w:p>
    <w:p>
      <w:pPr>
        <w:spacing w:line="360" w:lineRule="auto"/>
        <w:ind w:firstLine="640" w:firstLineChars="200"/>
        <w:rPr>
          <w:rFonts w:ascii="仿宋" w:hAnsi="仿宋" w:eastAsia="仿宋" w:cs="宋体"/>
          <w:color w:val="000000"/>
          <w:sz w:val="32"/>
          <w:szCs w:val="32"/>
        </w:rPr>
      </w:pPr>
      <w:r>
        <w:rPr>
          <w:rFonts w:hint="eastAsia" w:ascii="仿宋" w:hAnsi="仿宋" w:eastAsia="仿宋"/>
          <w:color w:val="000000"/>
          <w:sz w:val="32"/>
          <w:szCs w:val="32"/>
        </w:rPr>
        <w:t>36. 21606涉外发展服务支出：反映对从事外贸业务单位、外商投资单位、从事对外经济合作单位和境外单位的资助。</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color w:val="000000"/>
          <w:sz w:val="32"/>
          <w:szCs w:val="32"/>
        </w:rPr>
        <w:t>37. 2160699其他涉外发展服务支出：反映除上述项目以外其他用于涉外发展服务方面的支出。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38. 221住房保障支出：集中反映政府用于住房方面的支出。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39. 22102住房改革支出：反映行政事业单位用财政拨款资金和其他资金等安排的住房改革支出。</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40. 2210201住房公积金：反映行政事业单位按人力资源和社会保障部、财政部规定的基本工资和津贴补贴以及规定比例为职工缴纳的住房公积金。</w:t>
      </w:r>
    </w:p>
    <w:p>
      <w:pPr>
        <w:autoSpaceDE w:val="0"/>
        <w:autoSpaceDN w:val="0"/>
        <w:adjustRightInd w:val="0"/>
        <w:spacing w:line="360" w:lineRule="auto"/>
        <w:ind w:firstLine="640" w:firstLineChars="200"/>
        <w:jc w:val="left"/>
        <w:rPr>
          <w:rFonts w:ascii="仿宋" w:hAnsi="仿宋" w:eastAsia="仿宋"/>
          <w:sz w:val="32"/>
        </w:rPr>
      </w:pPr>
      <w:r>
        <w:rPr>
          <w:rFonts w:hint="eastAsia" w:ascii="仿宋" w:hAnsi="仿宋" w:eastAsia="仿宋"/>
          <w:sz w:val="32"/>
        </w:rPr>
        <w:t>41. 22904其他政府性基金支出：反映其他政府性基金支出（包括用以前年度欠缴收入安排的支出）。</w:t>
      </w:r>
    </w:p>
    <w:p>
      <w:pPr>
        <w:spacing w:line="360" w:lineRule="auto"/>
        <w:ind w:firstLine="640" w:firstLineChars="200"/>
        <w:rPr>
          <w:rFonts w:ascii="仿宋" w:hAnsi="仿宋" w:eastAsia="仿宋"/>
          <w:sz w:val="32"/>
          <w:szCs w:val="32"/>
        </w:rPr>
      </w:pPr>
    </w:p>
    <w:sectPr>
      <w:pgSz w:w="12240" w:h="15840"/>
      <w:pgMar w:top="1440" w:right="1800" w:bottom="1440" w:left="709"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13E6C"/>
    <w:rsid w:val="00033D47"/>
    <w:rsid w:val="0004373F"/>
    <w:rsid w:val="00046671"/>
    <w:rsid w:val="00050EE6"/>
    <w:rsid w:val="000524D2"/>
    <w:rsid w:val="00053EFE"/>
    <w:rsid w:val="00061518"/>
    <w:rsid w:val="00064128"/>
    <w:rsid w:val="000651D8"/>
    <w:rsid w:val="00093A72"/>
    <w:rsid w:val="000A7860"/>
    <w:rsid w:val="000B7D9C"/>
    <w:rsid w:val="000C1E5D"/>
    <w:rsid w:val="000E188B"/>
    <w:rsid w:val="000F0F3A"/>
    <w:rsid w:val="000F6A4F"/>
    <w:rsid w:val="001101A6"/>
    <w:rsid w:val="00113D15"/>
    <w:rsid w:val="00120CDC"/>
    <w:rsid w:val="001249A9"/>
    <w:rsid w:val="00126A6A"/>
    <w:rsid w:val="00150AAF"/>
    <w:rsid w:val="00176822"/>
    <w:rsid w:val="0018252F"/>
    <w:rsid w:val="0018273E"/>
    <w:rsid w:val="00184183"/>
    <w:rsid w:val="001902D7"/>
    <w:rsid w:val="00190775"/>
    <w:rsid w:val="001920D4"/>
    <w:rsid w:val="001A768C"/>
    <w:rsid w:val="001D5629"/>
    <w:rsid w:val="001E74C5"/>
    <w:rsid w:val="00214241"/>
    <w:rsid w:val="00221B85"/>
    <w:rsid w:val="00260464"/>
    <w:rsid w:val="002738A3"/>
    <w:rsid w:val="00294E07"/>
    <w:rsid w:val="002A7BA1"/>
    <w:rsid w:val="002C257C"/>
    <w:rsid w:val="002C4D7E"/>
    <w:rsid w:val="002E00D5"/>
    <w:rsid w:val="00301CF5"/>
    <w:rsid w:val="00315E7B"/>
    <w:rsid w:val="003303AD"/>
    <w:rsid w:val="00330A19"/>
    <w:rsid w:val="00342CD2"/>
    <w:rsid w:val="0034725A"/>
    <w:rsid w:val="00371925"/>
    <w:rsid w:val="0038512D"/>
    <w:rsid w:val="00386388"/>
    <w:rsid w:val="0038715C"/>
    <w:rsid w:val="00392F27"/>
    <w:rsid w:val="003939B5"/>
    <w:rsid w:val="003960C4"/>
    <w:rsid w:val="003A4B20"/>
    <w:rsid w:val="003A6FA2"/>
    <w:rsid w:val="003B0DD8"/>
    <w:rsid w:val="003D5271"/>
    <w:rsid w:val="003F53B9"/>
    <w:rsid w:val="003F68C3"/>
    <w:rsid w:val="004044EE"/>
    <w:rsid w:val="00407E14"/>
    <w:rsid w:val="00420D41"/>
    <w:rsid w:val="00432244"/>
    <w:rsid w:val="00460E1D"/>
    <w:rsid w:val="004614FB"/>
    <w:rsid w:val="0047569C"/>
    <w:rsid w:val="00482F4B"/>
    <w:rsid w:val="00491DF5"/>
    <w:rsid w:val="00493E30"/>
    <w:rsid w:val="004C62D1"/>
    <w:rsid w:val="004D09A8"/>
    <w:rsid w:val="004E0E8D"/>
    <w:rsid w:val="004F1790"/>
    <w:rsid w:val="004F2CCF"/>
    <w:rsid w:val="004F54CB"/>
    <w:rsid w:val="00514AEC"/>
    <w:rsid w:val="00515175"/>
    <w:rsid w:val="005174AB"/>
    <w:rsid w:val="00521DA0"/>
    <w:rsid w:val="00523CA5"/>
    <w:rsid w:val="00586939"/>
    <w:rsid w:val="00595EAD"/>
    <w:rsid w:val="005B180D"/>
    <w:rsid w:val="005E2B10"/>
    <w:rsid w:val="005E3140"/>
    <w:rsid w:val="005E60D6"/>
    <w:rsid w:val="005F466B"/>
    <w:rsid w:val="0060080F"/>
    <w:rsid w:val="00604C57"/>
    <w:rsid w:val="0061194C"/>
    <w:rsid w:val="00613A4E"/>
    <w:rsid w:val="006405C2"/>
    <w:rsid w:val="00665D48"/>
    <w:rsid w:val="00675AC0"/>
    <w:rsid w:val="00685EAF"/>
    <w:rsid w:val="0069528E"/>
    <w:rsid w:val="006970D0"/>
    <w:rsid w:val="006B3FCA"/>
    <w:rsid w:val="006C34A6"/>
    <w:rsid w:val="006D6A2F"/>
    <w:rsid w:val="006E7DEE"/>
    <w:rsid w:val="007079F8"/>
    <w:rsid w:val="00713391"/>
    <w:rsid w:val="007363BB"/>
    <w:rsid w:val="00746CBE"/>
    <w:rsid w:val="007B0FA4"/>
    <w:rsid w:val="007B33DE"/>
    <w:rsid w:val="007C44E9"/>
    <w:rsid w:val="007D348B"/>
    <w:rsid w:val="008103E7"/>
    <w:rsid w:val="00822CEF"/>
    <w:rsid w:val="00827EFA"/>
    <w:rsid w:val="008346BD"/>
    <w:rsid w:val="00881F0B"/>
    <w:rsid w:val="00887089"/>
    <w:rsid w:val="00893EDB"/>
    <w:rsid w:val="008B4D03"/>
    <w:rsid w:val="008B7512"/>
    <w:rsid w:val="008C2CF4"/>
    <w:rsid w:val="008C3C7B"/>
    <w:rsid w:val="008E54B4"/>
    <w:rsid w:val="008F1E0E"/>
    <w:rsid w:val="009125B1"/>
    <w:rsid w:val="009314D5"/>
    <w:rsid w:val="00951A76"/>
    <w:rsid w:val="00982B21"/>
    <w:rsid w:val="009858F3"/>
    <w:rsid w:val="009916C0"/>
    <w:rsid w:val="009B570B"/>
    <w:rsid w:val="009D180F"/>
    <w:rsid w:val="009E6D64"/>
    <w:rsid w:val="00A0740C"/>
    <w:rsid w:val="00A34BA9"/>
    <w:rsid w:val="00A370D6"/>
    <w:rsid w:val="00A624FE"/>
    <w:rsid w:val="00A7072B"/>
    <w:rsid w:val="00A71EB2"/>
    <w:rsid w:val="00A87FC5"/>
    <w:rsid w:val="00A90F30"/>
    <w:rsid w:val="00AC012E"/>
    <w:rsid w:val="00AD2436"/>
    <w:rsid w:val="00AE4DCD"/>
    <w:rsid w:val="00AE7A6E"/>
    <w:rsid w:val="00AF2F79"/>
    <w:rsid w:val="00AF77F1"/>
    <w:rsid w:val="00B25990"/>
    <w:rsid w:val="00B4721A"/>
    <w:rsid w:val="00B5679A"/>
    <w:rsid w:val="00B760B6"/>
    <w:rsid w:val="00BB1A58"/>
    <w:rsid w:val="00BC6167"/>
    <w:rsid w:val="00BF43F1"/>
    <w:rsid w:val="00BF7B7E"/>
    <w:rsid w:val="00C03C0A"/>
    <w:rsid w:val="00C362CE"/>
    <w:rsid w:val="00C450CC"/>
    <w:rsid w:val="00C5682A"/>
    <w:rsid w:val="00CD3F92"/>
    <w:rsid w:val="00CD70CB"/>
    <w:rsid w:val="00CE1D5C"/>
    <w:rsid w:val="00CE47C0"/>
    <w:rsid w:val="00D366CD"/>
    <w:rsid w:val="00D43C6C"/>
    <w:rsid w:val="00D578AF"/>
    <w:rsid w:val="00D7098F"/>
    <w:rsid w:val="00D81005"/>
    <w:rsid w:val="00D82028"/>
    <w:rsid w:val="00D82442"/>
    <w:rsid w:val="00D85391"/>
    <w:rsid w:val="00D878BC"/>
    <w:rsid w:val="00DA64A4"/>
    <w:rsid w:val="00DC3B36"/>
    <w:rsid w:val="00DE1E92"/>
    <w:rsid w:val="00DE4BF0"/>
    <w:rsid w:val="00DF4F09"/>
    <w:rsid w:val="00DF7004"/>
    <w:rsid w:val="00E0018C"/>
    <w:rsid w:val="00E11F7A"/>
    <w:rsid w:val="00E2537B"/>
    <w:rsid w:val="00E31B92"/>
    <w:rsid w:val="00E3509E"/>
    <w:rsid w:val="00E65F5A"/>
    <w:rsid w:val="00E71FA7"/>
    <w:rsid w:val="00E94867"/>
    <w:rsid w:val="00EA5F17"/>
    <w:rsid w:val="00EB6701"/>
    <w:rsid w:val="00EB7242"/>
    <w:rsid w:val="00EE2854"/>
    <w:rsid w:val="00EF3F12"/>
    <w:rsid w:val="00EF720B"/>
    <w:rsid w:val="00F20479"/>
    <w:rsid w:val="00F20E78"/>
    <w:rsid w:val="00F308AE"/>
    <w:rsid w:val="00F3658C"/>
    <w:rsid w:val="00F96E70"/>
    <w:rsid w:val="00F97ACF"/>
    <w:rsid w:val="00FA34FD"/>
    <w:rsid w:val="00FC7092"/>
    <w:rsid w:val="00FD5354"/>
    <w:rsid w:val="00FE6286"/>
    <w:rsid w:val="00FF37D2"/>
    <w:rsid w:val="65F210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Char Char Char Char Char Char Char"/>
    <w:basedOn w:val="1"/>
    <w:uiPriority w:val="0"/>
    <w:rPr>
      <w:rFonts w:ascii="Times New Roman" w:hAnsi="Times New Roman" w:eastAsia="宋体" w:cs="Times New Roman"/>
      <w:szCs w:val="21"/>
    </w:rPr>
  </w:style>
  <w:style w:type="paragraph" w:customStyle="1" w:styleId="10">
    <w:name w:val="Default"/>
    <w:qFormat/>
    <w:uiPriority w:val="0"/>
    <w:pPr>
      <w:widowControl w:val="0"/>
      <w:autoSpaceDE w:val="0"/>
      <w:autoSpaceDN w:val="0"/>
      <w:adjustRightInd w:val="0"/>
    </w:pPr>
    <w:rPr>
      <w:rFonts w:ascii="仿宋_GB2312" w:hAnsi="Cambria"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2292</Words>
  <Characters>13070</Characters>
  <Lines>108</Lines>
  <Paragraphs>30</Paragraphs>
  <TotalTime>2029</TotalTime>
  <ScaleCrop>false</ScaleCrop>
  <LinksUpToDate>false</LinksUpToDate>
  <CharactersWithSpaces>15332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2016-07-28T01:33:00Z</cp:lastPrinted>
  <dcterms:modified xsi:type="dcterms:W3CDTF">2021-12-27T02:18:19Z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3FAE07CB9B5648A186BBDFF8F4691E13</vt:lpwstr>
  </property>
</Properties>
</file>