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hint="eastAsia" w:ascii="黑体" w:eastAsia="黑体" w:cs="黑体"/>
          <w:spacing w:val="15"/>
          <w:sz w:val="44"/>
          <w:szCs w:val="44"/>
        </w:rPr>
      </w:pPr>
      <w:r>
        <w:rPr>
          <w:rFonts w:hint="eastAsia" w:ascii="黑体" w:eastAsia="黑体" w:cs="黑体"/>
          <w:spacing w:val="15"/>
          <w:sz w:val="44"/>
          <w:szCs w:val="44"/>
          <w:lang w:eastAsia="zh-CN"/>
        </w:rPr>
        <w:t>温州市商务局</w:t>
      </w:r>
      <w:r>
        <w:rPr>
          <w:rFonts w:ascii="黑体" w:eastAsia="黑体" w:cs="黑体"/>
          <w:spacing w:val="15"/>
          <w:sz w:val="44"/>
          <w:szCs w:val="44"/>
        </w:rPr>
        <w:t>2015</w:t>
      </w:r>
      <w:r>
        <w:rPr>
          <w:rFonts w:hint="eastAsia" w:ascii="黑体" w:eastAsia="黑体" w:cs="黑体"/>
          <w:spacing w:val="15"/>
          <w:sz w:val="44"/>
          <w:szCs w:val="44"/>
        </w:rPr>
        <w:t>年度部门决算</w:t>
      </w:r>
    </w:p>
    <w:p>
      <w:pPr>
        <w:autoSpaceDE w:val="0"/>
        <w:autoSpaceDN w:val="0"/>
        <w:adjustRightInd w:val="0"/>
        <w:spacing w:line="560" w:lineRule="exact"/>
        <w:ind w:firstLine="590"/>
        <w:rPr>
          <w:rFonts w:ascii="Times New Roman" w:hAnsi="Times New Roman" w:eastAsia="黑体" w:cs="Times New Roman"/>
          <w:b/>
          <w:bCs/>
          <w:color w:val="000000"/>
          <w:sz w:val="30"/>
          <w:szCs w:val="30"/>
        </w:rPr>
      </w:pPr>
    </w:p>
    <w:p>
      <w:pPr>
        <w:autoSpaceDE w:val="0"/>
        <w:autoSpaceDN w:val="0"/>
        <w:adjustRightInd w:val="0"/>
        <w:spacing w:line="560" w:lineRule="exact"/>
        <w:ind w:firstLine="627"/>
        <w:rPr>
          <w:rFonts w:ascii="黑体" w:hAnsi="Times New Roman" w:eastAsia="黑体" w:cs="黑体"/>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2015</w:t>
      </w:r>
      <w:r>
        <w:rPr>
          <w:rFonts w:hint="eastAsia" w:ascii="黑体" w:hAnsi="Times New Roman" w:eastAsia="黑体" w:cs="黑体"/>
          <w:color w:val="000000"/>
          <w:sz w:val="32"/>
          <w:szCs w:val="32"/>
        </w:rPr>
        <w:t>年度部门决算概况</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温州市商务局是主管全市商务工作的市政府组成部门。</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(一)主要职能</w:t>
      </w:r>
    </w:p>
    <w:p>
      <w:pPr>
        <w:spacing w:line="640" w:lineRule="exact"/>
        <w:ind w:firstLine="640" w:firstLineChars="200"/>
        <w:rPr>
          <w:rFonts w:ascii="仿宋_GB2312" w:hAnsi="ˎ̥" w:cs="宋体"/>
          <w:sz w:val="32"/>
          <w:szCs w:val="32"/>
        </w:rPr>
      </w:pPr>
      <w:r>
        <w:rPr>
          <w:rFonts w:hint="eastAsia" w:ascii="仿宋_GB2312" w:hAnsi="ˎ̥" w:cs="宋体"/>
          <w:sz w:val="32"/>
          <w:szCs w:val="32"/>
        </w:rPr>
        <w:t>1.</w:t>
      </w:r>
      <w:r>
        <w:rPr>
          <w:rFonts w:ascii="仿宋_GB2312" w:hAnsi="ˎ̥" w:cs="宋体"/>
          <w:sz w:val="32"/>
          <w:szCs w:val="32"/>
        </w:rPr>
        <w:t>贯彻执行国家和省有关国内外贸易、外商投资、对外投资与经济合作的法律、法规、规章和方针政策；组织拟订我市相关的政策，起草有关规范性文件，经审议通过后组织实施。</w:t>
      </w:r>
    </w:p>
    <w:p>
      <w:pPr>
        <w:spacing w:line="640" w:lineRule="exact"/>
        <w:ind w:firstLine="640" w:firstLineChars="200"/>
        <w:rPr>
          <w:rFonts w:ascii="仿宋_GB2312" w:hAnsi="ˎ̥" w:cs="宋体"/>
          <w:sz w:val="32"/>
          <w:szCs w:val="32"/>
        </w:rPr>
      </w:pPr>
      <w:r>
        <w:rPr>
          <w:rFonts w:hint="eastAsia" w:ascii="仿宋_GB2312" w:hAnsi="ˎ̥" w:cs="宋体"/>
          <w:sz w:val="32"/>
          <w:szCs w:val="32"/>
        </w:rPr>
        <w:t>2.</w:t>
      </w:r>
      <w:r>
        <w:rPr>
          <w:rFonts w:ascii="仿宋_GB2312" w:hAnsi="ˎ̥" w:cs="宋体"/>
          <w:sz w:val="32"/>
          <w:szCs w:val="32"/>
        </w:rPr>
        <w:t>研究国内外经济发展趋势，负责拟订经济对外开放战略和开拓国内市场发展战略，协调经济对外开放布局；拟订并实施全市国内外贸易、国际经济合作的发展战略和实施规划；监测分析商务运行状况。</w:t>
      </w:r>
    </w:p>
    <w:p>
      <w:pPr>
        <w:spacing w:line="640" w:lineRule="exact"/>
        <w:ind w:firstLine="640" w:firstLineChars="200"/>
        <w:rPr>
          <w:rFonts w:ascii="仿宋_GB2312" w:hAnsi="ˎ̥" w:cs="宋体"/>
          <w:sz w:val="32"/>
          <w:szCs w:val="32"/>
        </w:rPr>
      </w:pPr>
      <w:r>
        <w:rPr>
          <w:rFonts w:hint="eastAsia" w:ascii="仿宋_GB2312" w:hAnsi="ˎ̥" w:cs="宋体"/>
          <w:sz w:val="32"/>
          <w:szCs w:val="32"/>
        </w:rPr>
        <w:t>3.</w:t>
      </w:r>
      <w:r>
        <w:rPr>
          <w:rFonts w:ascii="仿宋_GB2312" w:hAnsi="ˎ̥" w:cs="宋体"/>
          <w:sz w:val="32"/>
          <w:szCs w:val="32"/>
        </w:rPr>
        <w:t>负责按规定承担国内外贸易、外商投资、对外投资与经济合作各类专项资金的申报和组织实施；推进流通标准化、信息化。</w:t>
      </w:r>
    </w:p>
    <w:p>
      <w:pPr>
        <w:spacing w:line="640" w:lineRule="exact"/>
        <w:ind w:firstLine="640" w:firstLineChars="200"/>
        <w:rPr>
          <w:rFonts w:ascii="仿宋_GB2312" w:hAnsi="ˎ̥" w:cs="宋体"/>
          <w:sz w:val="32"/>
          <w:szCs w:val="32"/>
        </w:rPr>
      </w:pPr>
      <w:r>
        <w:rPr>
          <w:rFonts w:hint="eastAsia" w:ascii="仿宋_GB2312" w:hAnsi="ˎ̥" w:cs="宋体"/>
          <w:sz w:val="32"/>
          <w:szCs w:val="32"/>
        </w:rPr>
        <w:t>4.</w:t>
      </w:r>
      <w:r>
        <w:rPr>
          <w:rFonts w:ascii="仿宋_GB2312" w:hAnsi="ˎ̥" w:cs="宋体"/>
          <w:sz w:val="32"/>
          <w:szCs w:val="32"/>
        </w:rPr>
        <w:t>负责推动内外贸融合，推进国内外市场的开拓，促进市场信息平台和营销网络建设。</w:t>
      </w:r>
    </w:p>
    <w:p>
      <w:pPr>
        <w:spacing w:line="640" w:lineRule="exact"/>
        <w:ind w:firstLine="640" w:firstLineChars="200"/>
        <w:rPr>
          <w:rFonts w:ascii="仿宋_GB2312" w:hAnsi="ˎ̥" w:cs="宋体"/>
          <w:sz w:val="32"/>
          <w:szCs w:val="32"/>
        </w:rPr>
      </w:pPr>
      <w:r>
        <w:rPr>
          <w:rFonts w:hint="eastAsia" w:ascii="仿宋_GB2312" w:hAnsi="ˎ̥" w:cs="宋体"/>
          <w:sz w:val="32"/>
          <w:szCs w:val="32"/>
        </w:rPr>
        <w:t>5.</w:t>
      </w:r>
      <w:r>
        <w:rPr>
          <w:rFonts w:ascii="仿宋_GB2312" w:hAnsi="ˎ̥" w:cs="宋体"/>
          <w:sz w:val="32"/>
          <w:szCs w:val="32"/>
        </w:rPr>
        <w:t>负责全市流通产业促进体系建设，推进流通产业结构调整，推进连锁经营、商业特许经营、物流配送、现代会展、电子商务等流通方式发展；指导商贸服务业和社区商业发展；推进流通体制改革，培育大型流通企业，促进中小流通企业发展；负责制定全市成品油仓储和市本级加油站行业发展规划并组织实施，负责成品油经营许可的初审上报以及市场运行和经营活动的监督管理，负责推广使用甲醇汽油等替代燃油；推进再生资源回收体系建设。</w:t>
      </w:r>
    </w:p>
    <w:p>
      <w:pPr>
        <w:spacing w:line="640" w:lineRule="exact"/>
        <w:ind w:firstLine="640" w:firstLineChars="200"/>
        <w:rPr>
          <w:rFonts w:ascii="仿宋_GB2312" w:hAnsi="ˎ̥" w:cs="宋体"/>
          <w:sz w:val="32"/>
          <w:szCs w:val="32"/>
        </w:rPr>
      </w:pPr>
      <w:r>
        <w:rPr>
          <w:rFonts w:hint="eastAsia" w:ascii="仿宋_GB2312" w:hAnsi="ˎ̥" w:cs="宋体"/>
          <w:sz w:val="32"/>
          <w:szCs w:val="32"/>
        </w:rPr>
        <w:t>6.</w:t>
      </w:r>
      <w:r>
        <w:rPr>
          <w:rFonts w:ascii="仿宋_GB2312" w:hAnsi="ˎ̥" w:cs="宋体"/>
          <w:sz w:val="32"/>
          <w:szCs w:val="32"/>
        </w:rPr>
        <w:t>负责商品市场的规划引导及提升发展；指导大宗产品批发市场规划和城乡商业网点规划、商业体系建设工作，推进农村市场体系建设，组织实施农村现代流通网络工程，推进农产品市场升级改造；按有关规定对特殊流通行业进行监督管理。</w:t>
      </w:r>
    </w:p>
    <w:p>
      <w:pPr>
        <w:spacing w:line="640" w:lineRule="exact"/>
        <w:ind w:firstLine="640" w:firstLineChars="200"/>
        <w:rPr>
          <w:rFonts w:ascii="仿宋_GB2312" w:hAnsi="ˎ̥" w:cs="宋体"/>
          <w:sz w:val="32"/>
          <w:szCs w:val="32"/>
        </w:rPr>
      </w:pPr>
      <w:r>
        <w:rPr>
          <w:rFonts w:hint="eastAsia" w:ascii="仿宋_GB2312" w:hAnsi="ˎ̥" w:cs="宋体"/>
          <w:sz w:val="32"/>
          <w:szCs w:val="32"/>
        </w:rPr>
        <w:t>7.</w:t>
      </w:r>
      <w:r>
        <w:rPr>
          <w:rFonts w:ascii="仿宋_GB2312" w:hAnsi="ˎ̥" w:cs="宋体"/>
          <w:sz w:val="32"/>
          <w:szCs w:val="32"/>
        </w:rPr>
        <w:t>负责建立健全生活必需品市场供应应急管理机制，按照分工负责重要消费品储备管理；监测分析市场运行和商品的供求状况，调查分析商品价格信息，进行预测预警和信息引导；承担组织实施重要消费品市场调控和重要生产资料流通管理的责任。</w:t>
      </w:r>
    </w:p>
    <w:p>
      <w:pPr>
        <w:spacing w:line="640" w:lineRule="exact"/>
        <w:ind w:firstLine="640" w:firstLineChars="200"/>
        <w:rPr>
          <w:rFonts w:ascii="仿宋_GB2312" w:hAnsi="ˎ̥" w:cs="宋体"/>
          <w:sz w:val="32"/>
          <w:szCs w:val="32"/>
        </w:rPr>
      </w:pPr>
      <w:r>
        <w:rPr>
          <w:rFonts w:hint="eastAsia" w:ascii="仿宋_GB2312" w:hAnsi="ˎ̥" w:cs="宋体"/>
          <w:sz w:val="32"/>
          <w:szCs w:val="32"/>
        </w:rPr>
        <w:t>8.</w:t>
      </w:r>
      <w:r>
        <w:rPr>
          <w:rFonts w:ascii="仿宋_GB2312" w:hAnsi="ˎ̥" w:cs="宋体"/>
          <w:sz w:val="32"/>
          <w:szCs w:val="32"/>
        </w:rPr>
        <w:t>负责牵头协调整顿和规范市场经济秩序的相关工作；拟订规范市场运行、流通秩序的政策；按规定承担商务领域行政综合执法，参与组织打击侵犯知识产权、商业欺诈工作；负责生猪定点屠宰管理和酒类流通、药品流通的相关工作；建立市场诚信公共服务平台，指导商业信用销售，推动商务领域信用建设。</w:t>
      </w:r>
    </w:p>
    <w:p>
      <w:pPr>
        <w:spacing w:line="640" w:lineRule="exact"/>
        <w:ind w:firstLine="640" w:firstLineChars="200"/>
        <w:rPr>
          <w:rFonts w:ascii="仿宋_GB2312" w:hAnsi="ˎ̥" w:cs="宋体"/>
          <w:sz w:val="32"/>
          <w:szCs w:val="32"/>
        </w:rPr>
      </w:pPr>
      <w:r>
        <w:rPr>
          <w:rFonts w:hint="eastAsia" w:ascii="仿宋_GB2312" w:hAnsi="ˎ̥" w:cs="宋体"/>
          <w:sz w:val="32"/>
          <w:szCs w:val="32"/>
        </w:rPr>
        <w:t>9.</w:t>
      </w:r>
      <w:r>
        <w:rPr>
          <w:rFonts w:ascii="仿宋_GB2312" w:hAnsi="ˎ̥" w:cs="宋体"/>
          <w:sz w:val="32"/>
          <w:szCs w:val="32"/>
        </w:rPr>
        <w:t>负责对外贸易促进体系建设，促进对外贸易发展方式转变；推动我市出口品牌体系建设；会同有关部门协调大宗进出口商品，在总量计划内组织实施重要工业品、原材料和重要农产品进出口；负责对外贸易经营者的备案登记；管理进出口商品许可证；参与大通关建设和对外经贸便利化工作。</w:t>
      </w:r>
    </w:p>
    <w:p>
      <w:pPr>
        <w:spacing w:line="640" w:lineRule="exact"/>
        <w:ind w:firstLine="640" w:firstLineChars="200"/>
        <w:rPr>
          <w:rFonts w:ascii="仿宋_GB2312" w:hAnsi="ˎ̥" w:cs="宋体"/>
          <w:sz w:val="32"/>
          <w:szCs w:val="32"/>
        </w:rPr>
      </w:pPr>
      <w:r>
        <w:rPr>
          <w:rFonts w:hint="eastAsia" w:ascii="仿宋_GB2312" w:hAnsi="ˎ̥" w:cs="宋体"/>
          <w:sz w:val="32"/>
          <w:szCs w:val="32"/>
        </w:rPr>
        <w:t>10.</w:t>
      </w:r>
      <w:r>
        <w:rPr>
          <w:rFonts w:ascii="仿宋_GB2312" w:hAnsi="ˎ̥" w:cs="宋体"/>
          <w:sz w:val="32"/>
          <w:szCs w:val="32"/>
        </w:rPr>
        <w:t>指导机电和高新技术产品进出口、成套设备出口；负责机电和高新技术产品贸易促进工作，规范机电产品出口秩序；指导国家、省和市级机电和高新技术产品出口基地建设。</w:t>
      </w:r>
    </w:p>
    <w:p>
      <w:pPr>
        <w:spacing w:line="640" w:lineRule="exact"/>
        <w:ind w:firstLine="640" w:firstLineChars="200"/>
        <w:rPr>
          <w:rFonts w:ascii="仿宋_GB2312" w:hAnsi="ˎ̥" w:cs="宋体"/>
          <w:sz w:val="32"/>
          <w:szCs w:val="32"/>
        </w:rPr>
      </w:pPr>
      <w:r>
        <w:rPr>
          <w:rFonts w:hint="eastAsia" w:ascii="仿宋_GB2312" w:hAnsi="ˎ̥" w:cs="宋体"/>
          <w:sz w:val="32"/>
          <w:szCs w:val="32"/>
        </w:rPr>
        <w:t>11.</w:t>
      </w:r>
      <w:r>
        <w:rPr>
          <w:rFonts w:ascii="仿宋_GB2312" w:hAnsi="ˎ̥" w:cs="宋体"/>
          <w:sz w:val="32"/>
          <w:szCs w:val="32"/>
        </w:rPr>
        <w:t>指导国际服务贸易发展和服务贸易领域的对外开放，指导国际服务外包工作，推动国际服务外包平台建设，推进技术进出口、文化产品与服务出口。</w:t>
      </w:r>
    </w:p>
    <w:p>
      <w:pPr>
        <w:spacing w:line="640" w:lineRule="exact"/>
        <w:ind w:firstLine="640" w:firstLineChars="200"/>
        <w:rPr>
          <w:rFonts w:ascii="仿宋_GB2312" w:hAnsi="ˎ̥" w:cs="宋体"/>
          <w:sz w:val="32"/>
          <w:szCs w:val="32"/>
        </w:rPr>
      </w:pPr>
      <w:r>
        <w:rPr>
          <w:rFonts w:hint="eastAsia" w:ascii="仿宋_GB2312" w:hAnsi="ˎ̥" w:cs="宋体"/>
          <w:sz w:val="32"/>
          <w:szCs w:val="32"/>
        </w:rPr>
        <w:t>12.</w:t>
      </w:r>
      <w:r>
        <w:rPr>
          <w:rFonts w:ascii="仿宋_GB2312" w:hAnsi="ˎ̥" w:cs="宋体"/>
          <w:sz w:val="32"/>
          <w:szCs w:val="32"/>
        </w:rPr>
        <w:t>指导外商投资工作，推动产业调整和技术升级；指导和组织对外招商工作，审核外商投资企业设立、合同、章程及其变更事项；指导外商投资企业审批工作；负责外商投资统计和分析工作；牵头外商投资企业联合年检。</w:t>
      </w:r>
    </w:p>
    <w:p>
      <w:pPr>
        <w:spacing w:line="640" w:lineRule="exact"/>
        <w:ind w:firstLine="640" w:firstLineChars="200"/>
        <w:rPr>
          <w:rFonts w:ascii="仿宋_GB2312" w:hAnsi="ˎ̥" w:cs="宋体"/>
          <w:sz w:val="32"/>
          <w:szCs w:val="32"/>
        </w:rPr>
      </w:pPr>
      <w:r>
        <w:rPr>
          <w:rFonts w:hint="eastAsia" w:ascii="仿宋_GB2312" w:hAnsi="ˎ̥" w:cs="宋体"/>
          <w:sz w:val="32"/>
          <w:szCs w:val="32"/>
        </w:rPr>
        <w:t>13.</w:t>
      </w:r>
      <w:r>
        <w:rPr>
          <w:rFonts w:ascii="仿宋_GB2312" w:hAnsi="ˎ̥" w:cs="宋体"/>
          <w:sz w:val="32"/>
          <w:szCs w:val="32"/>
        </w:rPr>
        <w:t>负责全市市级以上各级开发区的综合协调、指导和日常管理工作，会同有关部门牵头审核上报国家级开发区、省级经济开发区的设立、升级和区域调整；负责开发区投资环境综合评价和考核工作；监测分析开发区运行情况；参与研究制定全市开发区发展规划和促进政策。</w:t>
      </w:r>
    </w:p>
    <w:p>
      <w:pPr>
        <w:spacing w:line="640" w:lineRule="exact"/>
        <w:ind w:firstLine="640" w:firstLineChars="200"/>
        <w:rPr>
          <w:rFonts w:ascii="仿宋_GB2312" w:hAnsi="ˎ̥" w:cs="宋体"/>
          <w:sz w:val="32"/>
          <w:szCs w:val="32"/>
        </w:rPr>
      </w:pPr>
      <w:r>
        <w:rPr>
          <w:rFonts w:hint="eastAsia" w:ascii="仿宋_GB2312" w:hAnsi="ˎ̥" w:cs="宋体"/>
          <w:sz w:val="32"/>
          <w:szCs w:val="32"/>
        </w:rPr>
        <w:t>14.</w:t>
      </w:r>
      <w:r>
        <w:rPr>
          <w:rFonts w:ascii="仿宋_GB2312" w:hAnsi="ˎ̥" w:cs="宋体"/>
          <w:sz w:val="32"/>
          <w:szCs w:val="32"/>
        </w:rPr>
        <w:t>促进对外投资和经济合作，依法审核在境外投资企业（机构）的设立，指导协调境外经贸合作区建设，依法管理和监督对外承包工程和劳务合作业务；承担外派劳务和本市公民境外就业人员的权益保护工作；牵头处置境外经贸纠纷和突发事件；负责多双边援助和对外援助工作。</w:t>
      </w:r>
    </w:p>
    <w:p>
      <w:pPr>
        <w:spacing w:line="640" w:lineRule="exact"/>
        <w:ind w:firstLine="640" w:firstLineChars="200"/>
        <w:rPr>
          <w:rFonts w:ascii="仿宋_GB2312" w:hAnsi="ˎ̥" w:cs="宋体"/>
          <w:sz w:val="32"/>
          <w:szCs w:val="32"/>
        </w:rPr>
      </w:pPr>
      <w:r>
        <w:rPr>
          <w:rFonts w:hint="eastAsia" w:ascii="仿宋_GB2312" w:hAnsi="ˎ̥" w:cs="宋体"/>
          <w:sz w:val="32"/>
          <w:szCs w:val="32"/>
        </w:rPr>
        <w:t>15.</w:t>
      </w:r>
      <w:r>
        <w:rPr>
          <w:rFonts w:ascii="仿宋_GB2312" w:hAnsi="ˎ̥" w:cs="宋体"/>
          <w:sz w:val="32"/>
          <w:szCs w:val="32"/>
        </w:rPr>
        <w:t>负责综合协调有关世界贸易组织事务的具体工作，负责反倾销、反补贴、保障措施及其他与进出口公平贸易相关工作的组织协调；建立健全对外贸易和产业损害预警机制，指导协调反倾销、反补贴、保障措施案件的应诉应对及产业损害调查，指导协调有关产业安全方面工作；负责国际贸易壁垒的应对和对外贸易的知识产权工作；组织实施有关反垄断法律、法规，依法进行反垄断审查，指导企业做好反垄断应诉工作，开展多双边竞争、贸易政策交流与合作。</w:t>
      </w:r>
    </w:p>
    <w:p>
      <w:pPr>
        <w:spacing w:line="640" w:lineRule="exact"/>
        <w:ind w:firstLine="640" w:firstLineChars="200"/>
        <w:rPr>
          <w:rFonts w:ascii="仿宋_GB2312" w:hAnsi="ˎ̥" w:cs="宋体"/>
          <w:sz w:val="32"/>
          <w:szCs w:val="32"/>
        </w:rPr>
      </w:pPr>
      <w:r>
        <w:rPr>
          <w:rFonts w:hint="eastAsia" w:ascii="仿宋_GB2312" w:hAnsi="ˎ̥" w:cs="宋体"/>
          <w:sz w:val="32"/>
          <w:szCs w:val="32"/>
        </w:rPr>
        <w:t>16.</w:t>
      </w:r>
      <w:r>
        <w:rPr>
          <w:rFonts w:ascii="仿宋_GB2312" w:hAnsi="ˎ̥" w:cs="宋体"/>
          <w:sz w:val="32"/>
          <w:szCs w:val="32"/>
        </w:rPr>
        <w:t>推进我市与其他国家和地区多双边经贸往来与合作，促进经贸联系；牵头组织赴国（境）外重大经贸交流活动；联系境外温州商会。</w:t>
      </w:r>
    </w:p>
    <w:p>
      <w:pPr>
        <w:spacing w:line="640" w:lineRule="exact"/>
        <w:ind w:firstLine="640" w:firstLineChars="200"/>
        <w:rPr>
          <w:rFonts w:ascii="仿宋_GB2312" w:hAnsi="ˎ̥" w:cs="宋体"/>
          <w:sz w:val="32"/>
          <w:szCs w:val="32"/>
        </w:rPr>
      </w:pPr>
      <w:r>
        <w:rPr>
          <w:rFonts w:hint="eastAsia" w:ascii="仿宋_GB2312" w:hAnsi="ˎ̥" w:cs="宋体"/>
          <w:sz w:val="32"/>
          <w:szCs w:val="32"/>
        </w:rPr>
        <w:t>17.</w:t>
      </w:r>
      <w:r>
        <w:rPr>
          <w:rFonts w:ascii="仿宋_GB2312" w:hAnsi="ˎ̥" w:cs="宋体"/>
          <w:sz w:val="32"/>
          <w:szCs w:val="32"/>
        </w:rPr>
        <w:t>负责协调检验检疫、海关、质量技术监督、银行、外汇、贸促会、出口信用保险、工商行政管理等部门与商务工作有关的事项；指导国内贸易和对外经贸中介机构及相关社会团体工作。</w:t>
      </w:r>
    </w:p>
    <w:p>
      <w:pPr>
        <w:autoSpaceDE w:val="0"/>
        <w:autoSpaceDN w:val="0"/>
        <w:adjustRightInd w:val="0"/>
        <w:spacing w:line="560" w:lineRule="exact"/>
        <w:ind w:firstLine="588"/>
        <w:rPr>
          <w:rFonts w:ascii="仿宋_GB2312" w:hAnsi="ˎ̥" w:cs="宋体"/>
          <w:sz w:val="32"/>
          <w:szCs w:val="32"/>
        </w:rPr>
      </w:pPr>
      <w:r>
        <w:rPr>
          <w:rFonts w:hint="eastAsia" w:ascii="仿宋_GB2312" w:hAnsi="ˎ̥" w:cs="宋体"/>
          <w:sz w:val="32"/>
          <w:szCs w:val="32"/>
        </w:rPr>
        <w:t>18.</w:t>
      </w:r>
      <w:r>
        <w:rPr>
          <w:rFonts w:ascii="仿宋_GB2312" w:hAnsi="ˎ̥" w:cs="宋体"/>
          <w:sz w:val="32"/>
          <w:szCs w:val="32"/>
        </w:rPr>
        <w:t>承办市政府交办的其他事项。</w:t>
      </w:r>
    </w:p>
    <w:p>
      <w:pPr>
        <w:spacing w:line="640" w:lineRule="exact"/>
        <w:ind w:firstLine="640" w:firstLineChars="200"/>
        <w:rPr>
          <w:rFonts w:ascii="仿宋_GB2312" w:hAnsi="ˎ̥" w:cs="宋体"/>
          <w:sz w:val="32"/>
          <w:szCs w:val="32"/>
        </w:rPr>
      </w:pPr>
      <w:r>
        <w:rPr>
          <w:rFonts w:hint="eastAsia" w:ascii="仿宋_GB2312" w:hAnsi="ˎ̥" w:cs="宋体"/>
          <w:sz w:val="32"/>
          <w:szCs w:val="32"/>
        </w:rPr>
        <w:t>（二）部门决算单位构成</w:t>
      </w:r>
    </w:p>
    <w:p>
      <w:pPr>
        <w:spacing w:line="640" w:lineRule="exact"/>
        <w:ind w:firstLine="640" w:firstLineChars="200"/>
        <w:rPr>
          <w:rFonts w:ascii="仿宋_GB2312" w:hAnsi="ˎ̥" w:cs="宋体"/>
          <w:sz w:val="32"/>
          <w:szCs w:val="32"/>
        </w:rPr>
      </w:pPr>
      <w:r>
        <w:rPr>
          <w:rFonts w:ascii="仿宋_GB2312" w:hAnsi="ˎ̥" w:cs="宋体"/>
          <w:sz w:val="32"/>
          <w:szCs w:val="32"/>
          <w:lang w:val="zh-CN"/>
        </w:rPr>
        <w:t>2015</w:t>
      </w:r>
      <w:r>
        <w:rPr>
          <w:rFonts w:hint="eastAsia" w:ascii="仿宋_GB2312" w:hAnsi="ˎ̥" w:cs="宋体"/>
          <w:sz w:val="32"/>
          <w:szCs w:val="32"/>
          <w:lang w:val="zh-CN"/>
        </w:rPr>
        <w:t>年度温州市商务局</w:t>
      </w:r>
      <w:r>
        <w:rPr>
          <w:rFonts w:hint="eastAsia" w:ascii="仿宋_GB2312" w:hAnsi="ˎ̥" w:cs="宋体"/>
          <w:sz w:val="32"/>
          <w:szCs w:val="32"/>
        </w:rPr>
        <w:t>部门决算包括：本级决算及所属</w:t>
      </w:r>
      <w:r>
        <w:rPr>
          <w:rFonts w:hint="eastAsia" w:ascii="仿宋_GB2312" w:hAnsi="ˎ̥" w:cs="宋体"/>
          <w:sz w:val="32"/>
          <w:szCs w:val="32"/>
          <w:lang w:val="en-US" w:eastAsia="zh-CN"/>
        </w:rPr>
        <w:t>1</w:t>
      </w:r>
      <w:r>
        <w:rPr>
          <w:rFonts w:hint="eastAsia" w:ascii="仿宋_GB2312" w:hAnsi="ˎ̥" w:cs="宋体"/>
          <w:sz w:val="32"/>
          <w:szCs w:val="32"/>
        </w:rPr>
        <w:t>个事业单位决算，具体如下：</w:t>
      </w:r>
    </w:p>
    <w:tbl>
      <w:tblPr>
        <w:tblStyle w:val="5"/>
        <w:tblW w:w="6260" w:type="dxa"/>
        <w:jc w:val="center"/>
        <w:tblLayout w:type="fixed"/>
        <w:tblCellMar>
          <w:top w:w="0" w:type="dxa"/>
          <w:left w:w="108" w:type="dxa"/>
          <w:bottom w:w="0" w:type="dxa"/>
          <w:right w:w="108" w:type="dxa"/>
        </w:tblCellMar>
      </w:tblPr>
      <w:tblGrid>
        <w:gridCol w:w="760"/>
        <w:gridCol w:w="5500"/>
      </w:tblGrid>
      <w:tr>
        <w:tblPrEx>
          <w:tblCellMar>
            <w:top w:w="0" w:type="dxa"/>
            <w:left w:w="108" w:type="dxa"/>
            <w:bottom w:w="0" w:type="dxa"/>
            <w:right w:w="108" w:type="dxa"/>
          </w:tblCellMar>
        </w:tblPrEx>
        <w:trPr>
          <w:trHeight w:val="510"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序号</w:t>
            </w:r>
          </w:p>
        </w:tc>
        <w:tc>
          <w:tcPr>
            <w:tcW w:w="55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单位名称</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000000"/>
                <w:kern w:val="0"/>
                <w:sz w:val="22"/>
              </w:rPr>
            </w:pPr>
            <w:r>
              <w:rPr>
                <w:rFonts w:hint="eastAsia" w:ascii="仿宋" w:hAnsi="Times New Roman" w:eastAsia="仿宋" w:cs="仿宋"/>
                <w:sz w:val="30"/>
                <w:szCs w:val="30"/>
                <w:lang w:val="zh-CN"/>
              </w:rPr>
              <w:t>温州市商务局本级</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Arial"/>
                <w:color w:val="000000"/>
                <w:kern w:val="0"/>
                <w:sz w:val="22"/>
                <w:lang w:eastAsia="zh-CN"/>
              </w:rPr>
            </w:pPr>
            <w:r>
              <w:rPr>
                <w:rFonts w:hint="eastAsia" w:ascii="仿宋" w:hAnsi="Times New Roman" w:eastAsia="仿宋" w:cs="仿宋"/>
                <w:sz w:val="30"/>
                <w:szCs w:val="30"/>
                <w:lang w:val="zh-CN"/>
              </w:rPr>
              <w:t>温州市商务发展促进中心</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bl>
    <w:p>
      <w:pPr>
        <w:autoSpaceDE w:val="0"/>
        <w:autoSpaceDN w:val="0"/>
        <w:adjustRightInd w:val="0"/>
        <w:spacing w:line="560" w:lineRule="exact"/>
        <w:rPr>
          <w:rFonts w:ascii="仿宋_GB2312" w:hAnsi="Times New Roman" w:eastAsia="仿宋_GB2312" w:cs="仿宋_GB2312"/>
          <w:sz w:val="32"/>
          <w:szCs w:val="32"/>
        </w:rPr>
      </w:pPr>
    </w:p>
    <w:p>
      <w:pPr>
        <w:autoSpaceDE w:val="0"/>
        <w:autoSpaceDN w:val="0"/>
        <w:adjustRightInd w:val="0"/>
        <w:spacing w:line="560" w:lineRule="exact"/>
        <w:rPr>
          <w:rFonts w:ascii="仿宋_GB2312" w:hAnsi="Times New Roman" w:eastAsia="仿宋_GB2312" w:cs="仿宋_GB2312"/>
          <w:sz w:val="32"/>
          <w:szCs w:val="32"/>
        </w:rPr>
      </w:pPr>
    </w:p>
    <w:p>
      <w:pPr>
        <w:autoSpaceDE w:val="0"/>
        <w:autoSpaceDN w:val="0"/>
        <w:adjustRightInd w:val="0"/>
        <w:spacing w:line="560" w:lineRule="exact"/>
        <w:rPr>
          <w:rFonts w:ascii="仿宋_GB2312" w:hAnsi="Times New Roman" w:eastAsia="仿宋_GB2312" w:cs="仿宋_GB2312"/>
          <w:sz w:val="32"/>
          <w:szCs w:val="32"/>
        </w:rPr>
      </w:pPr>
    </w:p>
    <w:p>
      <w:pPr>
        <w:autoSpaceDE w:val="0"/>
        <w:autoSpaceDN w:val="0"/>
        <w:adjustRightInd w:val="0"/>
        <w:spacing w:line="560" w:lineRule="exact"/>
        <w:rPr>
          <w:rFonts w:ascii="仿宋_GB2312" w:hAnsi="Times New Roman" w:eastAsia="仿宋_GB2312" w:cs="仿宋_GB2312"/>
          <w:sz w:val="32"/>
          <w:szCs w:val="32"/>
        </w:rPr>
      </w:pPr>
    </w:p>
    <w:p>
      <w:pPr>
        <w:autoSpaceDE w:val="0"/>
        <w:autoSpaceDN w:val="0"/>
        <w:adjustRightInd w:val="0"/>
        <w:spacing w:line="560" w:lineRule="exact"/>
        <w:rPr>
          <w:rFonts w:ascii="仿宋_GB2312" w:hAnsi="Times New Roman" w:eastAsia="仿宋_GB2312" w:cs="仿宋_GB2312"/>
          <w:sz w:val="32"/>
          <w:szCs w:val="32"/>
        </w:rPr>
      </w:pPr>
    </w:p>
    <w:p>
      <w:pPr>
        <w:autoSpaceDE w:val="0"/>
        <w:autoSpaceDN w:val="0"/>
        <w:adjustRightInd w:val="0"/>
        <w:spacing w:line="560" w:lineRule="exact"/>
        <w:rPr>
          <w:rFonts w:ascii="仿宋_GB2312" w:hAnsi="Times New Roman" w:eastAsia="仿宋_GB2312" w:cs="仿宋_GB2312"/>
          <w:sz w:val="32"/>
          <w:szCs w:val="32"/>
        </w:rPr>
      </w:pPr>
    </w:p>
    <w:p>
      <w:pPr>
        <w:autoSpaceDE w:val="0"/>
        <w:autoSpaceDN w:val="0"/>
        <w:adjustRightInd w:val="0"/>
        <w:spacing w:line="560" w:lineRule="exact"/>
        <w:rPr>
          <w:rFonts w:ascii="仿宋_GB2312" w:hAnsi="Times New Roman" w:eastAsia="仿宋_GB2312" w:cs="仿宋_GB2312"/>
          <w:sz w:val="32"/>
          <w:szCs w:val="32"/>
        </w:rPr>
      </w:pPr>
    </w:p>
    <w:p>
      <w:pPr>
        <w:autoSpaceDE w:val="0"/>
        <w:autoSpaceDN w:val="0"/>
        <w:adjustRightInd w:val="0"/>
        <w:spacing w:line="560" w:lineRule="exact"/>
        <w:rPr>
          <w:rFonts w:ascii="仿宋_GB2312" w:hAnsi="Times New Roman" w:eastAsia="仿宋_GB2312" w:cs="仿宋_GB2312"/>
          <w:sz w:val="32"/>
          <w:szCs w:val="32"/>
        </w:rPr>
      </w:pPr>
    </w:p>
    <w:p>
      <w:pPr>
        <w:autoSpaceDE w:val="0"/>
        <w:autoSpaceDN w:val="0"/>
        <w:adjustRightInd w:val="0"/>
        <w:spacing w:line="560" w:lineRule="exact"/>
        <w:rPr>
          <w:rFonts w:ascii="仿宋_GB2312" w:hAnsi="Times New Roman" w:eastAsia="仿宋_GB2312" w:cs="仿宋_GB2312"/>
          <w:sz w:val="32"/>
          <w:szCs w:val="32"/>
        </w:rPr>
      </w:pPr>
    </w:p>
    <w:p>
      <w:pPr>
        <w:autoSpaceDE w:val="0"/>
        <w:autoSpaceDN w:val="0"/>
        <w:adjustRightInd w:val="0"/>
        <w:spacing w:line="560" w:lineRule="exact"/>
        <w:ind w:firstLine="627"/>
        <w:jc w:val="center"/>
        <w:rPr>
          <w:rFonts w:ascii="黑体" w:hAnsi="Times New Roman" w:eastAsia="黑体" w:cs="黑体"/>
          <w:sz w:val="32"/>
          <w:szCs w:val="32"/>
          <w:lang w:val="zh-CN"/>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2015</w:t>
      </w:r>
      <w:r>
        <w:rPr>
          <w:rFonts w:hint="eastAsia" w:ascii="黑体" w:hAnsi="Times New Roman" w:eastAsia="黑体" w:cs="黑体"/>
          <w:sz w:val="32"/>
          <w:szCs w:val="32"/>
          <w:lang w:val="zh-CN"/>
        </w:rPr>
        <w:t>年度部门决算报表</w:t>
      </w:r>
    </w:p>
    <w:tbl>
      <w:tblPr>
        <w:tblStyle w:val="5"/>
        <w:tblW w:w="86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24"/>
        <w:gridCol w:w="2514"/>
        <w:gridCol w:w="264"/>
        <w:gridCol w:w="264"/>
        <w:gridCol w:w="274"/>
        <w:gridCol w:w="1933"/>
        <w:gridCol w:w="1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224" w:type="dxa"/>
            <w:shd w:val="clear" w:color="auto" w:fill="auto"/>
            <w:vAlign w:val="bottom"/>
          </w:tcPr>
          <w:p>
            <w:pPr>
              <w:rPr>
                <w:rFonts w:hint="eastAsia" w:ascii="Arial" w:hAnsi="Arial" w:cs="Arial"/>
                <w:i w:val="0"/>
                <w:color w:val="000000"/>
                <w:sz w:val="20"/>
                <w:szCs w:val="20"/>
                <w:u w:val="none"/>
              </w:rPr>
            </w:pPr>
          </w:p>
        </w:tc>
        <w:tc>
          <w:tcPr>
            <w:tcW w:w="2514" w:type="dxa"/>
            <w:shd w:val="clear" w:color="auto" w:fill="auto"/>
            <w:vAlign w:val="bottom"/>
          </w:tcPr>
          <w:p>
            <w:pPr>
              <w:rPr>
                <w:rFonts w:hint="default" w:ascii="Arial" w:hAnsi="Arial" w:cs="Arial"/>
                <w:i w:val="0"/>
                <w:color w:val="000000"/>
                <w:sz w:val="20"/>
                <w:szCs w:val="20"/>
                <w:u w:val="none"/>
              </w:rPr>
            </w:pPr>
          </w:p>
        </w:tc>
        <w:tc>
          <w:tcPr>
            <w:tcW w:w="264" w:type="dxa"/>
            <w:shd w:val="clear" w:color="auto" w:fill="auto"/>
            <w:vAlign w:val="bottom"/>
          </w:tcPr>
          <w:p>
            <w:pPr>
              <w:rPr>
                <w:rFonts w:hint="default" w:ascii="Arial" w:hAnsi="Arial" w:cs="Arial"/>
                <w:i w:val="0"/>
                <w:color w:val="000000"/>
                <w:sz w:val="20"/>
                <w:szCs w:val="20"/>
                <w:u w:val="none"/>
              </w:rPr>
            </w:pPr>
          </w:p>
        </w:tc>
        <w:tc>
          <w:tcPr>
            <w:tcW w:w="264" w:type="dxa"/>
            <w:shd w:val="clear" w:color="auto" w:fill="auto"/>
            <w:vAlign w:val="bottom"/>
          </w:tcPr>
          <w:p>
            <w:pPr>
              <w:rPr>
                <w:rFonts w:hint="default" w:ascii="Arial" w:hAnsi="Arial" w:cs="Arial"/>
                <w:i w:val="0"/>
                <w:color w:val="000000"/>
                <w:sz w:val="20"/>
                <w:szCs w:val="20"/>
                <w:u w:val="none"/>
              </w:rPr>
            </w:pPr>
          </w:p>
        </w:tc>
        <w:tc>
          <w:tcPr>
            <w:tcW w:w="274" w:type="dxa"/>
            <w:shd w:val="clear" w:color="auto" w:fill="auto"/>
            <w:vAlign w:val="bottom"/>
          </w:tcPr>
          <w:p>
            <w:pPr>
              <w:rPr>
                <w:rFonts w:hint="default" w:ascii="Arial" w:hAnsi="Arial" w:cs="Arial"/>
                <w:i w:val="0"/>
                <w:color w:val="000000"/>
                <w:sz w:val="20"/>
                <w:szCs w:val="20"/>
                <w:u w:val="none"/>
              </w:rPr>
            </w:pPr>
          </w:p>
        </w:tc>
        <w:tc>
          <w:tcPr>
            <w:tcW w:w="1933" w:type="dxa"/>
            <w:shd w:val="clear" w:color="auto" w:fill="auto"/>
            <w:vAlign w:val="bottom"/>
          </w:tcPr>
          <w:p>
            <w:pPr>
              <w:rPr>
                <w:rFonts w:hint="default" w:ascii="Arial" w:hAnsi="Arial" w:cs="Arial"/>
                <w:i w:val="0"/>
                <w:color w:val="000000"/>
                <w:sz w:val="20"/>
                <w:szCs w:val="20"/>
                <w:u w:val="none"/>
              </w:rPr>
            </w:pPr>
          </w:p>
        </w:tc>
        <w:tc>
          <w:tcPr>
            <w:tcW w:w="1197"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trPr>
        <w:tc>
          <w:tcPr>
            <w:tcW w:w="2224"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2514" w:type="dxa"/>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温州市商务局</w:t>
            </w:r>
          </w:p>
        </w:tc>
        <w:tc>
          <w:tcPr>
            <w:tcW w:w="264" w:type="dxa"/>
            <w:shd w:val="clear" w:color="auto" w:fill="auto"/>
            <w:vAlign w:val="bottom"/>
          </w:tcPr>
          <w:p>
            <w:pPr>
              <w:jc w:val="center"/>
              <w:rPr>
                <w:rFonts w:hint="eastAsia" w:ascii="宋体" w:hAnsi="宋体" w:eastAsia="宋体" w:cs="宋体"/>
                <w:i w:val="0"/>
                <w:color w:val="000000"/>
                <w:sz w:val="20"/>
                <w:szCs w:val="20"/>
                <w:u w:val="none"/>
              </w:rPr>
            </w:pPr>
          </w:p>
        </w:tc>
        <w:tc>
          <w:tcPr>
            <w:tcW w:w="264" w:type="dxa"/>
            <w:shd w:val="clear" w:color="auto" w:fill="auto"/>
            <w:vAlign w:val="bottom"/>
          </w:tcPr>
          <w:p>
            <w:pPr>
              <w:rPr>
                <w:rFonts w:hint="default" w:ascii="Arial" w:hAnsi="Arial" w:cs="Arial"/>
                <w:i w:val="0"/>
                <w:color w:val="000000"/>
                <w:sz w:val="20"/>
                <w:szCs w:val="20"/>
                <w:u w:val="none"/>
              </w:rPr>
            </w:pPr>
          </w:p>
        </w:tc>
        <w:tc>
          <w:tcPr>
            <w:tcW w:w="274" w:type="dxa"/>
            <w:shd w:val="clear" w:color="auto" w:fill="auto"/>
            <w:vAlign w:val="bottom"/>
          </w:tcPr>
          <w:p>
            <w:pPr>
              <w:rPr>
                <w:rFonts w:hint="default" w:ascii="Arial" w:hAnsi="Arial" w:cs="Arial"/>
                <w:i w:val="0"/>
                <w:color w:val="000000"/>
                <w:sz w:val="20"/>
                <w:szCs w:val="20"/>
                <w:u w:val="none"/>
              </w:rPr>
            </w:pPr>
          </w:p>
        </w:tc>
        <w:tc>
          <w:tcPr>
            <w:tcW w:w="1933" w:type="dxa"/>
            <w:shd w:val="clear" w:color="auto" w:fill="auto"/>
            <w:vAlign w:val="bottom"/>
          </w:tcPr>
          <w:p>
            <w:pPr>
              <w:rPr>
                <w:rFonts w:hint="default" w:ascii="Arial" w:hAnsi="Arial" w:cs="Arial"/>
                <w:i w:val="0"/>
                <w:color w:val="000000"/>
                <w:sz w:val="20"/>
                <w:szCs w:val="20"/>
                <w:u w:val="none"/>
              </w:rPr>
            </w:pPr>
          </w:p>
        </w:tc>
        <w:tc>
          <w:tcPr>
            <w:tcW w:w="1197"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4738" w:type="dxa"/>
            <w:gridSpan w:val="2"/>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3932" w:type="dxa"/>
            <w:gridSpan w:val="5"/>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出（按支出功能分类）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251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735" w:type="dxa"/>
            <w:gridSpan w:val="4"/>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97"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222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一、财政拨款</w:t>
            </w:r>
          </w:p>
        </w:tc>
        <w:tc>
          <w:tcPr>
            <w:tcW w:w="25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4,639.97</w:t>
            </w:r>
          </w:p>
        </w:tc>
        <w:tc>
          <w:tcPr>
            <w:tcW w:w="2735" w:type="dxa"/>
            <w:gridSpan w:val="4"/>
            <w:tcBorders>
              <w:top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97"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w:t>
            </w:r>
          </w:p>
        </w:tc>
        <w:tc>
          <w:tcPr>
            <w:tcW w:w="25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4,639.97</w:t>
            </w:r>
          </w:p>
        </w:tc>
        <w:tc>
          <w:tcPr>
            <w:tcW w:w="2735" w:type="dxa"/>
            <w:gridSpan w:val="4"/>
            <w:tcBorders>
              <w:top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97"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w:t>
            </w:r>
          </w:p>
        </w:tc>
        <w:tc>
          <w:tcPr>
            <w:tcW w:w="25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5" w:type="dxa"/>
            <w:gridSpan w:val="4"/>
            <w:tcBorders>
              <w:top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97"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22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二、事业单位专户资金</w:t>
            </w:r>
          </w:p>
        </w:tc>
        <w:tc>
          <w:tcPr>
            <w:tcW w:w="25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5" w:type="dxa"/>
            <w:gridSpan w:val="4"/>
            <w:tcBorders>
              <w:top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97"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三、事业收入（不含专户资金）</w:t>
            </w:r>
          </w:p>
        </w:tc>
        <w:tc>
          <w:tcPr>
            <w:tcW w:w="25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5" w:type="dxa"/>
            <w:gridSpan w:val="4"/>
            <w:tcBorders>
              <w:top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97"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四、事业单位经营收入</w:t>
            </w:r>
          </w:p>
        </w:tc>
        <w:tc>
          <w:tcPr>
            <w:tcW w:w="25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5" w:type="dxa"/>
            <w:gridSpan w:val="4"/>
            <w:tcBorders>
              <w:top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97"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五、其他收入</w:t>
            </w:r>
          </w:p>
        </w:tc>
        <w:tc>
          <w:tcPr>
            <w:tcW w:w="25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5" w:type="dxa"/>
            <w:gridSpan w:val="4"/>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97"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5" w:type="dxa"/>
            <w:gridSpan w:val="4"/>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97"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商贸事务</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2011301</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2011302</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2011350</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2011399</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其他商贸事务支出</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2080504</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医疗保障</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2100501</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2100502</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交通运输支出</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21406</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车辆购置税支出</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2140603</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车辆购置税用于老旧汽车报废更新补贴</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商业服务业等支出</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商业流通事务</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2160299</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其他商业流通事务支出</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21606</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涉外发展服务支出</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2160699</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其他涉外发展服务支出</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2210203</w:t>
            </w:r>
          </w:p>
        </w:tc>
        <w:tc>
          <w:tcPr>
            <w:tcW w:w="1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25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4,639.97</w:t>
            </w:r>
          </w:p>
        </w:tc>
        <w:tc>
          <w:tcPr>
            <w:tcW w:w="2735" w:type="dxa"/>
            <w:gridSpan w:val="4"/>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六、上级补助收入</w:t>
            </w:r>
          </w:p>
        </w:tc>
        <w:tc>
          <w:tcPr>
            <w:tcW w:w="25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5" w:type="dxa"/>
            <w:gridSpan w:val="4"/>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对附属单位补助支出</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25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5" w:type="dxa"/>
            <w:gridSpan w:val="4"/>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上缴上级支出</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八、用事业基金弥补收支差额</w:t>
            </w:r>
          </w:p>
        </w:tc>
        <w:tc>
          <w:tcPr>
            <w:tcW w:w="25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5" w:type="dxa"/>
            <w:gridSpan w:val="4"/>
            <w:tcBorders>
              <w:top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97"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九、上年结转</w:t>
            </w:r>
          </w:p>
        </w:tc>
        <w:tc>
          <w:tcPr>
            <w:tcW w:w="25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10.71</w:t>
            </w:r>
          </w:p>
        </w:tc>
        <w:tc>
          <w:tcPr>
            <w:tcW w:w="2735" w:type="dxa"/>
            <w:gridSpan w:val="4"/>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结转下年</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其中：专项结转</w:t>
            </w:r>
          </w:p>
        </w:tc>
        <w:tc>
          <w:tcPr>
            <w:tcW w:w="25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10.71</w:t>
            </w:r>
          </w:p>
        </w:tc>
        <w:tc>
          <w:tcPr>
            <w:tcW w:w="2735" w:type="dxa"/>
            <w:gridSpan w:val="4"/>
            <w:tcBorders>
              <w:top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97"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政府性基金结转</w:t>
            </w:r>
          </w:p>
        </w:tc>
        <w:tc>
          <w:tcPr>
            <w:tcW w:w="25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5" w:type="dxa"/>
            <w:gridSpan w:val="4"/>
            <w:tcBorders>
              <w:top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97"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其他结转</w:t>
            </w:r>
          </w:p>
        </w:tc>
        <w:tc>
          <w:tcPr>
            <w:tcW w:w="25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5" w:type="dxa"/>
            <w:gridSpan w:val="4"/>
            <w:tcBorders>
              <w:top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97"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2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25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4,650.68</w:t>
            </w:r>
          </w:p>
        </w:tc>
        <w:tc>
          <w:tcPr>
            <w:tcW w:w="2735" w:type="dxa"/>
            <w:gridSpan w:val="4"/>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119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4,650.68</w:t>
            </w:r>
          </w:p>
        </w:tc>
      </w:tr>
    </w:tbl>
    <w:p>
      <w:pPr>
        <w:autoSpaceDE w:val="0"/>
        <w:autoSpaceDN w:val="0"/>
        <w:adjustRightInd w:val="0"/>
        <w:spacing w:line="560" w:lineRule="exact"/>
        <w:ind w:firstLine="627"/>
        <w:jc w:val="left"/>
        <w:rPr>
          <w:rFonts w:hint="eastAsia" w:ascii="仿宋" w:hAnsi="Times New Roman" w:eastAsia="仿宋" w:cs="仿宋"/>
          <w:b/>
          <w:sz w:val="32"/>
          <w:szCs w:val="32"/>
        </w:rPr>
      </w:pPr>
    </w:p>
    <w:p>
      <w:pPr>
        <w:autoSpaceDE w:val="0"/>
        <w:autoSpaceDN w:val="0"/>
        <w:adjustRightInd w:val="0"/>
        <w:spacing w:line="560" w:lineRule="exact"/>
        <w:ind w:firstLine="627"/>
        <w:jc w:val="center"/>
        <w:rPr>
          <w:rFonts w:hint="eastAsia" w:ascii="仿宋" w:hAnsi="Times New Roman" w:eastAsia="仿宋" w:cs="仿宋"/>
          <w:b/>
          <w:sz w:val="32"/>
          <w:szCs w:val="32"/>
        </w:rPr>
      </w:pPr>
    </w:p>
    <w:p>
      <w:pPr>
        <w:autoSpaceDE w:val="0"/>
        <w:autoSpaceDN w:val="0"/>
        <w:adjustRightInd w:val="0"/>
        <w:spacing w:line="560" w:lineRule="exact"/>
        <w:ind w:firstLine="627"/>
        <w:jc w:val="center"/>
        <w:rPr>
          <w:rFonts w:hint="eastAsia" w:ascii="仿宋" w:hAnsi="Times New Roman" w:eastAsia="仿宋" w:cs="仿宋"/>
          <w:b/>
          <w:sz w:val="32"/>
          <w:szCs w:val="32"/>
        </w:rPr>
      </w:pPr>
    </w:p>
    <w:p>
      <w:pPr>
        <w:autoSpaceDE w:val="0"/>
        <w:autoSpaceDN w:val="0"/>
        <w:adjustRightInd w:val="0"/>
        <w:spacing w:line="560" w:lineRule="exact"/>
        <w:ind w:firstLine="627"/>
        <w:jc w:val="center"/>
        <w:rPr>
          <w:rFonts w:hint="eastAsia" w:ascii="仿宋" w:hAnsi="Times New Roman" w:eastAsia="仿宋" w:cs="仿宋"/>
          <w:b/>
          <w:sz w:val="32"/>
          <w:szCs w:val="32"/>
        </w:rPr>
      </w:pPr>
    </w:p>
    <w:p>
      <w:pPr>
        <w:autoSpaceDE w:val="0"/>
        <w:autoSpaceDN w:val="0"/>
        <w:adjustRightInd w:val="0"/>
        <w:spacing w:line="560" w:lineRule="exact"/>
        <w:ind w:firstLine="627"/>
        <w:jc w:val="center"/>
        <w:rPr>
          <w:rFonts w:hint="eastAsia" w:ascii="仿宋" w:hAnsi="Times New Roman" w:eastAsia="仿宋" w:cs="仿宋"/>
          <w:b/>
          <w:sz w:val="32"/>
          <w:szCs w:val="32"/>
        </w:rPr>
      </w:pPr>
    </w:p>
    <w:p>
      <w:pPr>
        <w:autoSpaceDE w:val="0"/>
        <w:autoSpaceDN w:val="0"/>
        <w:adjustRightInd w:val="0"/>
        <w:spacing w:line="560" w:lineRule="exact"/>
        <w:ind w:firstLine="627"/>
        <w:jc w:val="center"/>
        <w:rPr>
          <w:rFonts w:hint="eastAsia" w:ascii="仿宋" w:hAnsi="Times New Roman" w:eastAsia="仿宋" w:cs="仿宋"/>
          <w:b/>
          <w:sz w:val="32"/>
          <w:szCs w:val="32"/>
        </w:rPr>
      </w:pPr>
    </w:p>
    <w:p>
      <w:pPr>
        <w:autoSpaceDE w:val="0"/>
        <w:autoSpaceDN w:val="0"/>
        <w:adjustRightInd w:val="0"/>
        <w:spacing w:line="560" w:lineRule="exact"/>
        <w:ind w:firstLine="627"/>
        <w:jc w:val="center"/>
        <w:rPr>
          <w:rFonts w:hint="eastAsia" w:ascii="仿宋" w:hAnsi="Times New Roman" w:eastAsia="仿宋" w:cs="仿宋"/>
          <w:b/>
          <w:sz w:val="32"/>
          <w:szCs w:val="32"/>
        </w:rPr>
      </w:pPr>
    </w:p>
    <w:p>
      <w:pPr>
        <w:autoSpaceDE w:val="0"/>
        <w:autoSpaceDN w:val="0"/>
        <w:adjustRightInd w:val="0"/>
        <w:spacing w:line="560" w:lineRule="exact"/>
        <w:ind w:firstLine="627"/>
        <w:jc w:val="center"/>
        <w:rPr>
          <w:rFonts w:hint="eastAsia" w:ascii="仿宋" w:hAnsi="Times New Roman" w:eastAsia="仿宋" w:cs="仿宋"/>
          <w:b/>
          <w:sz w:val="32"/>
          <w:szCs w:val="32"/>
        </w:rPr>
      </w:pPr>
    </w:p>
    <w:p>
      <w:pPr>
        <w:autoSpaceDE w:val="0"/>
        <w:autoSpaceDN w:val="0"/>
        <w:adjustRightInd w:val="0"/>
        <w:spacing w:line="560" w:lineRule="exact"/>
        <w:ind w:firstLine="627"/>
        <w:jc w:val="center"/>
        <w:rPr>
          <w:rFonts w:hint="eastAsia"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2015年度部门收入决算总表(分科目）</w:t>
      </w:r>
    </w:p>
    <w:tbl>
      <w:tblPr>
        <w:tblStyle w:val="5"/>
        <w:tblW w:w="9828" w:type="dxa"/>
        <w:tblInd w:w="93" w:type="dxa"/>
        <w:tblLayout w:type="fixed"/>
        <w:tblCellMar>
          <w:top w:w="0" w:type="dxa"/>
          <w:left w:w="108" w:type="dxa"/>
          <w:bottom w:w="0" w:type="dxa"/>
          <w:right w:w="108" w:type="dxa"/>
        </w:tblCellMar>
      </w:tblPr>
      <w:tblGrid>
        <w:gridCol w:w="252"/>
        <w:gridCol w:w="184"/>
        <w:gridCol w:w="397"/>
        <w:gridCol w:w="39"/>
        <w:gridCol w:w="436"/>
        <w:gridCol w:w="106"/>
        <w:gridCol w:w="1834"/>
        <w:gridCol w:w="653"/>
        <w:gridCol w:w="287"/>
        <w:gridCol w:w="623"/>
        <w:gridCol w:w="317"/>
        <w:gridCol w:w="593"/>
        <w:gridCol w:w="347"/>
        <w:gridCol w:w="241"/>
        <w:gridCol w:w="699"/>
        <w:gridCol w:w="175"/>
        <w:gridCol w:w="765"/>
        <w:gridCol w:w="109"/>
        <w:gridCol w:w="874"/>
        <w:gridCol w:w="880"/>
        <w:gridCol w:w="17"/>
      </w:tblGrid>
      <w:tr>
        <w:tblPrEx>
          <w:tblCellMar>
            <w:top w:w="0" w:type="dxa"/>
            <w:left w:w="108" w:type="dxa"/>
            <w:bottom w:w="0" w:type="dxa"/>
            <w:right w:w="108" w:type="dxa"/>
          </w:tblCellMar>
        </w:tblPrEx>
        <w:trPr>
          <w:trHeight w:val="255" w:hRule="atLeast"/>
        </w:trPr>
        <w:tc>
          <w:tcPr>
            <w:tcW w:w="43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80" w:type="dxa"/>
            <w:gridSpan w:val="4"/>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公开02-1表</w:t>
            </w:r>
          </w:p>
        </w:tc>
      </w:tr>
      <w:tr>
        <w:tblPrEx>
          <w:tblCellMar>
            <w:top w:w="0" w:type="dxa"/>
            <w:left w:w="108" w:type="dxa"/>
            <w:bottom w:w="0" w:type="dxa"/>
            <w:right w:w="108" w:type="dxa"/>
          </w:tblCellMar>
        </w:tblPrEx>
        <w:trPr>
          <w:trHeight w:val="315" w:hRule="atLeast"/>
        </w:trPr>
        <w:tc>
          <w:tcPr>
            <w:tcW w:w="1308" w:type="dxa"/>
            <w:gridSpan w:val="5"/>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部门：</w:t>
            </w:r>
          </w:p>
        </w:tc>
        <w:tc>
          <w:tcPr>
            <w:tcW w:w="1940" w:type="dxa"/>
            <w:gridSpan w:val="2"/>
            <w:tcBorders>
              <w:top w:val="nil"/>
              <w:left w:val="nil"/>
              <w:bottom w:val="nil"/>
              <w:right w:val="nil"/>
            </w:tcBorders>
            <w:shd w:val="clear" w:color="auto" w:fill="auto"/>
            <w:vAlign w:val="bottom"/>
          </w:tcPr>
          <w:p>
            <w:pPr>
              <w:widowControl/>
              <w:jc w:val="left"/>
              <w:rPr>
                <w:rFonts w:hint="eastAsia" w:ascii="Arial" w:hAnsi="Arial" w:eastAsia="宋体" w:cs="Arial"/>
                <w:color w:val="000000"/>
                <w:kern w:val="0"/>
                <w:sz w:val="20"/>
                <w:szCs w:val="20"/>
                <w:lang w:val="en-US" w:eastAsia="zh-CN"/>
              </w:rPr>
            </w:pPr>
            <w:r>
              <w:rPr>
                <w:rFonts w:hint="eastAsia" w:ascii="Arial" w:hAnsi="Arial" w:eastAsia="宋体" w:cs="Arial"/>
                <w:color w:val="000000"/>
                <w:kern w:val="0"/>
                <w:sz w:val="20"/>
                <w:szCs w:val="20"/>
                <w:lang w:val="en-US" w:eastAsia="zh-CN"/>
              </w:rPr>
              <w:t>温州市商务局</w:t>
            </w:r>
          </w:p>
        </w:tc>
        <w:tc>
          <w:tcPr>
            <w:tcW w:w="9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gridSpan w:val="2"/>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4"/>
                <w:szCs w:val="24"/>
              </w:rPr>
            </w:pPr>
          </w:p>
        </w:tc>
        <w:tc>
          <w:tcPr>
            <w:tcW w:w="9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80" w:type="dxa"/>
            <w:gridSpan w:val="4"/>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3901" w:type="dxa"/>
            <w:gridSpan w:val="8"/>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10" w:type="dxa"/>
            <w:gridSpan w:val="2"/>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910" w:type="dxa"/>
            <w:gridSpan w:val="2"/>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588" w:type="dxa"/>
            <w:gridSpan w:val="2"/>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874" w:type="dxa"/>
            <w:gridSpan w:val="2"/>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874" w:type="dxa"/>
            <w:gridSpan w:val="2"/>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874"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880" w:type="dxa"/>
            <w:vMerge w:val="restart"/>
            <w:tcBorders>
              <w:top w:val="single" w:color="000000" w:sz="12"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2487" w:type="dxa"/>
            <w:gridSpan w:val="2"/>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10"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10"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88"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74"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74"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74"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80" w:type="dxa"/>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487"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10"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10"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88"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74"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74"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74"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80" w:type="dxa"/>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487"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10"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10"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88"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74"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74"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74"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80" w:type="dxa"/>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252" w:type="dxa"/>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581" w:type="dxa"/>
            <w:gridSpan w:val="2"/>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581" w:type="dxa"/>
            <w:gridSpan w:val="3"/>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2487"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10"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0"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74"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74"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7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80" w:type="dxa"/>
            <w:tcBorders>
              <w:top w:val="single" w:color="000000" w:sz="4"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252" w:type="dxa"/>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81"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81" w:type="dxa"/>
            <w:gridSpan w:val="3"/>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487"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4,639.97</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4,639.97</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1,419.93</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1,419.93</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商贸事务</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1,419.93</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1,419.93</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2011301</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1,164.60</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1,164.60</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2011302</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62.54</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62.54</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2011350</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149.18</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149.18</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2011399</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其他商贸事务支出</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43.60</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43.60</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2080504</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87.80</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87.80</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医疗保障</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87.80</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87.80</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2100501</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78.67</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78.67</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2100502</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交通运输支出</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21406</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车辆购置税支出</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2140603</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车辆购置税用于老旧汽车报废更新补贴</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商业服务业等支出</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2,530.04</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2,530.04</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商业流通事务</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1,941.60</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1,941.60</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2160299</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其他商业流通事务支出</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1,941.60</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1,941.60</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21606</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涉外发展服务支出</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588.44</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588.44</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2160699</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其他涉外发展服务支出</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588.44</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588.44</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91.16</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91.16</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91.16</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91.16</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48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83.09</w:t>
            </w:r>
          </w:p>
        </w:tc>
        <w:tc>
          <w:tcPr>
            <w:tcW w:w="91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83.09</w:t>
            </w:r>
          </w:p>
        </w:tc>
        <w:tc>
          <w:tcPr>
            <w:tcW w:w="58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7" w:type="dxa"/>
          <w:trHeight w:val="300" w:hRule="atLeast"/>
        </w:trPr>
        <w:tc>
          <w:tcPr>
            <w:tcW w:w="1414" w:type="dxa"/>
            <w:gridSpan w:val="6"/>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2210203</w:t>
            </w:r>
          </w:p>
        </w:tc>
        <w:tc>
          <w:tcPr>
            <w:tcW w:w="2487" w:type="dxa"/>
            <w:gridSpan w:val="2"/>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910" w:type="dxa"/>
            <w:gridSpan w:val="2"/>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w:t>
            </w:r>
          </w:p>
        </w:tc>
        <w:tc>
          <w:tcPr>
            <w:tcW w:w="910" w:type="dxa"/>
            <w:gridSpan w:val="2"/>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w:t>
            </w:r>
          </w:p>
        </w:tc>
        <w:tc>
          <w:tcPr>
            <w:tcW w:w="588" w:type="dxa"/>
            <w:gridSpan w:val="2"/>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gridSpan w:val="2"/>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0" w:type="dxa"/>
            <w:tcBorders>
              <w:top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2015年度部门收入决算总表(分单位）</w:t>
      </w:r>
    </w:p>
    <w:tbl>
      <w:tblPr>
        <w:tblStyle w:val="5"/>
        <w:tblW w:w="86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95"/>
        <w:gridCol w:w="912"/>
        <w:gridCol w:w="582"/>
        <w:gridCol w:w="912"/>
        <w:gridCol w:w="912"/>
        <w:gridCol w:w="502"/>
        <w:gridCol w:w="503"/>
        <w:gridCol w:w="503"/>
        <w:gridCol w:w="502"/>
        <w:gridCol w:w="641"/>
        <w:gridCol w:w="485"/>
        <w:gridCol w:w="618"/>
        <w:gridCol w:w="5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8" w:hRule="atLeast"/>
        </w:trPr>
        <w:tc>
          <w:tcPr>
            <w:tcW w:w="1095" w:type="dxa"/>
            <w:shd w:val="clear" w:color="auto" w:fill="auto"/>
            <w:vAlign w:val="bottom"/>
          </w:tcPr>
          <w:p>
            <w:pPr>
              <w:jc w:val="center"/>
              <w:rPr>
                <w:rFonts w:hint="eastAsia" w:ascii="Arial" w:hAnsi="Arial" w:cs="Arial"/>
                <w:i w:val="0"/>
                <w:color w:val="000000"/>
                <w:sz w:val="20"/>
                <w:szCs w:val="20"/>
                <w:u w:val="none"/>
              </w:rPr>
            </w:pPr>
          </w:p>
        </w:tc>
        <w:tc>
          <w:tcPr>
            <w:tcW w:w="912" w:type="dxa"/>
            <w:shd w:val="clear" w:color="auto" w:fill="auto"/>
            <w:vAlign w:val="bottom"/>
          </w:tcPr>
          <w:p>
            <w:pPr>
              <w:jc w:val="center"/>
              <w:rPr>
                <w:rFonts w:hint="default" w:ascii="Arial" w:hAnsi="Arial" w:cs="Arial"/>
                <w:i w:val="0"/>
                <w:color w:val="000000"/>
                <w:sz w:val="20"/>
                <w:szCs w:val="20"/>
                <w:u w:val="none"/>
              </w:rPr>
            </w:pPr>
          </w:p>
        </w:tc>
        <w:tc>
          <w:tcPr>
            <w:tcW w:w="582" w:type="dxa"/>
            <w:shd w:val="clear" w:color="auto" w:fill="auto"/>
            <w:vAlign w:val="bottom"/>
          </w:tcPr>
          <w:p>
            <w:pPr>
              <w:jc w:val="center"/>
              <w:rPr>
                <w:rFonts w:hint="default" w:ascii="Arial" w:hAnsi="Arial" w:cs="Arial"/>
                <w:i w:val="0"/>
                <w:color w:val="000000"/>
                <w:sz w:val="20"/>
                <w:szCs w:val="20"/>
                <w:u w:val="none"/>
              </w:rPr>
            </w:pPr>
          </w:p>
        </w:tc>
        <w:tc>
          <w:tcPr>
            <w:tcW w:w="912" w:type="dxa"/>
            <w:shd w:val="clear" w:color="auto" w:fill="auto"/>
            <w:vAlign w:val="bottom"/>
          </w:tcPr>
          <w:p>
            <w:pPr>
              <w:jc w:val="center"/>
              <w:rPr>
                <w:rFonts w:hint="default" w:ascii="Arial" w:hAnsi="Arial" w:cs="Arial"/>
                <w:i w:val="0"/>
                <w:color w:val="000000"/>
                <w:sz w:val="20"/>
                <w:szCs w:val="20"/>
                <w:u w:val="none"/>
              </w:rPr>
            </w:pPr>
          </w:p>
        </w:tc>
        <w:tc>
          <w:tcPr>
            <w:tcW w:w="912" w:type="dxa"/>
            <w:shd w:val="clear" w:color="auto" w:fill="auto"/>
            <w:vAlign w:val="bottom"/>
          </w:tcPr>
          <w:p>
            <w:pPr>
              <w:jc w:val="center"/>
              <w:rPr>
                <w:rFonts w:hint="default" w:ascii="Arial" w:hAnsi="Arial" w:cs="Arial"/>
                <w:i w:val="0"/>
                <w:color w:val="000000"/>
                <w:sz w:val="20"/>
                <w:szCs w:val="20"/>
                <w:u w:val="none"/>
              </w:rPr>
            </w:pPr>
          </w:p>
        </w:tc>
        <w:tc>
          <w:tcPr>
            <w:tcW w:w="502" w:type="dxa"/>
            <w:shd w:val="clear" w:color="auto" w:fill="auto"/>
            <w:vAlign w:val="bottom"/>
          </w:tcPr>
          <w:p>
            <w:pPr>
              <w:jc w:val="center"/>
              <w:rPr>
                <w:rFonts w:hint="default" w:ascii="Arial" w:hAnsi="Arial" w:cs="Arial"/>
                <w:i w:val="0"/>
                <w:color w:val="000000"/>
                <w:sz w:val="20"/>
                <w:szCs w:val="20"/>
                <w:u w:val="none"/>
              </w:rPr>
            </w:pPr>
          </w:p>
        </w:tc>
        <w:tc>
          <w:tcPr>
            <w:tcW w:w="503" w:type="dxa"/>
            <w:shd w:val="clear" w:color="auto" w:fill="auto"/>
            <w:vAlign w:val="bottom"/>
          </w:tcPr>
          <w:p>
            <w:pPr>
              <w:jc w:val="center"/>
              <w:rPr>
                <w:rFonts w:hint="default" w:ascii="Arial" w:hAnsi="Arial" w:cs="Arial"/>
                <w:i w:val="0"/>
                <w:color w:val="000000"/>
                <w:sz w:val="20"/>
                <w:szCs w:val="20"/>
                <w:u w:val="none"/>
              </w:rPr>
            </w:pPr>
          </w:p>
        </w:tc>
        <w:tc>
          <w:tcPr>
            <w:tcW w:w="503" w:type="dxa"/>
            <w:shd w:val="clear" w:color="auto" w:fill="auto"/>
            <w:vAlign w:val="bottom"/>
          </w:tcPr>
          <w:p>
            <w:pPr>
              <w:jc w:val="center"/>
              <w:rPr>
                <w:rFonts w:hint="default" w:ascii="Arial" w:hAnsi="Arial" w:cs="Arial"/>
                <w:i w:val="0"/>
                <w:color w:val="000000"/>
                <w:sz w:val="20"/>
                <w:szCs w:val="20"/>
                <w:u w:val="none"/>
              </w:rPr>
            </w:pPr>
          </w:p>
        </w:tc>
        <w:tc>
          <w:tcPr>
            <w:tcW w:w="502" w:type="dxa"/>
            <w:shd w:val="clear" w:color="auto" w:fill="auto"/>
            <w:vAlign w:val="bottom"/>
          </w:tcPr>
          <w:p>
            <w:pPr>
              <w:jc w:val="center"/>
              <w:rPr>
                <w:rFonts w:hint="default" w:ascii="Arial" w:hAnsi="Arial" w:cs="Arial"/>
                <w:i w:val="0"/>
                <w:color w:val="000000"/>
                <w:sz w:val="20"/>
                <w:szCs w:val="20"/>
                <w:u w:val="none"/>
              </w:rPr>
            </w:pPr>
          </w:p>
        </w:tc>
        <w:tc>
          <w:tcPr>
            <w:tcW w:w="641" w:type="dxa"/>
            <w:shd w:val="clear" w:color="auto" w:fill="auto"/>
            <w:vAlign w:val="bottom"/>
          </w:tcPr>
          <w:p>
            <w:pPr>
              <w:jc w:val="center"/>
              <w:rPr>
                <w:rFonts w:hint="default" w:ascii="Arial" w:hAnsi="Arial" w:cs="Arial"/>
                <w:i w:val="0"/>
                <w:color w:val="000000"/>
                <w:sz w:val="20"/>
                <w:szCs w:val="20"/>
                <w:u w:val="none"/>
              </w:rPr>
            </w:pPr>
          </w:p>
        </w:tc>
        <w:tc>
          <w:tcPr>
            <w:tcW w:w="485" w:type="dxa"/>
            <w:shd w:val="clear" w:color="auto" w:fill="auto"/>
            <w:vAlign w:val="bottom"/>
          </w:tcPr>
          <w:p>
            <w:pPr>
              <w:jc w:val="center"/>
              <w:rPr>
                <w:rFonts w:hint="default" w:ascii="Arial" w:hAnsi="Arial" w:cs="Arial"/>
                <w:i w:val="0"/>
                <w:color w:val="000000"/>
                <w:sz w:val="20"/>
                <w:szCs w:val="20"/>
                <w:u w:val="none"/>
              </w:rPr>
            </w:pPr>
          </w:p>
        </w:tc>
        <w:tc>
          <w:tcPr>
            <w:tcW w:w="618" w:type="dxa"/>
            <w:shd w:val="clear" w:color="auto" w:fill="auto"/>
            <w:vAlign w:val="bottom"/>
          </w:tcPr>
          <w:p>
            <w:pPr>
              <w:jc w:val="center"/>
              <w:rPr>
                <w:rFonts w:hint="default" w:ascii="Arial" w:hAnsi="Arial" w:cs="Arial"/>
                <w:i w:val="0"/>
                <w:color w:val="000000"/>
                <w:sz w:val="20"/>
                <w:szCs w:val="20"/>
                <w:u w:val="none"/>
              </w:rPr>
            </w:pPr>
          </w:p>
        </w:tc>
        <w:tc>
          <w:tcPr>
            <w:tcW w:w="503"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Arial"/>
                <w:color w:val="000000"/>
                <w:kern w:val="0"/>
                <w:sz w:val="15"/>
                <w:szCs w:val="15"/>
              </w:rPr>
              <w:t>公开02-</w:t>
            </w:r>
            <w:r>
              <w:rPr>
                <w:rFonts w:hint="eastAsia" w:ascii="宋体" w:hAnsi="宋体" w:eastAsia="宋体" w:cs="Arial"/>
                <w:color w:val="000000"/>
                <w:kern w:val="0"/>
                <w:sz w:val="15"/>
                <w:szCs w:val="15"/>
                <w:lang w:val="en-US" w:eastAsia="zh-CN"/>
              </w:rPr>
              <w:t>2</w:t>
            </w:r>
            <w:r>
              <w:rPr>
                <w:rFonts w:hint="eastAsia" w:ascii="宋体" w:hAnsi="宋体" w:eastAsia="宋体" w:cs="Arial"/>
                <w:color w:val="000000"/>
                <w:kern w:val="0"/>
                <w:sz w:val="15"/>
                <w:szCs w:val="15"/>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trPr>
        <w:tc>
          <w:tcPr>
            <w:tcW w:w="1095"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912" w:type="dxa"/>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温州市商务局</w:t>
            </w:r>
          </w:p>
        </w:tc>
        <w:tc>
          <w:tcPr>
            <w:tcW w:w="582" w:type="dxa"/>
            <w:shd w:val="clear" w:color="auto" w:fill="auto"/>
            <w:vAlign w:val="bottom"/>
          </w:tcPr>
          <w:p>
            <w:pPr>
              <w:jc w:val="center"/>
              <w:rPr>
                <w:rFonts w:hint="default" w:ascii="Arial" w:hAnsi="Arial" w:cs="Arial"/>
                <w:i w:val="0"/>
                <w:color w:val="000000"/>
                <w:sz w:val="20"/>
                <w:szCs w:val="20"/>
                <w:u w:val="none"/>
              </w:rPr>
            </w:pPr>
          </w:p>
        </w:tc>
        <w:tc>
          <w:tcPr>
            <w:tcW w:w="912" w:type="dxa"/>
            <w:shd w:val="clear" w:color="auto" w:fill="auto"/>
            <w:vAlign w:val="bottom"/>
          </w:tcPr>
          <w:p>
            <w:pPr>
              <w:jc w:val="center"/>
              <w:rPr>
                <w:rFonts w:hint="default" w:ascii="Arial" w:hAnsi="Arial" w:cs="Arial"/>
                <w:i w:val="0"/>
                <w:color w:val="000000"/>
                <w:sz w:val="20"/>
                <w:szCs w:val="20"/>
                <w:u w:val="none"/>
              </w:rPr>
            </w:pPr>
          </w:p>
        </w:tc>
        <w:tc>
          <w:tcPr>
            <w:tcW w:w="912" w:type="dxa"/>
            <w:shd w:val="clear" w:color="auto" w:fill="auto"/>
            <w:vAlign w:val="bottom"/>
          </w:tcPr>
          <w:p>
            <w:pPr>
              <w:jc w:val="center"/>
              <w:rPr>
                <w:rFonts w:hint="default" w:ascii="Arial" w:hAnsi="Arial" w:cs="Arial"/>
                <w:i w:val="0"/>
                <w:color w:val="000000"/>
                <w:sz w:val="20"/>
                <w:szCs w:val="20"/>
                <w:u w:val="none"/>
              </w:rPr>
            </w:pPr>
          </w:p>
        </w:tc>
        <w:tc>
          <w:tcPr>
            <w:tcW w:w="502" w:type="dxa"/>
            <w:shd w:val="clear" w:color="auto" w:fill="auto"/>
            <w:vAlign w:val="bottom"/>
          </w:tcPr>
          <w:p>
            <w:pPr>
              <w:jc w:val="center"/>
              <w:rPr>
                <w:rFonts w:hint="default" w:ascii="Arial" w:hAnsi="Arial" w:cs="Arial"/>
                <w:i w:val="0"/>
                <w:color w:val="000000"/>
                <w:sz w:val="20"/>
                <w:szCs w:val="20"/>
                <w:u w:val="none"/>
              </w:rPr>
            </w:pPr>
          </w:p>
        </w:tc>
        <w:tc>
          <w:tcPr>
            <w:tcW w:w="503" w:type="dxa"/>
            <w:shd w:val="clear" w:color="auto" w:fill="auto"/>
            <w:vAlign w:val="bottom"/>
          </w:tcPr>
          <w:p>
            <w:pPr>
              <w:jc w:val="center"/>
              <w:rPr>
                <w:rFonts w:hint="eastAsia" w:ascii="宋体" w:hAnsi="宋体" w:eastAsia="宋体" w:cs="宋体"/>
                <w:i w:val="0"/>
                <w:color w:val="000000"/>
                <w:sz w:val="20"/>
                <w:szCs w:val="20"/>
                <w:u w:val="none"/>
              </w:rPr>
            </w:pPr>
          </w:p>
        </w:tc>
        <w:tc>
          <w:tcPr>
            <w:tcW w:w="503" w:type="dxa"/>
            <w:shd w:val="clear" w:color="auto" w:fill="auto"/>
            <w:vAlign w:val="bottom"/>
          </w:tcPr>
          <w:p>
            <w:pPr>
              <w:jc w:val="center"/>
              <w:rPr>
                <w:rFonts w:hint="default" w:ascii="Arial" w:hAnsi="Arial" w:cs="Arial"/>
                <w:i w:val="0"/>
                <w:color w:val="000000"/>
                <w:sz w:val="20"/>
                <w:szCs w:val="20"/>
                <w:u w:val="none"/>
              </w:rPr>
            </w:pPr>
          </w:p>
        </w:tc>
        <w:tc>
          <w:tcPr>
            <w:tcW w:w="502" w:type="dxa"/>
            <w:shd w:val="clear" w:color="auto" w:fill="auto"/>
            <w:vAlign w:val="bottom"/>
          </w:tcPr>
          <w:p>
            <w:pPr>
              <w:jc w:val="center"/>
              <w:rPr>
                <w:rFonts w:hint="default" w:ascii="Arial" w:hAnsi="Arial" w:cs="Arial"/>
                <w:i w:val="0"/>
                <w:color w:val="000000"/>
                <w:sz w:val="20"/>
                <w:szCs w:val="20"/>
                <w:u w:val="none"/>
              </w:rPr>
            </w:pPr>
          </w:p>
        </w:tc>
        <w:tc>
          <w:tcPr>
            <w:tcW w:w="641" w:type="dxa"/>
            <w:shd w:val="clear" w:color="auto" w:fill="auto"/>
            <w:vAlign w:val="bottom"/>
          </w:tcPr>
          <w:p>
            <w:pPr>
              <w:jc w:val="center"/>
              <w:rPr>
                <w:rFonts w:hint="default" w:ascii="Arial" w:hAnsi="Arial" w:cs="Arial"/>
                <w:i w:val="0"/>
                <w:color w:val="000000"/>
                <w:sz w:val="20"/>
                <w:szCs w:val="20"/>
                <w:u w:val="none"/>
              </w:rPr>
            </w:pPr>
          </w:p>
        </w:tc>
        <w:tc>
          <w:tcPr>
            <w:tcW w:w="485" w:type="dxa"/>
            <w:shd w:val="clear" w:color="auto" w:fill="auto"/>
            <w:vAlign w:val="bottom"/>
          </w:tcPr>
          <w:p>
            <w:pPr>
              <w:jc w:val="center"/>
              <w:rPr>
                <w:rFonts w:hint="default" w:ascii="Arial" w:hAnsi="Arial" w:cs="Arial"/>
                <w:i w:val="0"/>
                <w:color w:val="000000"/>
                <w:sz w:val="20"/>
                <w:szCs w:val="20"/>
                <w:u w:val="none"/>
              </w:rPr>
            </w:pPr>
          </w:p>
        </w:tc>
        <w:tc>
          <w:tcPr>
            <w:tcW w:w="618" w:type="dxa"/>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503"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1095" w:type="dxa"/>
            <w:vMerge w:val="restart"/>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912"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582"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w:t>
            </w:r>
          </w:p>
        </w:tc>
        <w:tc>
          <w:tcPr>
            <w:tcW w:w="2326" w:type="dxa"/>
            <w:gridSpan w:val="3"/>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w:t>
            </w:r>
          </w:p>
        </w:tc>
        <w:tc>
          <w:tcPr>
            <w:tcW w:w="503"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事业单位专户资金</w:t>
            </w:r>
          </w:p>
        </w:tc>
        <w:tc>
          <w:tcPr>
            <w:tcW w:w="503"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事业收入（不含专户资金）</w:t>
            </w:r>
          </w:p>
        </w:tc>
        <w:tc>
          <w:tcPr>
            <w:tcW w:w="502"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事业单位经营收入</w:t>
            </w:r>
          </w:p>
        </w:tc>
        <w:tc>
          <w:tcPr>
            <w:tcW w:w="641"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c>
          <w:tcPr>
            <w:tcW w:w="485"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618"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503" w:type="dxa"/>
            <w:vMerge w:val="restart"/>
            <w:tcBorders>
              <w:top w:val="single" w:color="000000" w:sz="12"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用事业单位基金弥补收支差额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85" w:hRule="atLeast"/>
        </w:trPr>
        <w:tc>
          <w:tcPr>
            <w:tcW w:w="1095" w:type="dxa"/>
            <w:vMerge w:val="continue"/>
            <w:tcBorders>
              <w:top w:val="single" w:color="000000" w:sz="12"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1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8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1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1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50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w:t>
            </w:r>
          </w:p>
        </w:tc>
        <w:tc>
          <w:tcPr>
            <w:tcW w:w="503"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03"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0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41"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0"/>
                <w:szCs w:val="20"/>
                <w:u w:val="none"/>
              </w:rPr>
            </w:pPr>
          </w:p>
        </w:tc>
        <w:tc>
          <w:tcPr>
            <w:tcW w:w="485"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0"/>
                <w:szCs w:val="20"/>
                <w:u w:val="none"/>
              </w:rPr>
            </w:pPr>
          </w:p>
        </w:tc>
        <w:tc>
          <w:tcPr>
            <w:tcW w:w="618"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0"/>
                <w:szCs w:val="20"/>
                <w:u w:val="none"/>
              </w:rPr>
            </w:pPr>
          </w:p>
        </w:tc>
        <w:tc>
          <w:tcPr>
            <w:tcW w:w="503" w:type="dxa"/>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09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  次</w:t>
            </w:r>
          </w:p>
        </w:tc>
        <w:tc>
          <w:tcPr>
            <w:tcW w:w="91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8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1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1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0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0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0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0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4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48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1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03" w:type="dxa"/>
            <w:tcBorders>
              <w:top w:val="single" w:color="000000" w:sz="4"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09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4,650.68</w:t>
            </w:r>
          </w:p>
        </w:tc>
        <w:tc>
          <w:tcPr>
            <w:tcW w:w="58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10.71</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4,639.97</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4,639.97</w:t>
            </w:r>
          </w:p>
        </w:tc>
        <w:tc>
          <w:tcPr>
            <w:tcW w:w="50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8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1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09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温州市商务局（本级）</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4,426.04</w:t>
            </w:r>
          </w:p>
        </w:tc>
        <w:tc>
          <w:tcPr>
            <w:tcW w:w="58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10.71</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4,415.33</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4,415.33</w:t>
            </w:r>
          </w:p>
        </w:tc>
        <w:tc>
          <w:tcPr>
            <w:tcW w:w="50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8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1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9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温州市国际投资促进中心</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224.65</w:t>
            </w:r>
          </w:p>
        </w:tc>
        <w:tc>
          <w:tcPr>
            <w:tcW w:w="58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224.65</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224.65</w:t>
            </w:r>
          </w:p>
        </w:tc>
        <w:tc>
          <w:tcPr>
            <w:tcW w:w="50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8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1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9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91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0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0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18"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03" w:type="dxa"/>
            <w:tcBorders>
              <w:top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9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91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0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0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18"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03" w:type="dxa"/>
            <w:tcBorders>
              <w:top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9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91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0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0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18"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03" w:type="dxa"/>
            <w:tcBorders>
              <w:top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95" w:type="dxa"/>
            <w:tcBorders>
              <w:top w:val="single" w:color="000000" w:sz="4" w:space="0"/>
              <w:left w:val="single" w:color="000000" w:sz="12" w:space="0"/>
              <w:bottom w:val="single" w:color="000000" w:sz="12"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912"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2"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2"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2"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02"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03"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03"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02"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1"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5"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18"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03" w:type="dxa"/>
            <w:tcBorders>
              <w:top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bl>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r>
        <w:rPr>
          <w:rFonts w:hint="eastAsia" w:ascii="仿宋" w:hAnsi="Times New Roman" w:eastAsia="仿宋" w:cs="仿宋"/>
          <w:b/>
          <w:sz w:val="32"/>
          <w:szCs w:val="32"/>
        </w:rPr>
        <w:t>2015年度部门支出决算总表（分科目）</w:t>
      </w:r>
    </w:p>
    <w:tbl>
      <w:tblPr>
        <w:tblStyle w:val="5"/>
        <w:tblW w:w="91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2"/>
        <w:gridCol w:w="574"/>
        <w:gridCol w:w="571"/>
        <w:gridCol w:w="2464"/>
        <w:gridCol w:w="1010"/>
        <w:gridCol w:w="930"/>
        <w:gridCol w:w="1010"/>
        <w:gridCol w:w="660"/>
        <w:gridCol w:w="610"/>
        <w:gridCol w:w="750"/>
        <w:gridCol w:w="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12" w:type="dxa"/>
            <w:shd w:val="clear" w:color="auto" w:fill="auto"/>
            <w:vAlign w:val="bottom"/>
          </w:tcPr>
          <w:p>
            <w:pPr>
              <w:rPr>
                <w:rFonts w:hint="eastAsia" w:ascii="Arial" w:hAnsi="Arial" w:cs="Arial"/>
                <w:i w:val="0"/>
                <w:color w:val="000000"/>
                <w:sz w:val="18"/>
                <w:szCs w:val="18"/>
                <w:u w:val="none"/>
              </w:rPr>
            </w:pPr>
          </w:p>
        </w:tc>
        <w:tc>
          <w:tcPr>
            <w:tcW w:w="574" w:type="dxa"/>
            <w:shd w:val="clear" w:color="auto" w:fill="auto"/>
            <w:vAlign w:val="bottom"/>
          </w:tcPr>
          <w:p>
            <w:pPr>
              <w:rPr>
                <w:rFonts w:hint="default" w:ascii="Arial" w:hAnsi="Arial" w:cs="Arial"/>
                <w:i w:val="0"/>
                <w:color w:val="000000"/>
                <w:sz w:val="18"/>
                <w:szCs w:val="18"/>
                <w:u w:val="none"/>
              </w:rPr>
            </w:pPr>
          </w:p>
        </w:tc>
        <w:tc>
          <w:tcPr>
            <w:tcW w:w="571" w:type="dxa"/>
            <w:shd w:val="clear" w:color="auto" w:fill="auto"/>
            <w:vAlign w:val="bottom"/>
          </w:tcPr>
          <w:p>
            <w:pPr>
              <w:rPr>
                <w:rFonts w:hint="default" w:ascii="Arial" w:hAnsi="Arial" w:cs="Arial"/>
                <w:i w:val="0"/>
                <w:color w:val="000000"/>
                <w:sz w:val="18"/>
                <w:szCs w:val="18"/>
                <w:u w:val="none"/>
              </w:rPr>
            </w:pPr>
          </w:p>
        </w:tc>
        <w:tc>
          <w:tcPr>
            <w:tcW w:w="2464" w:type="dxa"/>
            <w:shd w:val="clear" w:color="auto" w:fill="auto"/>
            <w:vAlign w:val="bottom"/>
          </w:tcPr>
          <w:p>
            <w:pPr>
              <w:rPr>
                <w:rFonts w:hint="default" w:ascii="Arial" w:hAnsi="Arial" w:cs="Arial"/>
                <w:i w:val="0"/>
                <w:color w:val="000000"/>
                <w:sz w:val="18"/>
                <w:szCs w:val="18"/>
                <w:u w:val="none"/>
              </w:rPr>
            </w:pPr>
          </w:p>
        </w:tc>
        <w:tc>
          <w:tcPr>
            <w:tcW w:w="1010" w:type="dxa"/>
            <w:shd w:val="clear" w:color="auto" w:fill="auto"/>
            <w:vAlign w:val="bottom"/>
          </w:tcPr>
          <w:p>
            <w:pPr>
              <w:rPr>
                <w:rFonts w:hint="default" w:ascii="Arial" w:hAnsi="Arial" w:cs="Arial"/>
                <w:i w:val="0"/>
                <w:color w:val="000000"/>
                <w:sz w:val="18"/>
                <w:szCs w:val="18"/>
                <w:u w:val="none"/>
              </w:rPr>
            </w:pPr>
          </w:p>
        </w:tc>
        <w:tc>
          <w:tcPr>
            <w:tcW w:w="930" w:type="dxa"/>
            <w:shd w:val="clear" w:color="auto" w:fill="auto"/>
            <w:vAlign w:val="bottom"/>
          </w:tcPr>
          <w:p>
            <w:pPr>
              <w:rPr>
                <w:rFonts w:hint="default" w:ascii="Arial" w:hAnsi="Arial" w:cs="Arial"/>
                <w:i w:val="0"/>
                <w:color w:val="000000"/>
                <w:sz w:val="18"/>
                <w:szCs w:val="18"/>
                <w:u w:val="none"/>
              </w:rPr>
            </w:pPr>
          </w:p>
        </w:tc>
        <w:tc>
          <w:tcPr>
            <w:tcW w:w="1010" w:type="dxa"/>
            <w:shd w:val="clear" w:color="auto" w:fill="auto"/>
            <w:vAlign w:val="bottom"/>
          </w:tcPr>
          <w:p>
            <w:pPr>
              <w:rPr>
                <w:rFonts w:hint="default" w:ascii="Arial" w:hAnsi="Arial" w:cs="Arial"/>
                <w:i w:val="0"/>
                <w:color w:val="000000"/>
                <w:sz w:val="18"/>
                <w:szCs w:val="18"/>
                <w:u w:val="none"/>
              </w:rPr>
            </w:pPr>
          </w:p>
        </w:tc>
        <w:tc>
          <w:tcPr>
            <w:tcW w:w="660" w:type="dxa"/>
            <w:shd w:val="clear" w:color="auto" w:fill="auto"/>
            <w:vAlign w:val="bottom"/>
          </w:tcPr>
          <w:p>
            <w:pPr>
              <w:rPr>
                <w:rFonts w:hint="default" w:ascii="Arial" w:hAnsi="Arial" w:cs="Arial"/>
                <w:i w:val="0"/>
                <w:color w:val="000000"/>
                <w:sz w:val="18"/>
                <w:szCs w:val="18"/>
                <w:u w:val="none"/>
              </w:rPr>
            </w:pPr>
          </w:p>
        </w:tc>
        <w:tc>
          <w:tcPr>
            <w:tcW w:w="610" w:type="dxa"/>
            <w:shd w:val="clear" w:color="auto" w:fill="auto"/>
            <w:vAlign w:val="bottom"/>
          </w:tcPr>
          <w:p>
            <w:pPr>
              <w:rPr>
                <w:rFonts w:hint="default" w:ascii="Arial" w:hAnsi="Arial" w:cs="Arial"/>
                <w:i w:val="0"/>
                <w:color w:val="000000"/>
                <w:sz w:val="18"/>
                <w:szCs w:val="18"/>
                <w:u w:val="none"/>
              </w:rPr>
            </w:pPr>
          </w:p>
        </w:tc>
        <w:tc>
          <w:tcPr>
            <w:tcW w:w="770" w:type="dxa"/>
            <w:gridSpan w:val="2"/>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公开03-1表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6" w:hRule="atLeast"/>
        </w:trPr>
        <w:tc>
          <w:tcPr>
            <w:tcW w:w="512"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p>
        </w:tc>
        <w:tc>
          <w:tcPr>
            <w:tcW w:w="574" w:type="dxa"/>
            <w:shd w:val="clear" w:color="auto" w:fill="auto"/>
            <w:vAlign w:val="bottom"/>
          </w:tcPr>
          <w:p>
            <w:pPr>
              <w:rPr>
                <w:rFonts w:hint="default" w:ascii="Arial" w:hAnsi="Arial"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温州市商务局</w:t>
            </w:r>
          </w:p>
        </w:tc>
        <w:tc>
          <w:tcPr>
            <w:tcW w:w="571" w:type="dxa"/>
            <w:shd w:val="clear" w:color="auto" w:fill="auto"/>
            <w:vAlign w:val="bottom"/>
          </w:tcPr>
          <w:p>
            <w:pPr>
              <w:rPr>
                <w:rFonts w:hint="default" w:ascii="Arial" w:hAnsi="Arial" w:cs="Arial"/>
                <w:i w:val="0"/>
                <w:color w:val="000000"/>
                <w:sz w:val="18"/>
                <w:szCs w:val="18"/>
                <w:u w:val="none"/>
              </w:rPr>
            </w:pPr>
          </w:p>
        </w:tc>
        <w:tc>
          <w:tcPr>
            <w:tcW w:w="2464" w:type="dxa"/>
            <w:shd w:val="clear" w:color="auto" w:fill="auto"/>
            <w:vAlign w:val="bottom"/>
          </w:tcPr>
          <w:p>
            <w:pPr>
              <w:rPr>
                <w:rFonts w:hint="default" w:ascii="Arial" w:hAnsi="Arial" w:cs="Arial"/>
                <w:i w:val="0"/>
                <w:color w:val="000000"/>
                <w:sz w:val="18"/>
                <w:szCs w:val="18"/>
                <w:u w:val="none"/>
              </w:rPr>
            </w:pPr>
          </w:p>
        </w:tc>
        <w:tc>
          <w:tcPr>
            <w:tcW w:w="1010" w:type="dxa"/>
            <w:shd w:val="clear" w:color="auto" w:fill="auto"/>
            <w:vAlign w:val="bottom"/>
          </w:tcPr>
          <w:p>
            <w:pPr>
              <w:rPr>
                <w:rFonts w:hint="default" w:ascii="Arial" w:hAnsi="Arial" w:cs="Arial"/>
                <w:i w:val="0"/>
                <w:color w:val="000000"/>
                <w:sz w:val="18"/>
                <w:szCs w:val="18"/>
                <w:u w:val="none"/>
              </w:rPr>
            </w:pPr>
          </w:p>
        </w:tc>
        <w:tc>
          <w:tcPr>
            <w:tcW w:w="930"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p>
        </w:tc>
        <w:tc>
          <w:tcPr>
            <w:tcW w:w="1010" w:type="dxa"/>
            <w:shd w:val="clear" w:color="auto" w:fill="auto"/>
            <w:vAlign w:val="bottom"/>
          </w:tcPr>
          <w:p>
            <w:pPr>
              <w:rPr>
                <w:rFonts w:hint="default" w:ascii="Arial" w:hAnsi="Arial" w:cs="Arial"/>
                <w:i w:val="0"/>
                <w:color w:val="000000"/>
                <w:sz w:val="18"/>
                <w:szCs w:val="18"/>
                <w:u w:val="none"/>
              </w:rPr>
            </w:pPr>
          </w:p>
        </w:tc>
        <w:tc>
          <w:tcPr>
            <w:tcW w:w="660" w:type="dxa"/>
            <w:shd w:val="clear" w:color="auto" w:fill="auto"/>
            <w:vAlign w:val="bottom"/>
          </w:tcPr>
          <w:p>
            <w:pPr>
              <w:rPr>
                <w:rFonts w:hint="default" w:ascii="Arial" w:hAnsi="Arial" w:cs="Arial"/>
                <w:i w:val="0"/>
                <w:color w:val="000000"/>
                <w:sz w:val="18"/>
                <w:szCs w:val="18"/>
                <w:u w:val="none"/>
              </w:rPr>
            </w:pPr>
          </w:p>
        </w:tc>
        <w:tc>
          <w:tcPr>
            <w:tcW w:w="610" w:type="dxa"/>
            <w:shd w:val="clear" w:color="auto" w:fill="auto"/>
            <w:vAlign w:val="bottom"/>
          </w:tcPr>
          <w:p>
            <w:pPr>
              <w:rPr>
                <w:rFonts w:hint="default" w:ascii="Arial" w:hAnsi="Arial"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770" w:type="dxa"/>
            <w:gridSpan w:val="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4121" w:type="dxa"/>
            <w:gridSpan w:val="4"/>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10"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930"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010"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660"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610"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770" w:type="dxa"/>
            <w:gridSpan w:val="2"/>
            <w:vMerge w:val="restart"/>
            <w:tcBorders>
              <w:top w:val="single" w:color="000000" w:sz="12"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2464"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1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3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1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1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770" w:type="dxa"/>
            <w:gridSpan w:val="2"/>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46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1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3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1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1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770" w:type="dxa"/>
            <w:gridSpan w:val="2"/>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2" w:hRule="atLeast"/>
        </w:trPr>
        <w:tc>
          <w:tcPr>
            <w:tcW w:w="1657" w:type="dxa"/>
            <w:gridSpan w:val="3"/>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46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1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3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1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1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770" w:type="dxa"/>
            <w:gridSpan w:val="2"/>
            <w:vMerge w:val="continue"/>
            <w:tcBorders>
              <w:top w:val="single" w:color="000000" w:sz="12"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512" w:type="dxa"/>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574"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571"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246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1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1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1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70" w:type="dxa"/>
            <w:gridSpan w:val="2"/>
            <w:tcBorders>
              <w:top w:val="single" w:color="000000" w:sz="4"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512" w:type="dxa"/>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7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7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46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4,639.97</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1,977.93</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2,662.05</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1,419.93</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1,338.31</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81.61</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商贸事务</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1,419.93</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1,338.31</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81.61</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2011301</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1,164.60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1,164.60</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2011302</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62.54</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62.54</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2011350</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149.18</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149.18</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2011399</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其他商贸事务支出</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24.52</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19.07</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2080504</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87.80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87.80</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医疗保障</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87.80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87.80</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2100501</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78.67</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78.67</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2100502</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交通运输支出</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21406</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车辆购置税支出</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2140603</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车辆购置税用于老旧汽车报废更新补贴</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商业服务业等支出</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2,530.04</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2,530.04</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商业流通事务</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1,941.60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1,941.60</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2160299</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其他商业流通事务支出</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1,941.60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1,941.60</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21606</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涉外发展服务支出</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588.44</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588.44</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2160699</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其他涉外发展服务支出</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588.44</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588.44</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91.16</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91.16</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91.16</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91.16</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gridSpan w:val="2"/>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0" w:type="dxa"/>
          <w:trHeight w:val="300" w:hRule="atLeast"/>
        </w:trPr>
        <w:tc>
          <w:tcPr>
            <w:tcW w:w="165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4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83.09</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83.09</w:t>
            </w:r>
          </w:p>
        </w:tc>
        <w:tc>
          <w:tcPr>
            <w:tcW w:w="10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0" w:type="dxa"/>
          <w:trHeight w:val="300" w:hRule="atLeast"/>
        </w:trPr>
        <w:tc>
          <w:tcPr>
            <w:tcW w:w="1657" w:type="dxa"/>
            <w:gridSpan w:val="3"/>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2210203</w:t>
            </w:r>
          </w:p>
        </w:tc>
        <w:tc>
          <w:tcPr>
            <w:tcW w:w="2464"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1010"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w:t>
            </w:r>
          </w:p>
        </w:tc>
        <w:tc>
          <w:tcPr>
            <w:tcW w:w="930"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w:t>
            </w:r>
          </w:p>
        </w:tc>
        <w:tc>
          <w:tcPr>
            <w:tcW w:w="1010"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0"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0"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autoSpaceDE w:val="0"/>
        <w:autoSpaceDN w:val="0"/>
        <w:adjustRightInd w:val="0"/>
        <w:spacing w:line="560" w:lineRule="exact"/>
        <w:jc w:val="both"/>
        <w:rPr>
          <w:rFonts w:hint="eastAsia"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2015年度部门支出决算总表（分单位）</w:t>
      </w:r>
    </w:p>
    <w:tbl>
      <w:tblPr>
        <w:tblStyle w:val="5"/>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97"/>
        <w:gridCol w:w="1200"/>
        <w:gridCol w:w="912"/>
        <w:gridCol w:w="821"/>
        <w:gridCol w:w="912"/>
        <w:gridCol w:w="810"/>
        <w:gridCol w:w="810"/>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397" w:type="dxa"/>
            <w:shd w:val="clear" w:color="auto" w:fill="auto"/>
            <w:vAlign w:val="bottom"/>
          </w:tcPr>
          <w:p>
            <w:pPr>
              <w:jc w:val="center"/>
              <w:rPr>
                <w:rFonts w:hint="eastAsia" w:ascii="Arial" w:hAnsi="Arial" w:cs="Arial"/>
                <w:i w:val="0"/>
                <w:color w:val="000000"/>
                <w:sz w:val="15"/>
                <w:szCs w:val="15"/>
                <w:u w:val="none"/>
              </w:rPr>
            </w:pPr>
          </w:p>
        </w:tc>
        <w:tc>
          <w:tcPr>
            <w:tcW w:w="1200" w:type="dxa"/>
            <w:shd w:val="clear" w:color="auto" w:fill="auto"/>
            <w:vAlign w:val="bottom"/>
          </w:tcPr>
          <w:p>
            <w:pPr>
              <w:jc w:val="center"/>
              <w:rPr>
                <w:rFonts w:hint="default" w:ascii="Arial" w:hAnsi="Arial" w:cs="Arial"/>
                <w:i w:val="0"/>
                <w:color w:val="000000"/>
                <w:sz w:val="15"/>
                <w:szCs w:val="15"/>
                <w:u w:val="none"/>
              </w:rPr>
            </w:pPr>
          </w:p>
        </w:tc>
        <w:tc>
          <w:tcPr>
            <w:tcW w:w="912" w:type="dxa"/>
            <w:shd w:val="clear" w:color="auto" w:fill="auto"/>
            <w:vAlign w:val="bottom"/>
          </w:tcPr>
          <w:p>
            <w:pPr>
              <w:jc w:val="center"/>
              <w:rPr>
                <w:rFonts w:hint="default" w:ascii="Arial" w:hAnsi="Arial" w:cs="Arial"/>
                <w:i w:val="0"/>
                <w:color w:val="000000"/>
                <w:sz w:val="15"/>
                <w:szCs w:val="15"/>
                <w:u w:val="none"/>
              </w:rPr>
            </w:pPr>
          </w:p>
        </w:tc>
        <w:tc>
          <w:tcPr>
            <w:tcW w:w="821" w:type="dxa"/>
            <w:shd w:val="clear" w:color="auto" w:fill="auto"/>
            <w:vAlign w:val="bottom"/>
          </w:tcPr>
          <w:p>
            <w:pPr>
              <w:jc w:val="center"/>
              <w:rPr>
                <w:rFonts w:hint="default" w:ascii="Arial" w:hAnsi="Arial" w:cs="Arial"/>
                <w:i w:val="0"/>
                <w:color w:val="000000"/>
                <w:sz w:val="15"/>
                <w:szCs w:val="15"/>
                <w:u w:val="none"/>
              </w:rPr>
            </w:pPr>
          </w:p>
        </w:tc>
        <w:tc>
          <w:tcPr>
            <w:tcW w:w="912" w:type="dxa"/>
            <w:shd w:val="clear" w:color="auto" w:fill="auto"/>
            <w:vAlign w:val="bottom"/>
          </w:tcPr>
          <w:p>
            <w:pPr>
              <w:jc w:val="center"/>
              <w:rPr>
                <w:rFonts w:hint="default" w:ascii="Arial" w:hAnsi="Arial" w:cs="Arial"/>
                <w:i w:val="0"/>
                <w:color w:val="000000"/>
                <w:sz w:val="15"/>
                <w:szCs w:val="15"/>
                <w:u w:val="none"/>
              </w:rPr>
            </w:pPr>
          </w:p>
        </w:tc>
        <w:tc>
          <w:tcPr>
            <w:tcW w:w="810" w:type="dxa"/>
            <w:shd w:val="clear" w:color="auto" w:fill="auto"/>
            <w:vAlign w:val="bottom"/>
          </w:tcPr>
          <w:p>
            <w:pPr>
              <w:jc w:val="center"/>
              <w:rPr>
                <w:rFonts w:hint="default" w:ascii="Arial" w:hAnsi="Arial" w:cs="Arial"/>
                <w:i w:val="0"/>
                <w:color w:val="000000"/>
                <w:sz w:val="15"/>
                <w:szCs w:val="15"/>
                <w:u w:val="none"/>
              </w:rPr>
            </w:pPr>
          </w:p>
        </w:tc>
        <w:tc>
          <w:tcPr>
            <w:tcW w:w="810" w:type="dxa"/>
            <w:shd w:val="clear" w:color="auto" w:fill="auto"/>
            <w:vAlign w:val="bottom"/>
          </w:tcPr>
          <w:p>
            <w:pPr>
              <w:jc w:val="center"/>
              <w:rPr>
                <w:rFonts w:hint="default" w:ascii="Arial" w:hAnsi="Arial" w:cs="Arial"/>
                <w:i w:val="0"/>
                <w:color w:val="000000"/>
                <w:sz w:val="15"/>
                <w:szCs w:val="15"/>
                <w:u w:val="none"/>
              </w:rPr>
            </w:pPr>
          </w:p>
        </w:tc>
        <w:tc>
          <w:tcPr>
            <w:tcW w:w="999"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公开03-2表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trPr>
        <w:tc>
          <w:tcPr>
            <w:tcW w:w="2397"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w:t>
            </w:r>
          </w:p>
        </w:tc>
        <w:tc>
          <w:tcPr>
            <w:tcW w:w="1200" w:type="dxa"/>
            <w:shd w:val="clear" w:color="auto" w:fill="auto"/>
            <w:vAlign w:val="bottom"/>
          </w:tcPr>
          <w:p>
            <w:pPr>
              <w:jc w:val="center"/>
              <w:rPr>
                <w:rFonts w:hint="default" w:ascii="Arial" w:hAnsi="Arial"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温州市商务局</w:t>
            </w:r>
          </w:p>
        </w:tc>
        <w:tc>
          <w:tcPr>
            <w:tcW w:w="912" w:type="dxa"/>
            <w:shd w:val="clear" w:color="auto" w:fill="auto"/>
            <w:vAlign w:val="bottom"/>
          </w:tcPr>
          <w:p>
            <w:pPr>
              <w:jc w:val="center"/>
              <w:rPr>
                <w:rFonts w:hint="default" w:ascii="Arial" w:hAnsi="Arial" w:cs="Arial"/>
                <w:i w:val="0"/>
                <w:color w:val="000000"/>
                <w:sz w:val="15"/>
                <w:szCs w:val="15"/>
                <w:u w:val="none"/>
              </w:rPr>
            </w:pPr>
          </w:p>
        </w:tc>
        <w:tc>
          <w:tcPr>
            <w:tcW w:w="821" w:type="dxa"/>
            <w:shd w:val="clear" w:color="auto" w:fill="auto"/>
            <w:vAlign w:val="bottom"/>
          </w:tcPr>
          <w:p>
            <w:pPr>
              <w:jc w:val="center"/>
              <w:rPr>
                <w:rFonts w:hint="eastAsia" w:ascii="宋体" w:hAnsi="宋体" w:eastAsia="宋体" w:cs="宋体"/>
                <w:i w:val="0"/>
                <w:color w:val="000000"/>
                <w:sz w:val="15"/>
                <w:szCs w:val="15"/>
                <w:u w:val="none"/>
              </w:rPr>
            </w:pPr>
          </w:p>
        </w:tc>
        <w:tc>
          <w:tcPr>
            <w:tcW w:w="912" w:type="dxa"/>
            <w:shd w:val="clear" w:color="auto" w:fill="auto"/>
            <w:vAlign w:val="bottom"/>
          </w:tcPr>
          <w:p>
            <w:pPr>
              <w:jc w:val="center"/>
              <w:rPr>
                <w:rFonts w:hint="default" w:ascii="Arial" w:hAnsi="Arial" w:cs="Arial"/>
                <w:i w:val="0"/>
                <w:color w:val="000000"/>
                <w:sz w:val="15"/>
                <w:szCs w:val="15"/>
                <w:u w:val="none"/>
              </w:rPr>
            </w:pPr>
          </w:p>
        </w:tc>
        <w:tc>
          <w:tcPr>
            <w:tcW w:w="810" w:type="dxa"/>
            <w:shd w:val="clear" w:color="auto" w:fill="auto"/>
            <w:vAlign w:val="bottom"/>
          </w:tcPr>
          <w:p>
            <w:pPr>
              <w:jc w:val="center"/>
              <w:rPr>
                <w:rFonts w:hint="default" w:ascii="Arial" w:hAnsi="Arial" w:cs="Arial"/>
                <w:i w:val="0"/>
                <w:color w:val="000000"/>
                <w:sz w:val="15"/>
                <w:szCs w:val="15"/>
                <w:u w:val="none"/>
              </w:rPr>
            </w:pPr>
          </w:p>
        </w:tc>
        <w:tc>
          <w:tcPr>
            <w:tcW w:w="810" w:type="dxa"/>
            <w:shd w:val="clear" w:color="auto" w:fill="auto"/>
            <w:vAlign w:val="bottom"/>
          </w:tcPr>
          <w:p>
            <w:pPr>
              <w:jc w:val="center"/>
              <w:rPr>
                <w:rFonts w:hint="default" w:ascii="Arial" w:hAnsi="Arial"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金额单位：</w:t>
            </w:r>
          </w:p>
        </w:tc>
        <w:tc>
          <w:tcPr>
            <w:tcW w:w="999"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2397" w:type="dxa"/>
            <w:vMerge w:val="restart"/>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1200"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1733" w:type="dxa"/>
            <w:gridSpan w:val="2"/>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12"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810"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事业单位经营支出</w:t>
            </w:r>
          </w:p>
        </w:tc>
        <w:tc>
          <w:tcPr>
            <w:tcW w:w="810"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c>
          <w:tcPr>
            <w:tcW w:w="999"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85" w:hRule="atLeast"/>
        </w:trPr>
        <w:tc>
          <w:tcPr>
            <w:tcW w:w="2397" w:type="dxa"/>
            <w:vMerge w:val="continue"/>
            <w:tcBorders>
              <w:top w:val="single" w:color="000000" w:sz="12"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20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1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人员支出</w:t>
            </w:r>
          </w:p>
        </w:tc>
        <w:tc>
          <w:tcPr>
            <w:tcW w:w="82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日常公用支出</w:t>
            </w:r>
          </w:p>
        </w:tc>
        <w:tc>
          <w:tcPr>
            <w:tcW w:w="91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1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1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99"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9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  次</w:t>
            </w:r>
          </w:p>
        </w:tc>
        <w:tc>
          <w:tcPr>
            <w:tcW w:w="120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1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1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9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120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4,639.97</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1,736.13</w:t>
            </w:r>
          </w:p>
        </w:tc>
        <w:tc>
          <w:tcPr>
            <w:tcW w:w="82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241.80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2,662.05</w:t>
            </w:r>
          </w:p>
        </w:tc>
        <w:tc>
          <w:tcPr>
            <w:tcW w:w="8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9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温州市商务局（本级）</w:t>
            </w:r>
          </w:p>
        </w:tc>
        <w:tc>
          <w:tcPr>
            <w:tcW w:w="120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4,415.33</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1,562.25</w:t>
            </w:r>
          </w:p>
        </w:tc>
        <w:tc>
          <w:tcPr>
            <w:tcW w:w="82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216.56</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2,636.52</w:t>
            </w:r>
          </w:p>
        </w:tc>
        <w:tc>
          <w:tcPr>
            <w:tcW w:w="8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9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温州市国际投资促进中心</w:t>
            </w:r>
          </w:p>
        </w:tc>
        <w:tc>
          <w:tcPr>
            <w:tcW w:w="120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224.65</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173.87</w:t>
            </w:r>
          </w:p>
        </w:tc>
        <w:tc>
          <w:tcPr>
            <w:tcW w:w="82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25.24</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25.53</w:t>
            </w:r>
          </w:p>
        </w:tc>
        <w:tc>
          <w:tcPr>
            <w:tcW w:w="8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9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20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2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99"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9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20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2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99"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9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20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2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99"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97" w:type="dxa"/>
            <w:tcBorders>
              <w:top w:val="single" w:color="000000" w:sz="4" w:space="0"/>
              <w:left w:val="single" w:color="000000" w:sz="12" w:space="0"/>
              <w:bottom w:val="single" w:color="000000" w:sz="12"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200"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2"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21"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2"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0"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0"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99" w:type="dxa"/>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r>
        <w:rPr>
          <w:rFonts w:hint="eastAsia" w:ascii="仿宋" w:hAnsi="Times New Roman" w:eastAsia="仿宋" w:cs="仿宋"/>
          <w:b/>
          <w:sz w:val="32"/>
          <w:szCs w:val="32"/>
        </w:rPr>
        <w:t>2015年度部门财政拨款收入支出决算总表</w:t>
      </w:r>
    </w:p>
    <w:tbl>
      <w:tblPr>
        <w:tblStyle w:val="5"/>
        <w:tblW w:w="86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67"/>
        <w:gridCol w:w="299"/>
        <w:gridCol w:w="1570"/>
        <w:gridCol w:w="1383"/>
        <w:gridCol w:w="301"/>
        <w:gridCol w:w="923"/>
        <w:gridCol w:w="912"/>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67" w:type="dxa"/>
            <w:shd w:val="clear" w:color="auto" w:fill="auto"/>
            <w:vAlign w:val="bottom"/>
          </w:tcPr>
          <w:p>
            <w:pPr>
              <w:jc w:val="center"/>
              <w:rPr>
                <w:rFonts w:hint="eastAsia" w:ascii="Arial" w:hAnsi="Arial" w:cs="Arial"/>
                <w:i w:val="0"/>
                <w:color w:val="000000"/>
                <w:sz w:val="20"/>
                <w:szCs w:val="20"/>
                <w:u w:val="none"/>
              </w:rPr>
            </w:pPr>
          </w:p>
        </w:tc>
        <w:tc>
          <w:tcPr>
            <w:tcW w:w="299" w:type="dxa"/>
            <w:shd w:val="clear" w:color="auto" w:fill="auto"/>
            <w:vAlign w:val="bottom"/>
          </w:tcPr>
          <w:p>
            <w:pPr>
              <w:jc w:val="center"/>
              <w:rPr>
                <w:rFonts w:hint="default" w:ascii="Arial" w:hAnsi="Arial" w:cs="Arial"/>
                <w:i w:val="0"/>
                <w:color w:val="000000"/>
                <w:sz w:val="20"/>
                <w:szCs w:val="20"/>
                <w:u w:val="none"/>
              </w:rPr>
            </w:pPr>
          </w:p>
        </w:tc>
        <w:tc>
          <w:tcPr>
            <w:tcW w:w="1570" w:type="dxa"/>
            <w:shd w:val="clear" w:color="auto" w:fill="auto"/>
            <w:vAlign w:val="bottom"/>
          </w:tcPr>
          <w:p>
            <w:pPr>
              <w:jc w:val="center"/>
              <w:rPr>
                <w:rFonts w:hint="default" w:ascii="Arial" w:hAnsi="Arial" w:cs="Arial"/>
                <w:i w:val="0"/>
                <w:color w:val="000000"/>
                <w:sz w:val="20"/>
                <w:szCs w:val="20"/>
                <w:u w:val="none"/>
              </w:rPr>
            </w:pPr>
          </w:p>
        </w:tc>
        <w:tc>
          <w:tcPr>
            <w:tcW w:w="1383" w:type="dxa"/>
            <w:shd w:val="clear" w:color="auto" w:fill="auto"/>
            <w:vAlign w:val="bottom"/>
          </w:tcPr>
          <w:p>
            <w:pPr>
              <w:jc w:val="center"/>
              <w:rPr>
                <w:rFonts w:hint="default" w:ascii="Arial" w:hAnsi="Arial" w:cs="Arial"/>
                <w:i w:val="0"/>
                <w:color w:val="000000"/>
                <w:sz w:val="20"/>
                <w:szCs w:val="20"/>
                <w:u w:val="none"/>
              </w:rPr>
            </w:pPr>
          </w:p>
        </w:tc>
        <w:tc>
          <w:tcPr>
            <w:tcW w:w="301" w:type="dxa"/>
            <w:shd w:val="clear" w:color="auto" w:fill="auto"/>
            <w:vAlign w:val="bottom"/>
          </w:tcPr>
          <w:p>
            <w:pPr>
              <w:jc w:val="center"/>
              <w:rPr>
                <w:rFonts w:hint="default" w:ascii="Arial" w:hAnsi="Arial" w:cs="Arial"/>
                <w:i w:val="0"/>
                <w:color w:val="000000"/>
                <w:sz w:val="20"/>
                <w:szCs w:val="20"/>
                <w:u w:val="none"/>
              </w:rPr>
            </w:pPr>
          </w:p>
        </w:tc>
        <w:tc>
          <w:tcPr>
            <w:tcW w:w="923" w:type="dxa"/>
            <w:shd w:val="clear" w:color="auto" w:fill="auto"/>
            <w:vAlign w:val="bottom"/>
          </w:tcPr>
          <w:p>
            <w:pPr>
              <w:jc w:val="center"/>
              <w:rPr>
                <w:rFonts w:hint="default" w:ascii="Arial" w:hAnsi="Arial" w:cs="Arial"/>
                <w:i w:val="0"/>
                <w:color w:val="000000"/>
                <w:sz w:val="20"/>
                <w:szCs w:val="20"/>
                <w:u w:val="none"/>
              </w:rPr>
            </w:pPr>
          </w:p>
        </w:tc>
        <w:tc>
          <w:tcPr>
            <w:tcW w:w="912" w:type="dxa"/>
            <w:shd w:val="clear" w:color="auto" w:fill="auto"/>
            <w:vAlign w:val="bottom"/>
          </w:tcPr>
          <w:p>
            <w:pPr>
              <w:jc w:val="center"/>
              <w:rPr>
                <w:rFonts w:hint="default" w:ascii="Arial" w:hAnsi="Arial" w:cs="Arial"/>
                <w:i w:val="0"/>
                <w:color w:val="000000"/>
                <w:sz w:val="20"/>
                <w:szCs w:val="20"/>
                <w:u w:val="none"/>
              </w:rPr>
            </w:pPr>
          </w:p>
        </w:tc>
        <w:tc>
          <w:tcPr>
            <w:tcW w:w="1815" w:type="dxa"/>
            <w:shd w:val="clear" w:color="auto" w:fill="auto"/>
            <w:vAlign w:val="bottom"/>
          </w:tcPr>
          <w:p>
            <w:pPr>
              <w:jc w:val="center"/>
              <w:rPr>
                <w:rFonts w:hint="eastAsia" w:ascii="Arial" w:hAnsi="Arial" w:eastAsia="宋体" w:cs="Arial"/>
                <w:i w:val="0"/>
                <w:color w:val="000000"/>
                <w:sz w:val="20"/>
                <w:szCs w:val="20"/>
                <w:u w:val="none"/>
                <w:lang w:eastAsia="zh-CN"/>
              </w:rPr>
            </w:pPr>
            <w:r>
              <w:rPr>
                <w:rFonts w:hint="eastAsia" w:ascii="Arial" w:hAnsi="Arial" w:cs="Arial"/>
                <w:i w:val="0"/>
                <w:color w:val="000000"/>
                <w:sz w:val="20"/>
                <w:szCs w:val="20"/>
                <w:u w:val="none"/>
                <w:lang w:eastAsia="zh-CN"/>
              </w:rPr>
              <w:t>公开</w:t>
            </w:r>
            <w:r>
              <w:rPr>
                <w:rFonts w:hint="eastAsia" w:ascii="Arial" w:hAnsi="Arial" w:cs="Arial"/>
                <w:i w:val="0"/>
                <w:color w:val="000000"/>
                <w:sz w:val="20"/>
                <w:szCs w:val="20"/>
                <w:u w:val="none"/>
                <w:lang w:val="en-US" w:eastAsia="zh-CN"/>
              </w:rPr>
              <w:t>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467"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部门：</w:t>
            </w:r>
          </w:p>
        </w:tc>
        <w:tc>
          <w:tcPr>
            <w:tcW w:w="299" w:type="dxa"/>
            <w:shd w:val="clear" w:color="auto" w:fill="auto"/>
            <w:vAlign w:val="bottom"/>
          </w:tcPr>
          <w:p>
            <w:pPr>
              <w:jc w:val="center"/>
              <w:rPr>
                <w:rFonts w:hint="default" w:ascii="Arial" w:hAnsi="Arial" w:cs="Arial"/>
                <w:i w:val="0"/>
                <w:color w:val="000000"/>
                <w:sz w:val="20"/>
                <w:szCs w:val="20"/>
                <w:u w:val="none"/>
              </w:rPr>
            </w:pPr>
          </w:p>
        </w:tc>
        <w:tc>
          <w:tcPr>
            <w:tcW w:w="1570" w:type="dxa"/>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温州市商务局</w:t>
            </w:r>
          </w:p>
        </w:tc>
        <w:tc>
          <w:tcPr>
            <w:tcW w:w="1383" w:type="dxa"/>
            <w:shd w:val="clear" w:color="auto" w:fill="auto"/>
            <w:vAlign w:val="bottom"/>
          </w:tcPr>
          <w:p>
            <w:pPr>
              <w:jc w:val="center"/>
              <w:rPr>
                <w:rFonts w:hint="default" w:ascii="Arial" w:hAnsi="Arial" w:cs="Arial"/>
                <w:i w:val="0"/>
                <w:color w:val="000000"/>
                <w:sz w:val="20"/>
                <w:szCs w:val="20"/>
                <w:u w:val="none"/>
              </w:rPr>
            </w:pPr>
          </w:p>
        </w:tc>
        <w:tc>
          <w:tcPr>
            <w:tcW w:w="301" w:type="dxa"/>
            <w:shd w:val="clear" w:color="auto" w:fill="auto"/>
            <w:vAlign w:val="bottom"/>
          </w:tcPr>
          <w:p>
            <w:pPr>
              <w:jc w:val="center"/>
              <w:rPr>
                <w:rFonts w:hint="default" w:ascii="Arial" w:hAnsi="Arial" w:cs="Arial"/>
                <w:i w:val="0"/>
                <w:color w:val="000000"/>
                <w:sz w:val="20"/>
                <w:szCs w:val="20"/>
                <w:u w:val="none"/>
              </w:rPr>
            </w:pPr>
          </w:p>
        </w:tc>
        <w:tc>
          <w:tcPr>
            <w:tcW w:w="923"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912" w:type="dxa"/>
            <w:shd w:val="clear" w:color="auto" w:fill="auto"/>
            <w:vAlign w:val="bottom"/>
          </w:tcPr>
          <w:p>
            <w:pPr>
              <w:jc w:val="center"/>
              <w:rPr>
                <w:rFonts w:hint="eastAsia" w:ascii="Arial" w:hAnsi="Arial" w:eastAsia="宋体" w:cs="Arial"/>
                <w:i w:val="0"/>
                <w:color w:val="000000"/>
                <w:sz w:val="20"/>
                <w:szCs w:val="20"/>
                <w:u w:val="none"/>
                <w:lang w:eastAsia="zh-CN"/>
              </w:rPr>
            </w:pPr>
            <w:r>
              <w:rPr>
                <w:rFonts w:hint="eastAsia" w:ascii="Arial" w:hAnsi="Arial" w:cs="Arial"/>
                <w:i w:val="0"/>
                <w:color w:val="000000"/>
                <w:sz w:val="20"/>
                <w:szCs w:val="20"/>
                <w:u w:val="none"/>
                <w:lang w:eastAsia="zh-CN"/>
              </w:rPr>
              <w:t>金额</w:t>
            </w:r>
          </w:p>
        </w:tc>
        <w:tc>
          <w:tcPr>
            <w:tcW w:w="1815" w:type="dxa"/>
            <w:shd w:val="clear" w:color="auto" w:fill="auto"/>
            <w:vAlign w:val="bottom"/>
          </w:tcPr>
          <w:p>
            <w:pPr>
              <w:jc w:val="center"/>
              <w:rPr>
                <w:rFonts w:hint="eastAsia" w:ascii="Arial" w:hAnsi="Arial" w:eastAsia="宋体" w:cs="Arial"/>
                <w:i w:val="0"/>
                <w:color w:val="000000"/>
                <w:sz w:val="20"/>
                <w:szCs w:val="20"/>
                <w:u w:val="none"/>
                <w:lang w:eastAsia="zh-CN"/>
              </w:rPr>
            </w:pPr>
            <w:r>
              <w:rPr>
                <w:rFonts w:hint="eastAsia" w:ascii="Arial" w:hAnsi="Arial" w:cs="Arial"/>
                <w:i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336" w:type="dxa"/>
            <w:gridSpan w:val="3"/>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5334" w:type="dxa"/>
            <w:gridSpan w:val="5"/>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467" w:type="dxa"/>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299"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57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383"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项目（按功能分类）</w:t>
            </w:r>
          </w:p>
        </w:tc>
        <w:tc>
          <w:tcPr>
            <w:tcW w:w="301"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3650"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1467" w:type="dxa"/>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99"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8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0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2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1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81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    次</w:t>
            </w:r>
          </w:p>
        </w:tc>
        <w:tc>
          <w:tcPr>
            <w:tcW w:w="299" w:type="dxa"/>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7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    次</w:t>
            </w:r>
          </w:p>
        </w:tc>
        <w:tc>
          <w:tcPr>
            <w:tcW w:w="301" w:type="dxa"/>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2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1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81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4,639.97</w:t>
            </w: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1,419.93</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1,419.93</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87.80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87.80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2,530.04</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2,530.04</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91.16</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91.16</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二十二、债务还本支出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二十三、债务付息支出</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5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4,639.97</w:t>
            </w: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4,639.97</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4,639.97</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92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5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5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基本支出结转</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5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项目支出结转和结余</w:t>
            </w: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92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99"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570"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83"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0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92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67" w:type="dxa"/>
            <w:tcBorders>
              <w:top w:val="single" w:color="000000" w:sz="4" w:space="0"/>
              <w:left w:val="single" w:color="000000" w:sz="12" w:space="0"/>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299" w:type="dxa"/>
            <w:tcBorders>
              <w:top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570"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4,639.97</w:t>
            </w:r>
          </w:p>
        </w:tc>
        <w:tc>
          <w:tcPr>
            <w:tcW w:w="1383" w:type="dxa"/>
            <w:tcBorders>
              <w:top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301" w:type="dxa"/>
            <w:tcBorders>
              <w:top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923"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4,639.97</w:t>
            </w:r>
          </w:p>
        </w:tc>
        <w:tc>
          <w:tcPr>
            <w:tcW w:w="912"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4,639.97</w:t>
            </w:r>
          </w:p>
        </w:tc>
        <w:tc>
          <w:tcPr>
            <w:tcW w:w="1815"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ind w:firstLine="627"/>
        <w:jc w:val="center"/>
        <w:rPr>
          <w:rFonts w:hint="eastAsia" w:ascii="仿宋" w:hAnsi="Times New Roman" w:eastAsia="仿宋" w:cs="仿宋"/>
          <w:b/>
          <w:sz w:val="32"/>
          <w:szCs w:val="32"/>
        </w:rPr>
      </w:pPr>
      <w:r>
        <w:rPr>
          <w:rFonts w:hint="eastAsia" w:ascii="仿宋" w:hAnsi="Times New Roman" w:eastAsia="仿宋" w:cs="仿宋"/>
          <w:b/>
          <w:sz w:val="32"/>
          <w:szCs w:val="32"/>
        </w:rPr>
        <w:t>2015年度部门财政拨款支出决算表</w:t>
      </w:r>
    </w:p>
    <w:tbl>
      <w:tblPr>
        <w:tblStyle w:val="5"/>
        <w:tblW w:w="89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2"/>
        <w:gridCol w:w="722"/>
        <w:gridCol w:w="723"/>
        <w:gridCol w:w="2886"/>
        <w:gridCol w:w="1391"/>
        <w:gridCol w:w="912"/>
        <w:gridCol w:w="912"/>
        <w:gridCol w:w="963"/>
        <w:gridCol w:w="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dxa"/>
          <w:trHeight w:val="285" w:hRule="atLeast"/>
        </w:trPr>
        <w:tc>
          <w:tcPr>
            <w:tcW w:w="432" w:type="dxa"/>
            <w:shd w:val="clear" w:color="auto" w:fill="auto"/>
            <w:vAlign w:val="bottom"/>
          </w:tcPr>
          <w:p>
            <w:pPr>
              <w:jc w:val="center"/>
              <w:rPr>
                <w:rFonts w:hint="eastAsia" w:ascii="Arial" w:hAnsi="Arial" w:cs="Arial"/>
                <w:i w:val="0"/>
                <w:color w:val="000000"/>
                <w:sz w:val="15"/>
                <w:szCs w:val="15"/>
                <w:u w:val="none"/>
              </w:rPr>
            </w:pPr>
          </w:p>
        </w:tc>
        <w:tc>
          <w:tcPr>
            <w:tcW w:w="722" w:type="dxa"/>
            <w:shd w:val="clear" w:color="auto" w:fill="auto"/>
            <w:vAlign w:val="bottom"/>
          </w:tcPr>
          <w:p>
            <w:pPr>
              <w:jc w:val="center"/>
              <w:rPr>
                <w:rFonts w:hint="default" w:ascii="Arial" w:hAnsi="Arial" w:cs="Arial"/>
                <w:i w:val="0"/>
                <w:color w:val="000000"/>
                <w:sz w:val="15"/>
                <w:szCs w:val="15"/>
                <w:u w:val="none"/>
              </w:rPr>
            </w:pPr>
          </w:p>
        </w:tc>
        <w:tc>
          <w:tcPr>
            <w:tcW w:w="723" w:type="dxa"/>
            <w:shd w:val="clear" w:color="auto" w:fill="auto"/>
            <w:vAlign w:val="bottom"/>
          </w:tcPr>
          <w:p>
            <w:pPr>
              <w:jc w:val="center"/>
              <w:rPr>
                <w:rFonts w:hint="default" w:ascii="Arial" w:hAnsi="Arial" w:cs="Arial"/>
                <w:i w:val="0"/>
                <w:color w:val="000000"/>
                <w:sz w:val="15"/>
                <w:szCs w:val="15"/>
                <w:u w:val="none"/>
              </w:rPr>
            </w:pPr>
          </w:p>
        </w:tc>
        <w:tc>
          <w:tcPr>
            <w:tcW w:w="2886" w:type="dxa"/>
            <w:shd w:val="clear" w:color="auto" w:fill="auto"/>
            <w:vAlign w:val="bottom"/>
          </w:tcPr>
          <w:p>
            <w:pPr>
              <w:jc w:val="center"/>
              <w:rPr>
                <w:rFonts w:hint="default" w:ascii="Arial" w:hAnsi="Arial" w:cs="Arial"/>
                <w:i w:val="0"/>
                <w:color w:val="000000"/>
                <w:sz w:val="15"/>
                <w:szCs w:val="15"/>
                <w:u w:val="none"/>
              </w:rPr>
            </w:pPr>
          </w:p>
        </w:tc>
        <w:tc>
          <w:tcPr>
            <w:tcW w:w="1391" w:type="dxa"/>
            <w:shd w:val="clear" w:color="auto" w:fill="auto"/>
            <w:vAlign w:val="bottom"/>
          </w:tcPr>
          <w:p>
            <w:pPr>
              <w:jc w:val="center"/>
              <w:rPr>
                <w:rFonts w:hint="default" w:ascii="Arial" w:hAnsi="Arial" w:cs="Arial"/>
                <w:i w:val="0"/>
                <w:color w:val="000000"/>
                <w:sz w:val="15"/>
                <w:szCs w:val="15"/>
                <w:u w:val="none"/>
              </w:rPr>
            </w:pPr>
          </w:p>
        </w:tc>
        <w:tc>
          <w:tcPr>
            <w:tcW w:w="912" w:type="dxa"/>
            <w:shd w:val="clear" w:color="auto" w:fill="auto"/>
            <w:vAlign w:val="bottom"/>
          </w:tcPr>
          <w:p>
            <w:pPr>
              <w:jc w:val="center"/>
              <w:rPr>
                <w:rFonts w:hint="default" w:ascii="Arial" w:hAnsi="Arial" w:cs="Arial"/>
                <w:i w:val="0"/>
                <w:color w:val="000000"/>
                <w:sz w:val="15"/>
                <w:szCs w:val="15"/>
                <w:u w:val="none"/>
              </w:rPr>
            </w:pPr>
          </w:p>
        </w:tc>
        <w:tc>
          <w:tcPr>
            <w:tcW w:w="912" w:type="dxa"/>
            <w:shd w:val="clear" w:color="auto" w:fill="auto"/>
            <w:vAlign w:val="bottom"/>
          </w:tcPr>
          <w:p>
            <w:pPr>
              <w:jc w:val="center"/>
              <w:rPr>
                <w:rFonts w:hint="default" w:ascii="Arial" w:hAnsi="Arial" w:cs="Arial"/>
                <w:i w:val="0"/>
                <w:color w:val="000000"/>
                <w:sz w:val="15"/>
                <w:szCs w:val="15"/>
                <w:u w:val="none"/>
              </w:rPr>
            </w:pPr>
          </w:p>
        </w:tc>
        <w:tc>
          <w:tcPr>
            <w:tcW w:w="963"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dxa"/>
          <w:trHeight w:val="270" w:hRule="atLeast"/>
        </w:trPr>
        <w:tc>
          <w:tcPr>
            <w:tcW w:w="432"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w:t>
            </w:r>
          </w:p>
        </w:tc>
        <w:tc>
          <w:tcPr>
            <w:tcW w:w="722" w:type="dxa"/>
            <w:shd w:val="clear" w:color="auto" w:fill="auto"/>
            <w:vAlign w:val="bottom"/>
          </w:tcPr>
          <w:p>
            <w:pPr>
              <w:jc w:val="center"/>
              <w:rPr>
                <w:rFonts w:hint="default" w:ascii="Arial" w:hAnsi="Arial"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温州市商务局</w:t>
            </w:r>
          </w:p>
        </w:tc>
        <w:tc>
          <w:tcPr>
            <w:tcW w:w="723" w:type="dxa"/>
            <w:shd w:val="clear" w:color="auto" w:fill="auto"/>
            <w:vAlign w:val="bottom"/>
          </w:tcPr>
          <w:p>
            <w:pPr>
              <w:jc w:val="center"/>
              <w:rPr>
                <w:rFonts w:hint="default" w:ascii="Arial" w:hAnsi="Arial" w:cs="Arial"/>
                <w:i w:val="0"/>
                <w:color w:val="000000"/>
                <w:sz w:val="15"/>
                <w:szCs w:val="15"/>
                <w:u w:val="none"/>
              </w:rPr>
            </w:pPr>
          </w:p>
        </w:tc>
        <w:tc>
          <w:tcPr>
            <w:tcW w:w="2886" w:type="dxa"/>
            <w:shd w:val="clear" w:color="auto" w:fill="auto"/>
            <w:vAlign w:val="bottom"/>
          </w:tcPr>
          <w:p>
            <w:pPr>
              <w:jc w:val="center"/>
              <w:rPr>
                <w:rFonts w:hint="default" w:ascii="Arial" w:hAnsi="Arial" w:cs="Arial"/>
                <w:i w:val="0"/>
                <w:color w:val="000000"/>
                <w:sz w:val="15"/>
                <w:szCs w:val="15"/>
                <w:u w:val="none"/>
              </w:rPr>
            </w:pPr>
          </w:p>
        </w:tc>
        <w:tc>
          <w:tcPr>
            <w:tcW w:w="1391" w:type="dxa"/>
            <w:shd w:val="clear" w:color="auto" w:fill="auto"/>
            <w:vAlign w:val="bottom"/>
          </w:tcPr>
          <w:p>
            <w:pPr>
              <w:jc w:val="center"/>
              <w:rPr>
                <w:rFonts w:hint="eastAsia" w:ascii="宋体" w:hAnsi="宋体" w:eastAsia="宋体" w:cs="宋体"/>
                <w:i w:val="0"/>
                <w:color w:val="000000"/>
                <w:sz w:val="15"/>
                <w:szCs w:val="15"/>
                <w:u w:val="none"/>
              </w:rPr>
            </w:pPr>
          </w:p>
        </w:tc>
        <w:tc>
          <w:tcPr>
            <w:tcW w:w="912" w:type="dxa"/>
            <w:shd w:val="clear" w:color="auto" w:fill="auto"/>
            <w:vAlign w:val="bottom"/>
          </w:tcPr>
          <w:p>
            <w:pPr>
              <w:jc w:val="center"/>
              <w:rPr>
                <w:rFonts w:hint="default" w:ascii="Arial" w:hAnsi="Arial" w:cs="Arial"/>
                <w:i w:val="0"/>
                <w:color w:val="000000"/>
                <w:sz w:val="15"/>
                <w:szCs w:val="15"/>
                <w:u w:val="none"/>
              </w:rPr>
            </w:pPr>
          </w:p>
        </w:tc>
        <w:tc>
          <w:tcPr>
            <w:tcW w:w="912" w:type="dxa"/>
            <w:shd w:val="clear" w:color="auto" w:fill="auto"/>
            <w:vAlign w:val="bottom"/>
          </w:tcPr>
          <w:p>
            <w:pPr>
              <w:jc w:val="center"/>
              <w:rPr>
                <w:rFonts w:hint="default" w:ascii="Arial" w:hAnsi="Arial"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金额单位：</w:t>
            </w:r>
          </w:p>
        </w:tc>
        <w:tc>
          <w:tcPr>
            <w:tcW w:w="963"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dxa"/>
          <w:trHeight w:val="300" w:hRule="atLeast"/>
        </w:trPr>
        <w:tc>
          <w:tcPr>
            <w:tcW w:w="4763" w:type="dxa"/>
            <w:gridSpan w:val="4"/>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91"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12"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12"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63"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dxa"/>
          <w:trHeight w:val="300" w:hRule="atLeast"/>
        </w:trPr>
        <w:tc>
          <w:tcPr>
            <w:tcW w:w="1877" w:type="dxa"/>
            <w:gridSpan w:val="3"/>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2886"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91"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1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1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3"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dxa"/>
          <w:trHeight w:val="300" w:hRule="atLeast"/>
        </w:trPr>
        <w:tc>
          <w:tcPr>
            <w:tcW w:w="1877" w:type="dxa"/>
            <w:gridSpan w:val="3"/>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886"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91"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1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1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3"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dxa"/>
          <w:trHeight w:val="300" w:hRule="atLeast"/>
        </w:trPr>
        <w:tc>
          <w:tcPr>
            <w:tcW w:w="1877" w:type="dxa"/>
            <w:gridSpan w:val="3"/>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886"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91"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1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1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3"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dxa"/>
          <w:trHeight w:val="300" w:hRule="atLeast"/>
        </w:trPr>
        <w:tc>
          <w:tcPr>
            <w:tcW w:w="432" w:type="dxa"/>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722"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723"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28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9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1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6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dxa"/>
          <w:trHeight w:val="300" w:hRule="atLeast"/>
        </w:trPr>
        <w:tc>
          <w:tcPr>
            <w:tcW w:w="432" w:type="dxa"/>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72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72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8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4,639.97</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1,977.93</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2,662.05</w:t>
            </w:r>
          </w:p>
        </w:tc>
        <w:tc>
          <w:tcPr>
            <w:tcW w:w="96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dxa"/>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1,419.93</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1,338.31</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81.61</w:t>
            </w:r>
          </w:p>
        </w:tc>
        <w:tc>
          <w:tcPr>
            <w:tcW w:w="96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dxa"/>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商贸事务</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1,419.93</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1,338.31</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81.61</w:t>
            </w:r>
          </w:p>
        </w:tc>
        <w:tc>
          <w:tcPr>
            <w:tcW w:w="96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dxa"/>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2011301</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1,164.60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1,164.60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dxa"/>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2011302</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62.54</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62.54</w:t>
            </w:r>
          </w:p>
        </w:tc>
        <w:tc>
          <w:tcPr>
            <w:tcW w:w="96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dxa"/>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2011350</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149.18</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149.18</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dxa"/>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2011399</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其他商贸事务支出</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24.52</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19.07</w:t>
            </w:r>
          </w:p>
        </w:tc>
        <w:tc>
          <w:tcPr>
            <w:tcW w:w="96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dxa"/>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dxa"/>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dxa"/>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2080504</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460.65</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dxa"/>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87.80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87.80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dxa"/>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医疗保障</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87.80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87.80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2100501</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78.67</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78.67</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3"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2100502</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3"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交通运输支出</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973"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21406</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车辆购置税支出</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973"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2140603</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车辆购置税用于老旧汽车报废更新补贴</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w:t>
            </w:r>
          </w:p>
        </w:tc>
        <w:tc>
          <w:tcPr>
            <w:tcW w:w="973"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商业服务业等支出</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2,530.04</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2,530.04</w:t>
            </w:r>
          </w:p>
        </w:tc>
        <w:tc>
          <w:tcPr>
            <w:tcW w:w="973"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商业流通事务</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1,941.60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1,941.60</w:t>
            </w:r>
          </w:p>
        </w:tc>
        <w:tc>
          <w:tcPr>
            <w:tcW w:w="973"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2160299</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其他商业流通事务支出</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1,941.60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1,941.60</w:t>
            </w:r>
          </w:p>
        </w:tc>
        <w:tc>
          <w:tcPr>
            <w:tcW w:w="973"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21606</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涉外发展服务支出</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588.44</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588.44</w:t>
            </w:r>
          </w:p>
        </w:tc>
        <w:tc>
          <w:tcPr>
            <w:tcW w:w="973"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2160699</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其他涉外发展服务支出</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588.44</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588.44</w:t>
            </w:r>
          </w:p>
        </w:tc>
        <w:tc>
          <w:tcPr>
            <w:tcW w:w="973"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91.16</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91.16</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3"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91.16</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91.16</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3"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87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8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3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83.09</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83.09</w:t>
            </w:r>
          </w:p>
        </w:tc>
        <w:tc>
          <w:tcPr>
            <w:tcW w:w="9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3"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77" w:type="dxa"/>
            <w:gridSpan w:val="3"/>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2210203</w:t>
            </w:r>
          </w:p>
        </w:tc>
        <w:tc>
          <w:tcPr>
            <w:tcW w:w="2886"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1391"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w:t>
            </w:r>
          </w:p>
        </w:tc>
        <w:tc>
          <w:tcPr>
            <w:tcW w:w="912"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w:t>
            </w:r>
          </w:p>
        </w:tc>
        <w:tc>
          <w:tcPr>
            <w:tcW w:w="912"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3" w:type="dxa"/>
            <w:gridSpan w:val="2"/>
            <w:tcBorders>
              <w:top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bl>
    <w:p>
      <w:pPr>
        <w:autoSpaceDE w:val="0"/>
        <w:autoSpaceDN w:val="0"/>
        <w:adjustRightInd w:val="0"/>
        <w:spacing w:line="560" w:lineRule="exact"/>
        <w:ind w:firstLine="627"/>
        <w:jc w:val="left"/>
        <w:rPr>
          <w:rFonts w:hint="eastAsia" w:ascii="仿宋" w:hAnsi="Times New Roman" w:eastAsia="仿宋" w:cs="仿宋"/>
          <w:b/>
          <w:sz w:val="32"/>
          <w:szCs w:val="32"/>
        </w:rPr>
      </w:pPr>
    </w:p>
    <w:p>
      <w:pPr>
        <w:autoSpaceDE w:val="0"/>
        <w:autoSpaceDN w:val="0"/>
        <w:adjustRightInd w:val="0"/>
        <w:spacing w:line="560" w:lineRule="exact"/>
        <w:jc w:val="left"/>
        <w:rPr>
          <w:rFonts w:hint="eastAsia"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2015年度部门一般公共预算基本支出决算表</w:t>
      </w:r>
    </w:p>
    <w:tbl>
      <w:tblPr>
        <w:tblStyle w:val="5"/>
        <w:tblW w:w="86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2"/>
        <w:gridCol w:w="1073"/>
        <w:gridCol w:w="984"/>
        <w:gridCol w:w="692"/>
        <w:gridCol w:w="1506"/>
        <w:gridCol w:w="972"/>
        <w:gridCol w:w="692"/>
        <w:gridCol w:w="1181"/>
        <w:gridCol w:w="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692" w:type="dxa"/>
            <w:shd w:val="clear" w:color="auto" w:fill="auto"/>
            <w:vAlign w:val="bottom"/>
          </w:tcPr>
          <w:p>
            <w:pPr>
              <w:jc w:val="center"/>
              <w:rPr>
                <w:rFonts w:hint="eastAsia" w:ascii="Arial" w:hAnsi="Arial" w:cs="Arial"/>
                <w:i w:val="0"/>
                <w:color w:val="000000"/>
                <w:sz w:val="20"/>
                <w:szCs w:val="20"/>
                <w:u w:val="none"/>
              </w:rPr>
            </w:pPr>
          </w:p>
        </w:tc>
        <w:tc>
          <w:tcPr>
            <w:tcW w:w="1073" w:type="dxa"/>
            <w:shd w:val="clear" w:color="auto" w:fill="auto"/>
            <w:vAlign w:val="bottom"/>
          </w:tcPr>
          <w:p>
            <w:pPr>
              <w:jc w:val="center"/>
              <w:rPr>
                <w:rFonts w:hint="default" w:ascii="Arial" w:hAnsi="Arial" w:cs="Arial"/>
                <w:i w:val="0"/>
                <w:color w:val="000000"/>
                <w:sz w:val="20"/>
                <w:szCs w:val="20"/>
                <w:u w:val="none"/>
              </w:rPr>
            </w:pPr>
          </w:p>
        </w:tc>
        <w:tc>
          <w:tcPr>
            <w:tcW w:w="984" w:type="dxa"/>
            <w:shd w:val="clear" w:color="auto" w:fill="auto"/>
            <w:vAlign w:val="bottom"/>
          </w:tcPr>
          <w:p>
            <w:pPr>
              <w:jc w:val="center"/>
              <w:rPr>
                <w:rFonts w:hint="default" w:ascii="Arial" w:hAnsi="Arial" w:cs="Arial"/>
                <w:i w:val="0"/>
                <w:color w:val="000000"/>
                <w:sz w:val="20"/>
                <w:szCs w:val="20"/>
                <w:u w:val="none"/>
              </w:rPr>
            </w:pPr>
          </w:p>
        </w:tc>
        <w:tc>
          <w:tcPr>
            <w:tcW w:w="692" w:type="dxa"/>
            <w:shd w:val="clear" w:color="auto" w:fill="auto"/>
            <w:vAlign w:val="bottom"/>
          </w:tcPr>
          <w:p>
            <w:pPr>
              <w:jc w:val="center"/>
              <w:rPr>
                <w:rFonts w:hint="default" w:ascii="Arial" w:hAnsi="Arial" w:cs="Arial"/>
                <w:i w:val="0"/>
                <w:color w:val="000000"/>
                <w:sz w:val="20"/>
                <w:szCs w:val="20"/>
                <w:u w:val="none"/>
              </w:rPr>
            </w:pPr>
          </w:p>
        </w:tc>
        <w:tc>
          <w:tcPr>
            <w:tcW w:w="1506" w:type="dxa"/>
            <w:shd w:val="clear" w:color="auto" w:fill="auto"/>
            <w:vAlign w:val="bottom"/>
          </w:tcPr>
          <w:p>
            <w:pPr>
              <w:jc w:val="center"/>
              <w:rPr>
                <w:rFonts w:hint="default" w:ascii="Arial" w:hAnsi="Arial" w:cs="Arial"/>
                <w:i w:val="0"/>
                <w:color w:val="000000"/>
                <w:sz w:val="20"/>
                <w:szCs w:val="20"/>
                <w:u w:val="none"/>
              </w:rPr>
            </w:pPr>
          </w:p>
        </w:tc>
        <w:tc>
          <w:tcPr>
            <w:tcW w:w="972" w:type="dxa"/>
            <w:shd w:val="clear" w:color="auto" w:fill="auto"/>
            <w:vAlign w:val="bottom"/>
          </w:tcPr>
          <w:p>
            <w:pPr>
              <w:jc w:val="center"/>
              <w:rPr>
                <w:rFonts w:hint="default" w:ascii="Arial" w:hAnsi="Arial" w:cs="Arial"/>
                <w:i w:val="0"/>
                <w:color w:val="000000"/>
                <w:sz w:val="20"/>
                <w:szCs w:val="20"/>
                <w:u w:val="none"/>
              </w:rPr>
            </w:pPr>
          </w:p>
        </w:tc>
        <w:tc>
          <w:tcPr>
            <w:tcW w:w="692" w:type="dxa"/>
            <w:shd w:val="clear" w:color="auto" w:fill="auto"/>
            <w:vAlign w:val="bottom"/>
          </w:tcPr>
          <w:p>
            <w:pPr>
              <w:jc w:val="center"/>
              <w:rPr>
                <w:rFonts w:hint="default" w:ascii="Arial" w:hAnsi="Arial" w:cs="Arial"/>
                <w:i w:val="0"/>
                <w:color w:val="000000"/>
                <w:sz w:val="20"/>
                <w:szCs w:val="20"/>
                <w:u w:val="none"/>
              </w:rPr>
            </w:pPr>
          </w:p>
        </w:tc>
        <w:tc>
          <w:tcPr>
            <w:tcW w:w="1181" w:type="dxa"/>
            <w:shd w:val="clear" w:color="auto" w:fill="auto"/>
            <w:vAlign w:val="bottom"/>
          </w:tcPr>
          <w:p>
            <w:pPr>
              <w:jc w:val="center"/>
              <w:rPr>
                <w:rFonts w:hint="default" w:ascii="Arial" w:hAnsi="Arial" w:cs="Arial"/>
                <w:i w:val="0"/>
                <w:color w:val="000000"/>
                <w:sz w:val="20"/>
                <w:szCs w:val="20"/>
                <w:u w:val="none"/>
              </w:rPr>
            </w:pPr>
          </w:p>
        </w:tc>
        <w:tc>
          <w:tcPr>
            <w:tcW w:w="878"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5"/>
                <w:szCs w:val="15"/>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trPr>
        <w:tc>
          <w:tcPr>
            <w:tcW w:w="692"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5"/>
                <w:szCs w:val="15"/>
                <w:u w:val="none"/>
                <w:lang w:val="en-US" w:eastAsia="zh-CN" w:bidi="ar"/>
              </w:rPr>
              <w:t>部门：</w:t>
            </w:r>
          </w:p>
        </w:tc>
        <w:tc>
          <w:tcPr>
            <w:tcW w:w="1073" w:type="dxa"/>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15"/>
                <w:szCs w:val="15"/>
                <w:u w:val="none"/>
                <w:lang w:val="en-US" w:eastAsia="zh-CN" w:bidi="ar"/>
              </w:rPr>
              <w:t>温州市商务局</w:t>
            </w:r>
          </w:p>
        </w:tc>
        <w:tc>
          <w:tcPr>
            <w:tcW w:w="984" w:type="dxa"/>
            <w:shd w:val="clear" w:color="auto" w:fill="auto"/>
            <w:vAlign w:val="bottom"/>
          </w:tcPr>
          <w:p>
            <w:pPr>
              <w:jc w:val="center"/>
              <w:rPr>
                <w:rFonts w:hint="default" w:ascii="Arial" w:hAnsi="Arial" w:cs="Arial"/>
                <w:i w:val="0"/>
                <w:color w:val="000000"/>
                <w:sz w:val="20"/>
                <w:szCs w:val="20"/>
                <w:u w:val="none"/>
              </w:rPr>
            </w:pPr>
          </w:p>
        </w:tc>
        <w:tc>
          <w:tcPr>
            <w:tcW w:w="692" w:type="dxa"/>
            <w:shd w:val="clear" w:color="auto" w:fill="auto"/>
            <w:vAlign w:val="bottom"/>
          </w:tcPr>
          <w:p>
            <w:pPr>
              <w:jc w:val="center"/>
              <w:rPr>
                <w:rFonts w:hint="default" w:ascii="Arial" w:hAnsi="Arial" w:cs="Arial"/>
                <w:i w:val="0"/>
                <w:color w:val="000000"/>
                <w:sz w:val="20"/>
                <w:szCs w:val="20"/>
                <w:u w:val="none"/>
              </w:rPr>
            </w:pPr>
          </w:p>
        </w:tc>
        <w:tc>
          <w:tcPr>
            <w:tcW w:w="1506" w:type="dxa"/>
            <w:shd w:val="clear" w:color="auto" w:fill="auto"/>
            <w:vAlign w:val="bottom"/>
          </w:tcPr>
          <w:p>
            <w:pPr>
              <w:jc w:val="center"/>
              <w:rPr>
                <w:rFonts w:hint="eastAsia" w:ascii="宋体" w:hAnsi="宋体" w:eastAsia="宋体" w:cs="宋体"/>
                <w:i w:val="0"/>
                <w:color w:val="000000"/>
                <w:sz w:val="20"/>
                <w:szCs w:val="20"/>
                <w:u w:val="none"/>
              </w:rPr>
            </w:pPr>
          </w:p>
        </w:tc>
        <w:tc>
          <w:tcPr>
            <w:tcW w:w="972" w:type="dxa"/>
            <w:shd w:val="clear" w:color="auto" w:fill="auto"/>
            <w:vAlign w:val="bottom"/>
          </w:tcPr>
          <w:p>
            <w:pPr>
              <w:jc w:val="center"/>
              <w:rPr>
                <w:rFonts w:hint="default" w:ascii="Arial" w:hAnsi="Arial" w:cs="Arial"/>
                <w:i w:val="0"/>
                <w:color w:val="000000"/>
                <w:sz w:val="20"/>
                <w:szCs w:val="20"/>
                <w:u w:val="none"/>
              </w:rPr>
            </w:pPr>
          </w:p>
        </w:tc>
        <w:tc>
          <w:tcPr>
            <w:tcW w:w="692" w:type="dxa"/>
            <w:shd w:val="clear" w:color="auto" w:fill="auto"/>
            <w:vAlign w:val="bottom"/>
          </w:tcPr>
          <w:p>
            <w:pPr>
              <w:jc w:val="center"/>
              <w:rPr>
                <w:rFonts w:hint="default" w:ascii="Arial" w:hAnsi="Arial" w:cs="Arial"/>
                <w:i w:val="0"/>
                <w:color w:val="000000"/>
                <w:sz w:val="20"/>
                <w:szCs w:val="20"/>
                <w:u w:val="none"/>
              </w:rPr>
            </w:pPr>
          </w:p>
        </w:tc>
        <w:tc>
          <w:tcPr>
            <w:tcW w:w="1181" w:type="dxa"/>
            <w:shd w:val="clear" w:color="auto" w:fill="auto"/>
            <w:vAlign w:val="bottom"/>
          </w:tcPr>
          <w:p>
            <w:pPr>
              <w:jc w:val="center"/>
              <w:rPr>
                <w:rFonts w:hint="default" w:ascii="Arial" w:hAnsi="Arial"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金额单位：</w:t>
            </w:r>
          </w:p>
        </w:tc>
        <w:tc>
          <w:tcPr>
            <w:tcW w:w="878"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765" w:type="dxa"/>
            <w:gridSpan w:val="2"/>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经济分类科目</w:t>
            </w:r>
          </w:p>
        </w:tc>
        <w:tc>
          <w:tcPr>
            <w:tcW w:w="984"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198" w:type="dxa"/>
            <w:gridSpan w:val="2"/>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经济分类科目</w:t>
            </w:r>
          </w:p>
        </w:tc>
        <w:tc>
          <w:tcPr>
            <w:tcW w:w="972"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873" w:type="dxa"/>
            <w:gridSpan w:val="2"/>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经济分类科目</w:t>
            </w:r>
          </w:p>
        </w:tc>
        <w:tc>
          <w:tcPr>
            <w:tcW w:w="878"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84"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7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78"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1,024.94</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302</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商品和服务支出（续）</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304</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对企事业单位的补贴</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168.22</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被装购置费</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30,401</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企业政策性补贴</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380.18</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专用燃料费</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30,402</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事业单位补贴</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289.51</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3.51</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30,403</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财政贴息</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30,104</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社会保障缴费</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29.58</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0.19</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30,499</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其他对企事业单位的补贴</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伙食补助费</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307</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债务利息支出</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74.34</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17.18</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国内债务付息</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73.52</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30,707</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国外债务付息</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302</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商品和服务支出</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241.80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79.22</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其他资本性支出</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税金及附加费用</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0.41</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303</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对个人和家庭的补助</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711.19</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0.08</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33.92</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0.82</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435.50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退职（役）费</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16.39</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抚恤金</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取暖费</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58.85</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土地补偿</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救济费</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安置补助</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39.24</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90.54</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地上附着物和青苗补偿</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27.44</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助学金</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拆迁补偿</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生产补贴</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7.85</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83.09</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30,312</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提租补贴</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399</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其他支出</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7.18</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30,313</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购房补贴</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118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赠与</w:t>
            </w: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2"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07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9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150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其他对个人和家庭的补助支出</w:t>
            </w:r>
          </w:p>
        </w:tc>
        <w:tc>
          <w:tcPr>
            <w:tcW w:w="9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692"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181"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8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bl>
    <w:p>
      <w:pPr>
        <w:autoSpaceDE w:val="0"/>
        <w:autoSpaceDN w:val="0"/>
        <w:adjustRightInd w:val="0"/>
        <w:spacing w:line="560" w:lineRule="exact"/>
        <w:jc w:val="left"/>
        <w:rPr>
          <w:rFonts w:ascii="仿宋" w:hAnsi="Times New Roman" w:eastAsia="仿宋" w:cs="仿宋"/>
          <w:b/>
          <w:sz w:val="32"/>
          <w:szCs w:val="32"/>
        </w:rPr>
      </w:pPr>
    </w:p>
    <w:p>
      <w:pPr>
        <w:autoSpaceDE w:val="0"/>
        <w:autoSpaceDN w:val="0"/>
        <w:adjustRightInd w:val="0"/>
        <w:spacing w:line="560" w:lineRule="exact"/>
        <w:jc w:val="left"/>
        <w:rPr>
          <w:rFonts w:ascii="仿宋" w:hAnsi="Times New Roman" w:eastAsia="仿宋" w:cs="仿宋"/>
          <w:b/>
          <w:sz w:val="32"/>
          <w:szCs w:val="32"/>
        </w:rPr>
      </w:pPr>
    </w:p>
    <w:p>
      <w:pPr>
        <w:autoSpaceDE w:val="0"/>
        <w:autoSpaceDN w:val="0"/>
        <w:adjustRightInd w:val="0"/>
        <w:spacing w:line="560" w:lineRule="exact"/>
        <w:jc w:val="left"/>
        <w:rPr>
          <w:rFonts w:ascii="仿宋" w:hAnsi="Times New Roman" w:eastAsia="仿宋" w:cs="仿宋"/>
          <w:b/>
          <w:sz w:val="32"/>
          <w:szCs w:val="32"/>
        </w:rPr>
      </w:pPr>
    </w:p>
    <w:p>
      <w:pPr>
        <w:autoSpaceDE w:val="0"/>
        <w:autoSpaceDN w:val="0"/>
        <w:adjustRightInd w:val="0"/>
        <w:spacing w:line="560" w:lineRule="exact"/>
        <w:jc w:val="left"/>
        <w:rPr>
          <w:rFonts w:ascii="仿宋" w:hAnsi="Times New Roman" w:eastAsia="仿宋" w:cs="仿宋"/>
          <w:b/>
          <w:sz w:val="32"/>
          <w:szCs w:val="32"/>
        </w:rPr>
      </w:pPr>
    </w:p>
    <w:p>
      <w:pPr>
        <w:autoSpaceDE w:val="0"/>
        <w:autoSpaceDN w:val="0"/>
        <w:adjustRightInd w:val="0"/>
        <w:spacing w:line="560" w:lineRule="exact"/>
        <w:jc w:val="left"/>
        <w:rPr>
          <w:rFonts w:ascii="仿宋" w:hAnsi="Times New Roman" w:eastAsia="仿宋" w:cs="仿宋"/>
          <w:b/>
          <w:sz w:val="32"/>
          <w:szCs w:val="32"/>
        </w:rPr>
      </w:pPr>
    </w:p>
    <w:p>
      <w:pPr>
        <w:autoSpaceDE w:val="0"/>
        <w:autoSpaceDN w:val="0"/>
        <w:adjustRightInd w:val="0"/>
        <w:spacing w:line="560" w:lineRule="exact"/>
        <w:jc w:val="left"/>
        <w:rPr>
          <w:rFonts w:ascii="仿宋" w:hAnsi="Times New Roman" w:eastAsia="仿宋" w:cs="仿宋"/>
          <w:b/>
          <w:sz w:val="32"/>
          <w:szCs w:val="32"/>
        </w:rPr>
      </w:pPr>
    </w:p>
    <w:p>
      <w:pPr>
        <w:autoSpaceDE w:val="0"/>
        <w:autoSpaceDN w:val="0"/>
        <w:adjustRightInd w:val="0"/>
        <w:spacing w:line="560" w:lineRule="exact"/>
        <w:jc w:val="left"/>
        <w:rPr>
          <w:rFonts w:ascii="仿宋" w:hAnsi="Times New Roman" w:eastAsia="仿宋" w:cs="仿宋"/>
          <w:b/>
          <w:sz w:val="32"/>
          <w:szCs w:val="32"/>
        </w:rPr>
      </w:pPr>
    </w:p>
    <w:p>
      <w:pPr>
        <w:autoSpaceDE w:val="0"/>
        <w:autoSpaceDN w:val="0"/>
        <w:adjustRightInd w:val="0"/>
        <w:spacing w:line="560" w:lineRule="exact"/>
        <w:jc w:val="left"/>
        <w:rPr>
          <w:rFonts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2015年度部门“三公”经费决算表</w:t>
      </w:r>
    </w:p>
    <w:p>
      <w:pPr>
        <w:autoSpaceDE w:val="0"/>
        <w:autoSpaceDN w:val="0"/>
        <w:adjustRightInd w:val="0"/>
        <w:spacing w:line="560" w:lineRule="exact"/>
        <w:ind w:firstLine="627"/>
        <w:jc w:val="center"/>
        <w:rPr>
          <w:rFonts w:ascii="仿宋" w:hAnsi="Times New Roman" w:eastAsia="仿宋" w:cs="仿宋"/>
          <w:b/>
          <w:sz w:val="32"/>
          <w:szCs w:val="32"/>
        </w:rPr>
      </w:pPr>
    </w:p>
    <w:tbl>
      <w:tblPr>
        <w:tblStyle w:val="5"/>
        <w:tblW w:w="7302" w:type="dxa"/>
        <w:tblInd w:w="93" w:type="dxa"/>
        <w:tblLayout w:type="fixed"/>
        <w:tblCellMar>
          <w:top w:w="0" w:type="dxa"/>
          <w:left w:w="108" w:type="dxa"/>
          <w:bottom w:w="0" w:type="dxa"/>
          <w:right w:w="108" w:type="dxa"/>
        </w:tblCellMar>
      </w:tblPr>
      <w:tblGrid>
        <w:gridCol w:w="3740"/>
        <w:gridCol w:w="620"/>
        <w:gridCol w:w="2942"/>
      </w:tblGrid>
      <w:tr>
        <w:tblPrEx>
          <w:tblCellMar>
            <w:top w:w="0" w:type="dxa"/>
            <w:left w:w="108" w:type="dxa"/>
            <w:bottom w:w="0" w:type="dxa"/>
            <w:right w:w="108" w:type="dxa"/>
          </w:tblCellMar>
        </w:tblPrEx>
        <w:trPr>
          <w:trHeight w:val="255" w:hRule="atLeast"/>
        </w:trPr>
        <w:tc>
          <w:tcPr>
            <w:tcW w:w="4360" w:type="dxa"/>
            <w:gridSpan w:val="2"/>
            <w:tcBorders>
              <w:top w:val="nil"/>
              <w:left w:val="nil"/>
              <w:bottom w:val="nil"/>
              <w:right w:val="nil"/>
            </w:tcBorders>
            <w:shd w:val="clear" w:color="auto" w:fill="auto"/>
            <w:vAlign w:val="bottom"/>
          </w:tcPr>
          <w:p>
            <w:pPr>
              <w:rPr>
                <w:rFonts w:ascii="Arial" w:hAnsi="Arial" w:eastAsia="宋体" w:cs="Arial"/>
                <w:color w:val="000000"/>
                <w:sz w:val="20"/>
                <w:szCs w:val="20"/>
              </w:rPr>
            </w:pPr>
          </w:p>
        </w:tc>
        <w:tc>
          <w:tcPr>
            <w:tcW w:w="2942" w:type="dxa"/>
            <w:tcBorders>
              <w:top w:val="nil"/>
              <w:left w:val="nil"/>
              <w:bottom w:val="nil"/>
              <w:right w:val="nil"/>
            </w:tcBorders>
            <w:shd w:val="clear" w:color="auto" w:fill="auto"/>
            <w:vAlign w:val="bottom"/>
          </w:tcPr>
          <w:p>
            <w:pPr>
              <w:ind w:firstLine="1350" w:firstLineChars="900"/>
              <w:rPr>
                <w:rFonts w:ascii="宋体" w:hAnsi="宋体" w:eastAsia="宋体" w:cs="Arial"/>
                <w:color w:val="000000"/>
                <w:sz w:val="15"/>
                <w:szCs w:val="15"/>
              </w:rPr>
            </w:pPr>
            <w:r>
              <w:rPr>
                <w:rFonts w:hint="eastAsia" w:cs="Arial"/>
                <w:color w:val="000000"/>
                <w:sz w:val="15"/>
                <w:szCs w:val="15"/>
              </w:rPr>
              <w:t>公开07表</w:t>
            </w:r>
          </w:p>
        </w:tc>
      </w:tr>
      <w:tr>
        <w:tblPrEx>
          <w:tblCellMar>
            <w:top w:w="0" w:type="dxa"/>
            <w:left w:w="108" w:type="dxa"/>
            <w:bottom w:w="0" w:type="dxa"/>
            <w:right w:w="108" w:type="dxa"/>
          </w:tblCellMar>
        </w:tblPrEx>
        <w:trPr>
          <w:trHeight w:val="270" w:hRule="atLeast"/>
        </w:trPr>
        <w:tc>
          <w:tcPr>
            <w:tcW w:w="4360" w:type="dxa"/>
            <w:gridSpan w:val="2"/>
            <w:tcBorders>
              <w:top w:val="nil"/>
              <w:left w:val="nil"/>
              <w:bottom w:val="nil"/>
              <w:right w:val="nil"/>
            </w:tcBorders>
            <w:shd w:val="clear" w:color="auto" w:fill="auto"/>
            <w:vAlign w:val="bottom"/>
          </w:tcPr>
          <w:p>
            <w:pPr>
              <w:rPr>
                <w:rFonts w:ascii="宋体" w:hAnsi="宋体" w:eastAsia="宋体" w:cs="Arial"/>
                <w:color w:val="000000"/>
                <w:sz w:val="20"/>
                <w:szCs w:val="20"/>
              </w:rPr>
            </w:pPr>
            <w:r>
              <w:rPr>
                <w:rFonts w:hint="eastAsia" w:cs="Arial"/>
                <w:color w:val="000000"/>
                <w:sz w:val="20"/>
                <w:szCs w:val="20"/>
              </w:rPr>
              <w:t>部门：</w:t>
            </w:r>
            <w:r>
              <w:rPr>
                <w:rFonts w:hint="eastAsia" w:cs="Arial"/>
                <w:color w:val="000000"/>
                <w:sz w:val="20"/>
                <w:szCs w:val="20"/>
                <w:lang w:eastAsia="zh-CN"/>
              </w:rPr>
              <w:t>温州市商务局</w:t>
            </w:r>
          </w:p>
        </w:tc>
        <w:tc>
          <w:tcPr>
            <w:tcW w:w="2942" w:type="dxa"/>
            <w:tcBorders>
              <w:top w:val="nil"/>
              <w:left w:val="nil"/>
              <w:bottom w:val="single" w:color="000000" w:sz="8" w:space="0"/>
              <w:right w:val="nil"/>
            </w:tcBorders>
            <w:shd w:val="clear" w:color="auto" w:fill="auto"/>
            <w:vAlign w:val="bottom"/>
          </w:tcPr>
          <w:p>
            <w:pPr>
              <w:ind w:firstLine="1200" w:firstLineChars="800"/>
              <w:rPr>
                <w:rFonts w:ascii="宋体" w:hAnsi="宋体" w:eastAsia="宋体" w:cs="Arial"/>
                <w:color w:val="000000"/>
                <w:sz w:val="15"/>
                <w:szCs w:val="15"/>
              </w:rPr>
            </w:pPr>
            <w:r>
              <w:rPr>
                <w:rFonts w:hint="eastAsia" w:cs="Arial"/>
                <w:color w:val="000000"/>
                <w:sz w:val="15"/>
                <w:szCs w:val="15"/>
              </w:rPr>
              <w:t>金额单位：万元</w:t>
            </w:r>
          </w:p>
        </w:tc>
      </w:tr>
      <w:tr>
        <w:tblPrEx>
          <w:tblCellMar>
            <w:top w:w="0" w:type="dxa"/>
            <w:left w:w="108" w:type="dxa"/>
            <w:bottom w:w="0" w:type="dxa"/>
            <w:right w:w="108" w:type="dxa"/>
          </w:tblCellMar>
        </w:tblPrEx>
        <w:trPr>
          <w:trHeight w:val="308" w:hRule="atLeast"/>
        </w:trPr>
        <w:tc>
          <w:tcPr>
            <w:tcW w:w="374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项   目</w:t>
            </w:r>
          </w:p>
        </w:tc>
        <w:tc>
          <w:tcPr>
            <w:tcW w:w="3562"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决算数</w:t>
            </w:r>
          </w:p>
        </w:tc>
      </w:tr>
      <w:tr>
        <w:tblPrEx>
          <w:tblCellMar>
            <w:top w:w="0" w:type="dxa"/>
            <w:left w:w="108" w:type="dxa"/>
            <w:bottom w:w="0" w:type="dxa"/>
            <w:right w:w="108" w:type="dxa"/>
          </w:tblCellMar>
        </w:tblPrEx>
        <w:trPr>
          <w:trHeight w:val="600" w:hRule="atLeast"/>
        </w:trPr>
        <w:tc>
          <w:tcPr>
            <w:tcW w:w="374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p>
        </w:tc>
        <w:tc>
          <w:tcPr>
            <w:tcW w:w="356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合   计</w:t>
            </w:r>
          </w:p>
        </w:tc>
        <w:tc>
          <w:tcPr>
            <w:tcW w:w="3562" w:type="dxa"/>
            <w:gridSpan w:val="2"/>
            <w:tcBorders>
              <w:top w:val="nil"/>
              <w:left w:val="nil"/>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1.因公出国（境）费</w:t>
            </w:r>
          </w:p>
        </w:tc>
        <w:tc>
          <w:tcPr>
            <w:tcW w:w="3562" w:type="dxa"/>
            <w:gridSpan w:val="2"/>
            <w:tcBorders>
              <w:top w:val="nil"/>
              <w:left w:val="nil"/>
              <w:bottom w:val="single" w:color="000000" w:sz="4" w:space="0"/>
              <w:right w:val="single" w:color="000000" w:sz="4" w:space="0"/>
            </w:tcBorders>
            <w:shd w:val="clear" w:color="auto" w:fill="FFFFFF" w:themeFill="background1"/>
            <w:vAlign w:val="center"/>
          </w:tcPr>
          <w:p>
            <w:pPr>
              <w:widowControl/>
              <w:rPr>
                <w:rFonts w:hint="eastAsia" w:ascii="宋体" w:hAnsi="宋体" w:eastAsia="宋体" w:cs="Arial"/>
                <w:color w:val="000000" w:themeColor="text1"/>
                <w:kern w:val="0"/>
                <w:sz w:val="22"/>
                <w:lang w:val="en-US" w:eastAsia="zh-CN"/>
                <w14:textFill>
                  <w14:solidFill>
                    <w14:schemeClr w14:val="tx1"/>
                  </w14:solidFill>
                </w14:textFill>
              </w:rPr>
            </w:pPr>
            <w:r>
              <w:rPr>
                <w:rFonts w:hint="eastAsia" w:ascii="宋体" w:hAnsi="宋体" w:eastAsia="宋体" w:cs="Arial"/>
                <w:color w:val="000000" w:themeColor="text1"/>
                <w:kern w:val="0"/>
                <w:sz w:val="22"/>
                <w:lang w:val="en-US" w:eastAsia="zh-CN"/>
                <w14:textFill>
                  <w14:solidFill>
                    <w14:schemeClr w14:val="tx1"/>
                  </w14:solidFill>
                </w14:textFill>
              </w:rPr>
              <w:t>69.44</w:t>
            </w: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2.公务接待费</w:t>
            </w:r>
          </w:p>
        </w:tc>
        <w:tc>
          <w:tcPr>
            <w:tcW w:w="3562" w:type="dxa"/>
            <w:gridSpan w:val="2"/>
            <w:tcBorders>
              <w:top w:val="nil"/>
              <w:left w:val="nil"/>
              <w:bottom w:val="single" w:color="000000" w:sz="4" w:space="0"/>
              <w:right w:val="single" w:color="000000" w:sz="4" w:space="0"/>
            </w:tcBorders>
            <w:shd w:val="clear" w:color="auto" w:fill="FFFFFF" w:themeFill="background1"/>
            <w:vAlign w:val="center"/>
          </w:tcPr>
          <w:p>
            <w:pPr>
              <w:widowControl/>
              <w:rPr>
                <w:rFonts w:hint="eastAsia" w:ascii="宋体" w:hAnsi="宋体" w:eastAsia="宋体" w:cs="Arial"/>
                <w:color w:val="000000" w:themeColor="text1"/>
                <w:kern w:val="0"/>
                <w:sz w:val="22"/>
                <w:lang w:val="en-US" w:eastAsia="zh-CN"/>
                <w14:textFill>
                  <w14:solidFill>
                    <w14:schemeClr w14:val="tx1"/>
                  </w14:solidFill>
                </w14:textFill>
              </w:rPr>
            </w:pPr>
            <w:r>
              <w:rPr>
                <w:rFonts w:hint="eastAsia" w:ascii="宋体" w:hAnsi="宋体" w:eastAsia="宋体" w:cs="Arial"/>
                <w:color w:val="000000" w:themeColor="text1"/>
                <w:kern w:val="0"/>
                <w:sz w:val="22"/>
                <w:lang w:val="en-US" w:eastAsia="zh-CN"/>
                <w14:textFill>
                  <w14:solidFill>
                    <w14:schemeClr w14:val="tx1"/>
                  </w14:solidFill>
                </w14:textFill>
              </w:rPr>
              <w:t>8.39</w:t>
            </w: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3.公务用车购置及运行费</w:t>
            </w:r>
          </w:p>
        </w:tc>
        <w:tc>
          <w:tcPr>
            <w:tcW w:w="3562" w:type="dxa"/>
            <w:gridSpan w:val="2"/>
            <w:tcBorders>
              <w:top w:val="nil"/>
              <w:left w:val="nil"/>
              <w:bottom w:val="single" w:color="000000" w:sz="4" w:space="0"/>
              <w:right w:val="single" w:color="000000" w:sz="4" w:space="0"/>
            </w:tcBorders>
            <w:shd w:val="clear" w:color="auto" w:fill="FFFFFF" w:themeFill="background1"/>
            <w:vAlign w:val="center"/>
          </w:tcPr>
          <w:p>
            <w:pPr>
              <w:widowControl/>
              <w:rPr>
                <w:rFonts w:hint="eastAsia" w:ascii="宋体" w:hAnsi="宋体" w:eastAsia="宋体" w:cs="Arial"/>
                <w:color w:val="000000" w:themeColor="text1"/>
                <w:kern w:val="0"/>
                <w:sz w:val="22"/>
                <w:lang w:val="en-US" w:eastAsia="zh-CN"/>
                <w14:textFill>
                  <w14:solidFill>
                    <w14:schemeClr w14:val="tx1"/>
                  </w14:solidFill>
                </w14:textFill>
              </w:rPr>
            </w:pPr>
            <w:r>
              <w:rPr>
                <w:rFonts w:hint="eastAsia" w:ascii="宋体" w:hAnsi="宋体" w:eastAsia="宋体" w:cs="Arial"/>
                <w:color w:val="000000" w:themeColor="text1"/>
                <w:kern w:val="0"/>
                <w:sz w:val="22"/>
                <w:lang w:val="en-US" w:eastAsia="zh-CN"/>
                <w14:textFill>
                  <w14:solidFill>
                    <w14:schemeClr w14:val="tx1"/>
                  </w14:solidFill>
                </w14:textFill>
              </w:rPr>
              <w:t>0</w:t>
            </w: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其中：公务用车购置费</w:t>
            </w:r>
          </w:p>
        </w:tc>
        <w:tc>
          <w:tcPr>
            <w:tcW w:w="3562" w:type="dxa"/>
            <w:gridSpan w:val="2"/>
            <w:tcBorders>
              <w:top w:val="nil"/>
              <w:left w:val="nil"/>
              <w:bottom w:val="single" w:color="000000" w:sz="4" w:space="0"/>
              <w:right w:val="single" w:color="000000" w:sz="4" w:space="0"/>
            </w:tcBorders>
            <w:shd w:val="clear" w:color="auto" w:fill="FFFFFF" w:themeFill="background1"/>
            <w:vAlign w:val="center"/>
          </w:tcPr>
          <w:p>
            <w:pPr>
              <w:widowControl/>
              <w:rPr>
                <w:rFonts w:hint="eastAsia" w:ascii="宋体" w:hAnsi="宋体" w:eastAsia="宋体" w:cs="Arial"/>
                <w:color w:val="000000" w:themeColor="text1"/>
                <w:kern w:val="0"/>
                <w:sz w:val="22"/>
                <w:lang w:val="en-US" w:eastAsia="zh-CN"/>
                <w14:textFill>
                  <w14:solidFill>
                    <w14:schemeClr w14:val="tx1"/>
                  </w14:solidFill>
                </w14:textFill>
              </w:rPr>
            </w:pPr>
            <w:r>
              <w:rPr>
                <w:rFonts w:hint="eastAsia" w:ascii="宋体" w:hAnsi="宋体" w:eastAsia="宋体" w:cs="Arial"/>
                <w:color w:val="000000" w:themeColor="text1"/>
                <w:kern w:val="0"/>
                <w:sz w:val="22"/>
                <w:lang w:val="en-US" w:eastAsia="zh-CN"/>
                <w14:textFill>
                  <w14:solidFill>
                    <w14:schemeClr w14:val="tx1"/>
                  </w14:solidFill>
                </w14:textFill>
              </w:rPr>
              <w:t>0</w:t>
            </w: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8"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公务用车运行维护费</w:t>
            </w:r>
          </w:p>
        </w:tc>
        <w:tc>
          <w:tcPr>
            <w:tcW w:w="3562" w:type="dxa"/>
            <w:gridSpan w:val="2"/>
            <w:tcBorders>
              <w:top w:val="nil"/>
              <w:left w:val="nil"/>
              <w:bottom w:val="single" w:color="000000" w:sz="8" w:space="0"/>
              <w:right w:val="single" w:color="000000" w:sz="4" w:space="0"/>
            </w:tcBorders>
            <w:shd w:val="clear" w:color="auto" w:fill="FFFFFF" w:themeFill="background1"/>
            <w:vAlign w:val="center"/>
          </w:tcPr>
          <w:p>
            <w:pPr>
              <w:widowControl/>
              <w:rPr>
                <w:rFonts w:hint="eastAsia" w:ascii="宋体" w:hAnsi="宋体" w:eastAsia="宋体" w:cs="Arial"/>
                <w:color w:val="000000" w:themeColor="text1"/>
                <w:kern w:val="0"/>
                <w:sz w:val="22"/>
                <w:lang w:val="en-US" w:eastAsia="zh-CN"/>
                <w14:textFill>
                  <w14:solidFill>
                    <w14:schemeClr w14:val="tx1"/>
                  </w14:solidFill>
                </w14:textFill>
              </w:rPr>
            </w:pPr>
            <w:r>
              <w:rPr>
                <w:rFonts w:hint="eastAsia" w:ascii="宋体" w:hAnsi="宋体" w:eastAsia="宋体" w:cs="Arial"/>
                <w:color w:val="000000" w:themeColor="text1"/>
                <w:kern w:val="0"/>
                <w:sz w:val="22"/>
                <w:lang w:val="en-US" w:eastAsia="zh-CN"/>
                <w14:textFill>
                  <w14:solidFill>
                    <w14:schemeClr w14:val="tx1"/>
                  </w14:solidFill>
                </w14:textFill>
              </w:rPr>
              <w:t>0</w:t>
            </w:r>
          </w:p>
        </w:tc>
      </w:tr>
    </w:tbl>
    <w:p>
      <w:pPr>
        <w:autoSpaceDE w:val="0"/>
        <w:autoSpaceDN w:val="0"/>
        <w:adjustRightInd w:val="0"/>
        <w:spacing w:line="560" w:lineRule="exact"/>
        <w:rPr>
          <w:rFonts w:ascii="仿宋" w:hAnsi="Times New Roman" w:eastAsia="仿宋" w:cs="仿宋"/>
          <w:sz w:val="32"/>
          <w:szCs w:val="32"/>
        </w:rPr>
      </w:pPr>
      <w:r>
        <w:rPr>
          <w:rFonts w:hint="eastAsia" w:ascii="仿宋" w:hAnsi="Times New Roman" w:eastAsia="仿宋" w:cs="仿宋"/>
          <w:sz w:val="32"/>
          <w:szCs w:val="32"/>
        </w:rPr>
        <w:tab/>
      </w:r>
    </w:p>
    <w:p>
      <w:pPr>
        <w:spacing w:line="640" w:lineRule="exact"/>
        <w:ind w:firstLine="640" w:firstLineChars="200"/>
        <w:rPr>
          <w:rFonts w:hint="eastAsia" w:ascii="仿宋_GB2312" w:hAnsi="ˎ̥" w:cs="宋体"/>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2015</w:t>
      </w:r>
      <w:r>
        <w:rPr>
          <w:rFonts w:hint="eastAsia" w:ascii="黑体" w:hAnsi="Times New Roman" w:eastAsia="黑体" w:cs="黑体"/>
          <w:color w:val="000000"/>
          <w:sz w:val="32"/>
          <w:szCs w:val="32"/>
        </w:rPr>
        <w:t>年度部门决算情况说明</w:t>
      </w:r>
      <w:r>
        <w:rPr>
          <w:rFonts w:ascii="Times New Roman" w:hAnsi="Times New Roman" w:eastAsia="黑体" w:cs="Times New Roman"/>
          <w:color w:val="000000"/>
          <w:sz w:val="32"/>
          <w:szCs w:val="32"/>
        </w:rPr>
        <w:br w:type="textWrapping"/>
      </w:r>
      <w:r>
        <w:rPr>
          <w:rFonts w:hint="eastAsia" w:ascii="仿宋_GB2312" w:hAnsi="Times New Roman" w:eastAsia="仿宋_GB2312" w:cs="仿宋_GB2312"/>
          <w:color w:val="000000"/>
          <w:sz w:val="32"/>
          <w:szCs w:val="32"/>
        </w:rPr>
        <w:t>　　</w:t>
      </w:r>
      <w:r>
        <w:rPr>
          <w:rFonts w:hint="eastAsia" w:ascii="仿宋_GB2312" w:hAnsi="ˎ̥" w:cs="宋体"/>
          <w:sz w:val="32"/>
          <w:szCs w:val="32"/>
        </w:rPr>
        <w:t>（一）收入支出决算总体情况</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2015年度收入总计</w:t>
      </w:r>
      <w:r>
        <w:rPr>
          <w:rFonts w:hint="eastAsia" w:ascii="仿宋_GB2312" w:hAnsi="ˎ̥" w:cs="宋体"/>
          <w:sz w:val="32"/>
          <w:szCs w:val="32"/>
          <w:lang w:val="en-US" w:eastAsia="zh-CN"/>
        </w:rPr>
        <w:t>4639.97</w:t>
      </w:r>
      <w:r>
        <w:rPr>
          <w:rFonts w:hint="eastAsia" w:ascii="仿宋_GB2312" w:hAnsi="ˎ̥" w:cs="宋体"/>
          <w:sz w:val="32"/>
          <w:szCs w:val="32"/>
        </w:rPr>
        <w:t>万元，支出总计</w:t>
      </w:r>
      <w:r>
        <w:rPr>
          <w:rFonts w:hint="eastAsia" w:ascii="仿宋_GB2312" w:hAnsi="ˎ̥" w:cs="宋体"/>
          <w:sz w:val="32"/>
          <w:szCs w:val="32"/>
          <w:lang w:val="en-US" w:eastAsia="zh-CN"/>
        </w:rPr>
        <w:t>4639.97</w:t>
      </w:r>
      <w:r>
        <w:rPr>
          <w:rFonts w:hint="eastAsia" w:ascii="仿宋_GB2312" w:hAnsi="ˎ̥" w:cs="宋体"/>
          <w:sz w:val="32"/>
          <w:szCs w:val="32"/>
        </w:rPr>
        <w:t>万元。与上年相比，收</w:t>
      </w:r>
      <w:r>
        <w:rPr>
          <w:rFonts w:hint="eastAsia" w:ascii="仿宋_GB2312" w:hAnsi="ˎ̥" w:cs="宋体"/>
          <w:sz w:val="32"/>
          <w:szCs w:val="32"/>
          <w:lang w:eastAsia="zh-CN"/>
        </w:rPr>
        <w:t>入</w:t>
      </w:r>
      <w:r>
        <w:rPr>
          <w:rFonts w:hint="eastAsia" w:ascii="仿宋_GB2312" w:hAnsi="ˎ̥" w:cs="宋体"/>
          <w:sz w:val="32"/>
          <w:szCs w:val="32"/>
        </w:rPr>
        <w:t>总计增</w:t>
      </w:r>
      <w:r>
        <w:rPr>
          <w:rFonts w:hint="eastAsia" w:ascii="仿宋_GB2312" w:hAnsi="ˎ̥" w:cs="宋体"/>
          <w:sz w:val="32"/>
          <w:szCs w:val="32"/>
          <w:lang w:val="en-US" w:eastAsia="zh-CN"/>
        </w:rPr>
        <w:t>1834.37</w:t>
      </w:r>
      <w:r>
        <w:rPr>
          <w:rFonts w:hint="eastAsia" w:ascii="仿宋_GB2312" w:hAnsi="ˎ̥" w:cs="宋体"/>
          <w:sz w:val="32"/>
          <w:szCs w:val="32"/>
        </w:rPr>
        <w:t>万元，增长</w:t>
      </w:r>
      <w:r>
        <w:rPr>
          <w:rFonts w:hint="eastAsia" w:ascii="仿宋_GB2312" w:hAnsi="ˎ̥" w:cs="宋体"/>
          <w:sz w:val="32"/>
          <w:szCs w:val="32"/>
          <w:lang w:val="en-US" w:eastAsia="zh-CN"/>
        </w:rPr>
        <w:t>65.38</w:t>
      </w:r>
      <w:r>
        <w:rPr>
          <w:rFonts w:hint="eastAsia" w:ascii="仿宋_GB2312" w:hAnsi="ˎ̥" w:cs="宋体"/>
          <w:sz w:val="32"/>
          <w:szCs w:val="32"/>
        </w:rPr>
        <w:t>%，主要原因是2015年较2014年下拨我局的专项资金有较大增幅。</w:t>
      </w:r>
      <w:r>
        <w:rPr>
          <w:rFonts w:hint="eastAsia" w:ascii="仿宋_GB2312" w:hAnsi="ˎ̥" w:cs="宋体"/>
          <w:sz w:val="32"/>
          <w:szCs w:val="32"/>
          <w:lang w:eastAsia="zh-CN"/>
        </w:rPr>
        <w:t>支出总计增</w:t>
      </w:r>
      <w:r>
        <w:rPr>
          <w:rFonts w:hint="eastAsia" w:ascii="仿宋_GB2312" w:hAnsi="ˎ̥" w:cs="宋体"/>
          <w:sz w:val="32"/>
          <w:szCs w:val="32"/>
          <w:lang w:val="en-US" w:eastAsia="zh-CN"/>
        </w:rPr>
        <w:t>1823.39万元，增长65.27%，主要原因是2015年较2014年下拨我局的专项资金有较大增幅。</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（二）收入决算情况</w:t>
      </w:r>
      <w:r>
        <w:rPr>
          <w:rFonts w:hint="eastAsia" w:ascii="仿宋_GB2312" w:hAnsi="ˎ̥" w:cs="宋体"/>
          <w:sz w:val="32"/>
          <w:szCs w:val="32"/>
        </w:rPr>
        <w:br w:type="textWrapping"/>
      </w:r>
      <w:r>
        <w:rPr>
          <w:rFonts w:hint="eastAsia" w:ascii="仿宋_GB2312" w:hAnsi="ˎ̥" w:cs="宋体"/>
          <w:sz w:val="32"/>
          <w:szCs w:val="32"/>
        </w:rPr>
        <w:t>　　2015年度收入合计</w:t>
      </w:r>
      <w:r>
        <w:rPr>
          <w:rFonts w:hint="eastAsia" w:ascii="仿宋_GB2312" w:hAnsi="ˎ̥" w:cs="宋体"/>
          <w:sz w:val="32"/>
          <w:szCs w:val="32"/>
          <w:lang w:val="en-US" w:eastAsia="zh-CN"/>
        </w:rPr>
        <w:t>4639.97</w:t>
      </w:r>
      <w:r>
        <w:rPr>
          <w:rFonts w:hint="eastAsia" w:ascii="仿宋_GB2312" w:hAnsi="ˎ̥" w:cs="宋体"/>
          <w:sz w:val="32"/>
          <w:szCs w:val="32"/>
        </w:rPr>
        <w:t>万元，比上年增加</w:t>
      </w:r>
      <w:r>
        <w:rPr>
          <w:rFonts w:hint="eastAsia" w:ascii="仿宋_GB2312" w:hAnsi="ˎ̥" w:cs="宋体"/>
          <w:sz w:val="32"/>
          <w:szCs w:val="32"/>
          <w:lang w:val="en-US" w:eastAsia="zh-CN"/>
        </w:rPr>
        <w:t>1834.37</w:t>
      </w:r>
      <w:r>
        <w:rPr>
          <w:rFonts w:hint="eastAsia" w:ascii="仿宋_GB2312" w:hAnsi="ˎ̥" w:cs="宋体"/>
          <w:sz w:val="32"/>
          <w:szCs w:val="32"/>
        </w:rPr>
        <w:t>万元，增长</w:t>
      </w:r>
      <w:r>
        <w:rPr>
          <w:rFonts w:hint="eastAsia" w:ascii="仿宋_GB2312" w:hAnsi="ˎ̥" w:cs="宋体"/>
          <w:sz w:val="32"/>
          <w:szCs w:val="32"/>
          <w:lang w:val="en-US" w:eastAsia="zh-CN"/>
        </w:rPr>
        <w:t>65.38</w:t>
      </w:r>
      <w:r>
        <w:rPr>
          <w:rFonts w:hint="eastAsia" w:ascii="仿宋_GB2312" w:hAnsi="ˎ̥" w:cs="宋体"/>
          <w:sz w:val="32"/>
          <w:szCs w:val="32"/>
        </w:rPr>
        <w:t>%。其中：财政拨款</w:t>
      </w:r>
      <w:r>
        <w:rPr>
          <w:rFonts w:hint="eastAsia" w:ascii="仿宋_GB2312" w:hAnsi="ˎ̥" w:cs="宋体"/>
          <w:sz w:val="32"/>
          <w:szCs w:val="32"/>
          <w:lang w:val="en-US" w:eastAsia="zh-CN"/>
        </w:rPr>
        <w:t>4639.97</w:t>
      </w:r>
      <w:r>
        <w:rPr>
          <w:rFonts w:hint="eastAsia" w:ascii="仿宋_GB2312" w:hAnsi="ˎ̥" w:cs="宋体"/>
          <w:sz w:val="32"/>
          <w:szCs w:val="32"/>
        </w:rPr>
        <w:t>万元，占</w:t>
      </w:r>
      <w:r>
        <w:rPr>
          <w:rFonts w:hint="eastAsia" w:ascii="仿宋_GB2312" w:hAnsi="ˎ̥" w:cs="宋体"/>
          <w:sz w:val="32"/>
          <w:szCs w:val="32"/>
          <w:lang w:val="en-US" w:eastAsia="zh-CN"/>
        </w:rPr>
        <w:t>100</w:t>
      </w:r>
      <w:r>
        <w:rPr>
          <w:rFonts w:hint="eastAsia" w:ascii="仿宋_GB2312" w:hAnsi="ˎ̥" w:cs="宋体"/>
          <w:sz w:val="32"/>
          <w:szCs w:val="32"/>
        </w:rPr>
        <w:t>%；事业单位财政专户资金</w:t>
      </w:r>
      <w:r>
        <w:rPr>
          <w:rFonts w:hint="eastAsia" w:ascii="仿宋_GB2312" w:hAnsi="ˎ̥" w:cs="宋体"/>
          <w:sz w:val="32"/>
          <w:szCs w:val="32"/>
          <w:lang w:val="en-US" w:eastAsia="zh-CN"/>
        </w:rPr>
        <w:t>0</w:t>
      </w:r>
      <w:r>
        <w:rPr>
          <w:rFonts w:hint="eastAsia" w:ascii="仿宋_GB2312" w:hAnsi="ˎ̥" w:cs="宋体"/>
          <w:sz w:val="32"/>
          <w:szCs w:val="32"/>
        </w:rPr>
        <w:t>万元，占</w:t>
      </w:r>
      <w:r>
        <w:rPr>
          <w:rFonts w:hint="eastAsia" w:ascii="仿宋_GB2312" w:hAnsi="ˎ̥" w:cs="宋体"/>
          <w:sz w:val="32"/>
          <w:szCs w:val="32"/>
          <w:lang w:val="en-US" w:eastAsia="zh-CN"/>
        </w:rPr>
        <w:t>0</w:t>
      </w:r>
      <w:r>
        <w:rPr>
          <w:rFonts w:hint="eastAsia" w:ascii="仿宋_GB2312" w:hAnsi="ˎ̥" w:cs="宋体"/>
          <w:sz w:val="32"/>
          <w:szCs w:val="32"/>
        </w:rPr>
        <w:t>%。</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（三）支出决算情况</w:t>
      </w:r>
      <w:r>
        <w:rPr>
          <w:rFonts w:hint="eastAsia" w:ascii="仿宋_GB2312" w:hAnsi="ˎ̥" w:cs="宋体"/>
          <w:sz w:val="32"/>
          <w:szCs w:val="32"/>
        </w:rPr>
        <w:br w:type="textWrapping"/>
      </w:r>
      <w:r>
        <w:rPr>
          <w:rFonts w:hint="eastAsia" w:ascii="仿宋_GB2312" w:hAnsi="ˎ̥" w:cs="宋体"/>
          <w:sz w:val="32"/>
          <w:szCs w:val="32"/>
        </w:rPr>
        <w:t>　　2015年度支出合计</w:t>
      </w:r>
      <w:r>
        <w:rPr>
          <w:rFonts w:hint="eastAsia" w:ascii="仿宋_GB2312" w:hAnsi="ˎ̥" w:cs="宋体"/>
          <w:sz w:val="32"/>
          <w:szCs w:val="32"/>
          <w:lang w:val="en-US" w:eastAsia="zh-CN"/>
        </w:rPr>
        <w:t>4639.97</w:t>
      </w:r>
      <w:r>
        <w:rPr>
          <w:rFonts w:hint="eastAsia" w:ascii="仿宋_GB2312" w:hAnsi="ˎ̥" w:cs="宋体"/>
          <w:sz w:val="32"/>
          <w:szCs w:val="32"/>
        </w:rPr>
        <w:t>万元，比上年增加</w:t>
      </w:r>
      <w:r>
        <w:rPr>
          <w:rFonts w:hint="eastAsia" w:ascii="仿宋_GB2312" w:hAnsi="ˎ̥" w:cs="宋体"/>
          <w:sz w:val="32"/>
          <w:szCs w:val="32"/>
          <w:lang w:val="en-US" w:eastAsia="zh-CN"/>
        </w:rPr>
        <w:t>1823.39</w:t>
      </w:r>
      <w:r>
        <w:rPr>
          <w:rFonts w:hint="eastAsia" w:ascii="仿宋_GB2312" w:hAnsi="ˎ̥" w:cs="宋体"/>
          <w:sz w:val="32"/>
          <w:szCs w:val="32"/>
        </w:rPr>
        <w:t>万元，增长</w:t>
      </w:r>
      <w:r>
        <w:rPr>
          <w:rFonts w:hint="eastAsia" w:ascii="仿宋_GB2312" w:hAnsi="ˎ̥" w:cs="宋体"/>
          <w:sz w:val="32"/>
          <w:szCs w:val="32"/>
          <w:lang w:val="en-US" w:eastAsia="zh-CN"/>
        </w:rPr>
        <w:t>65.27</w:t>
      </w:r>
      <w:r>
        <w:rPr>
          <w:rFonts w:hint="eastAsia" w:ascii="仿宋_GB2312" w:hAnsi="ˎ̥" w:cs="宋体"/>
          <w:sz w:val="32"/>
          <w:szCs w:val="32"/>
        </w:rPr>
        <w:t>%。其中：基本支出1,977.93万元，占</w:t>
      </w:r>
      <w:r>
        <w:rPr>
          <w:rFonts w:hint="eastAsia" w:ascii="仿宋_GB2312" w:hAnsi="ˎ̥" w:cs="宋体"/>
          <w:sz w:val="32"/>
          <w:szCs w:val="32"/>
          <w:lang w:val="en-US" w:eastAsia="zh-CN"/>
        </w:rPr>
        <w:t>42.63</w:t>
      </w:r>
      <w:r>
        <w:rPr>
          <w:rFonts w:hint="eastAsia" w:ascii="仿宋_GB2312" w:hAnsi="ˎ̥" w:cs="宋体"/>
          <w:sz w:val="32"/>
          <w:szCs w:val="32"/>
        </w:rPr>
        <w:t>%；项目支出2,662.05万元，占</w:t>
      </w:r>
      <w:r>
        <w:rPr>
          <w:rFonts w:hint="eastAsia" w:ascii="仿宋_GB2312" w:hAnsi="ˎ̥" w:cs="宋体"/>
          <w:sz w:val="32"/>
          <w:szCs w:val="32"/>
          <w:lang w:val="en-US" w:eastAsia="zh-CN"/>
        </w:rPr>
        <w:t>57.37</w:t>
      </w:r>
      <w:r>
        <w:rPr>
          <w:rFonts w:hint="eastAsia" w:ascii="仿宋_GB2312" w:hAnsi="ˎ̥" w:cs="宋体"/>
          <w:sz w:val="32"/>
          <w:szCs w:val="32"/>
        </w:rPr>
        <w:t>%；经营支出</w:t>
      </w:r>
      <w:r>
        <w:rPr>
          <w:rFonts w:hint="eastAsia" w:ascii="仿宋_GB2312" w:hAnsi="ˎ̥" w:cs="宋体"/>
          <w:sz w:val="32"/>
          <w:szCs w:val="32"/>
          <w:lang w:val="en-US" w:eastAsia="zh-CN"/>
        </w:rPr>
        <w:t>0</w:t>
      </w:r>
      <w:r>
        <w:rPr>
          <w:rFonts w:hint="eastAsia" w:ascii="仿宋_GB2312" w:hAnsi="ˎ̥" w:cs="宋体"/>
          <w:sz w:val="32"/>
          <w:szCs w:val="32"/>
        </w:rPr>
        <w:t>万元，占</w:t>
      </w:r>
      <w:r>
        <w:rPr>
          <w:rFonts w:hint="eastAsia" w:ascii="仿宋_GB2312" w:hAnsi="ˎ̥" w:cs="宋体"/>
          <w:sz w:val="32"/>
          <w:szCs w:val="32"/>
          <w:lang w:val="en-US" w:eastAsia="zh-CN"/>
        </w:rPr>
        <w:t>0</w:t>
      </w:r>
      <w:r>
        <w:rPr>
          <w:rFonts w:hint="eastAsia" w:ascii="仿宋_GB2312" w:hAnsi="ˎ̥" w:cs="宋体"/>
          <w:sz w:val="32"/>
          <w:szCs w:val="32"/>
        </w:rPr>
        <w:t>%。</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（四）财政拨款收入支出决算情况</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2015年度财政拨款收支总计</w:t>
      </w:r>
      <w:r>
        <w:rPr>
          <w:rFonts w:hint="eastAsia" w:ascii="仿宋_GB2312" w:hAnsi="ˎ̥" w:cs="宋体"/>
          <w:sz w:val="32"/>
          <w:szCs w:val="32"/>
          <w:lang w:val="en-US" w:eastAsia="zh-CN"/>
        </w:rPr>
        <w:t>4639.97</w:t>
      </w:r>
      <w:r>
        <w:rPr>
          <w:rFonts w:hint="eastAsia" w:ascii="仿宋_GB2312" w:hAnsi="ˎ̥" w:cs="宋体"/>
          <w:sz w:val="32"/>
          <w:szCs w:val="32"/>
        </w:rPr>
        <w:t>万元，与上年相比，财政拨款收</w:t>
      </w:r>
      <w:r>
        <w:rPr>
          <w:rFonts w:hint="eastAsia" w:ascii="仿宋_GB2312" w:hAnsi="ˎ̥" w:cs="宋体"/>
          <w:sz w:val="32"/>
          <w:szCs w:val="32"/>
          <w:lang w:eastAsia="zh-CN"/>
        </w:rPr>
        <w:t>入</w:t>
      </w:r>
      <w:r>
        <w:rPr>
          <w:rFonts w:hint="eastAsia" w:ascii="仿宋_GB2312" w:hAnsi="ˎ̥" w:cs="宋体"/>
          <w:sz w:val="32"/>
          <w:szCs w:val="32"/>
        </w:rPr>
        <w:t>总计增</w:t>
      </w:r>
      <w:r>
        <w:rPr>
          <w:rFonts w:hint="eastAsia" w:ascii="仿宋_GB2312" w:hAnsi="ˎ̥" w:cs="宋体"/>
          <w:sz w:val="32"/>
          <w:szCs w:val="32"/>
          <w:lang w:val="en-US" w:eastAsia="zh-CN"/>
        </w:rPr>
        <w:t>1834.37</w:t>
      </w:r>
      <w:r>
        <w:rPr>
          <w:rFonts w:hint="eastAsia" w:ascii="仿宋_GB2312" w:hAnsi="ˎ̥" w:cs="宋体"/>
          <w:sz w:val="32"/>
          <w:szCs w:val="32"/>
        </w:rPr>
        <w:t>万元，增长</w:t>
      </w:r>
      <w:r>
        <w:rPr>
          <w:rFonts w:hint="eastAsia" w:ascii="仿宋_GB2312" w:hAnsi="ˎ̥" w:cs="宋体"/>
          <w:sz w:val="32"/>
          <w:szCs w:val="32"/>
          <w:lang w:val="en-US" w:eastAsia="zh-CN"/>
        </w:rPr>
        <w:t>65.38</w:t>
      </w:r>
      <w:r>
        <w:rPr>
          <w:rFonts w:hint="eastAsia" w:ascii="仿宋_GB2312" w:hAnsi="ˎ̥" w:cs="宋体"/>
          <w:sz w:val="32"/>
          <w:szCs w:val="32"/>
        </w:rPr>
        <w:t>%，主要原因是</w:t>
      </w:r>
      <w:r>
        <w:rPr>
          <w:rFonts w:hint="eastAsia" w:ascii="仿宋_GB2312" w:hAnsi="ˎ̥" w:cs="宋体"/>
          <w:sz w:val="32"/>
          <w:szCs w:val="32"/>
          <w:lang w:val="en-US" w:eastAsia="zh-CN"/>
        </w:rPr>
        <w:t>2015年较2014年下拨我局的专项资金有较大增幅</w:t>
      </w:r>
      <w:r>
        <w:rPr>
          <w:rFonts w:hint="eastAsia" w:ascii="仿宋_GB2312" w:hAnsi="ˎ̥" w:cs="宋体"/>
          <w:sz w:val="32"/>
          <w:szCs w:val="32"/>
        </w:rPr>
        <w:t>。财政拨款</w:t>
      </w:r>
      <w:r>
        <w:rPr>
          <w:rFonts w:hint="eastAsia" w:ascii="仿宋_GB2312" w:hAnsi="ˎ̥" w:cs="宋体"/>
          <w:sz w:val="32"/>
          <w:szCs w:val="32"/>
          <w:lang w:eastAsia="zh-CN"/>
        </w:rPr>
        <w:t>支出</w:t>
      </w:r>
      <w:r>
        <w:rPr>
          <w:rFonts w:hint="eastAsia" w:ascii="仿宋_GB2312" w:hAnsi="ˎ̥" w:cs="宋体"/>
          <w:sz w:val="32"/>
          <w:szCs w:val="32"/>
        </w:rPr>
        <w:t>总计增</w:t>
      </w:r>
      <w:r>
        <w:rPr>
          <w:rFonts w:hint="eastAsia" w:ascii="仿宋_GB2312" w:hAnsi="ˎ̥" w:cs="宋体"/>
          <w:sz w:val="32"/>
          <w:szCs w:val="32"/>
          <w:lang w:val="en-US" w:eastAsia="zh-CN"/>
        </w:rPr>
        <w:t>1823.39万元，增长65.27%，主要原因是2015年较2014年下拨我局的专项资金有较大增幅。</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（五）财政拨款支出情况</w:t>
      </w:r>
    </w:p>
    <w:p>
      <w:pPr>
        <w:spacing w:line="640" w:lineRule="exact"/>
        <w:ind w:firstLine="640" w:firstLineChars="200"/>
        <w:rPr>
          <w:rFonts w:hint="eastAsia" w:ascii="仿宋_GB2312" w:hAnsi="ˎ̥" w:cs="宋体"/>
          <w:sz w:val="32"/>
          <w:szCs w:val="32"/>
          <w:lang w:eastAsia="zh-CN"/>
        </w:rPr>
      </w:pPr>
      <w:r>
        <w:rPr>
          <w:rFonts w:hint="eastAsia" w:ascii="仿宋_GB2312" w:hAnsi="ˎ̥" w:cs="宋体"/>
          <w:sz w:val="32"/>
          <w:szCs w:val="32"/>
        </w:rPr>
        <w:t>　2015年度部门决算财政拨款支出年初预算</w:t>
      </w:r>
      <w:r>
        <w:rPr>
          <w:rFonts w:hint="eastAsia" w:ascii="仿宋_GB2312" w:hAnsi="ˎ̥" w:cs="宋体"/>
          <w:sz w:val="32"/>
          <w:szCs w:val="32"/>
          <w:lang w:val="en-US" w:eastAsia="zh-CN"/>
        </w:rPr>
        <w:t>1745.8</w:t>
      </w:r>
      <w:r>
        <w:rPr>
          <w:rFonts w:hint="eastAsia" w:ascii="仿宋_GB2312" w:hAnsi="ˎ̥" w:cs="宋体"/>
          <w:sz w:val="32"/>
          <w:szCs w:val="32"/>
        </w:rPr>
        <w:t>万元，支出决算4,639.97万元，完成年初预算</w:t>
      </w:r>
      <w:r>
        <w:rPr>
          <w:rFonts w:hint="eastAsia" w:ascii="仿宋_GB2312" w:hAnsi="ˎ̥" w:cs="宋体"/>
          <w:sz w:val="32"/>
          <w:szCs w:val="32"/>
          <w:lang w:val="en-US" w:eastAsia="zh-CN"/>
        </w:rPr>
        <w:t>100</w:t>
      </w:r>
      <w:r>
        <w:rPr>
          <w:rFonts w:hint="eastAsia" w:ascii="仿宋_GB2312" w:hAnsi="ˎ̥" w:cs="宋体"/>
          <w:sz w:val="32"/>
          <w:szCs w:val="32"/>
        </w:rPr>
        <w:t>%,决算数</w:t>
      </w:r>
      <w:r>
        <w:rPr>
          <w:rFonts w:hint="eastAsia" w:ascii="仿宋_GB2312" w:hAnsi="ˎ̥" w:cs="宋体"/>
          <w:sz w:val="32"/>
          <w:szCs w:val="32"/>
          <w:lang w:eastAsia="zh-CN"/>
        </w:rPr>
        <w:t>大于</w:t>
      </w:r>
      <w:r>
        <w:rPr>
          <w:rFonts w:hint="eastAsia" w:ascii="仿宋_GB2312" w:hAnsi="ˎ̥" w:cs="宋体"/>
          <w:sz w:val="32"/>
          <w:szCs w:val="32"/>
        </w:rPr>
        <w:t>预算数</w:t>
      </w:r>
      <w:r>
        <w:rPr>
          <w:rFonts w:hint="eastAsia" w:ascii="仿宋_GB2312" w:hAnsi="ˎ̥" w:cs="宋体"/>
          <w:sz w:val="32"/>
          <w:szCs w:val="32"/>
          <w:lang w:eastAsia="zh-CN"/>
        </w:rPr>
        <w:t>的原因为</w:t>
      </w:r>
      <w:r>
        <w:rPr>
          <w:rFonts w:hint="eastAsia" w:ascii="仿宋_GB2312" w:hAnsi="ˎ̥" w:cs="宋体"/>
          <w:sz w:val="32"/>
          <w:szCs w:val="32"/>
          <w:lang w:val="en-US" w:eastAsia="zh-CN"/>
        </w:rPr>
        <w:t>2015年专项未列入年初预算。</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一般公共服务支出（类）商贸事务（款）行政运行（项）事务支出</w:t>
      </w:r>
      <w:bookmarkStart w:id="0" w:name="3"/>
      <w:r>
        <w:rPr>
          <w:rFonts w:hint="eastAsia" w:ascii="仿宋_GB2312" w:hAnsi="ˎ̥" w:cs="宋体"/>
          <w:sz w:val="32"/>
          <w:szCs w:val="32"/>
        </w:rPr>
        <w:t>1164.6</w:t>
      </w:r>
      <w:r>
        <w:rPr>
          <w:rFonts w:hint="eastAsia" w:ascii="仿宋_GB2312" w:hAnsi="ˎ̥" w:cs="宋体"/>
          <w:sz w:val="32"/>
          <w:szCs w:val="32"/>
          <w:lang w:eastAsia="zh-CN"/>
        </w:rPr>
        <w:t>万元</w:t>
      </w:r>
      <w:r>
        <w:rPr>
          <w:rFonts w:hint="eastAsia" w:ascii="仿宋_GB2312" w:hAnsi="ˎ̥" w:cs="宋体"/>
          <w:sz w:val="32"/>
          <w:szCs w:val="32"/>
        </w:rPr>
        <w:t>主要用于人员支出及社会保障支出、一般公用支出、日常业务支出等。</w:t>
      </w:r>
      <w:bookmarkEnd w:id="0"/>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一般公共服务支出（类）商贸事务（款）事业运行（项）事务</w:t>
      </w:r>
      <w:r>
        <w:rPr>
          <w:rFonts w:hint="eastAsia" w:ascii="仿宋_GB2312" w:hAnsi="ˎ̥" w:cs="宋体"/>
          <w:sz w:val="32"/>
          <w:szCs w:val="32"/>
          <w:lang w:eastAsia="zh-CN"/>
        </w:rPr>
        <w:t>支出</w:t>
      </w:r>
      <w:r>
        <w:rPr>
          <w:rFonts w:hint="eastAsia" w:ascii="仿宋_GB2312" w:hAnsi="ˎ̥" w:cs="宋体"/>
          <w:sz w:val="32"/>
          <w:szCs w:val="32"/>
          <w:lang w:val="en-US" w:eastAsia="zh-CN"/>
        </w:rPr>
        <w:t>149.18</w:t>
      </w:r>
      <w:r>
        <w:rPr>
          <w:rFonts w:hint="eastAsia" w:ascii="仿宋_GB2312" w:hAnsi="ˎ̥" w:cs="宋体"/>
          <w:sz w:val="32"/>
          <w:szCs w:val="32"/>
        </w:rPr>
        <w:t>万元，主要用于人员支出、一般公用支出、日常业务支出及社会保障支出。</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一般公共服务支出（类）商贸事务（款）一般行政管理事务（项）</w:t>
      </w:r>
      <w:r>
        <w:rPr>
          <w:rFonts w:hint="eastAsia" w:ascii="仿宋_GB2312" w:hAnsi="ˎ̥" w:cs="宋体"/>
          <w:sz w:val="32"/>
          <w:szCs w:val="32"/>
          <w:lang w:eastAsia="zh-CN"/>
        </w:rPr>
        <w:t>事务支出</w:t>
      </w:r>
      <w:r>
        <w:rPr>
          <w:rFonts w:hint="eastAsia" w:ascii="仿宋_GB2312" w:hAnsi="ˎ̥" w:cs="宋体"/>
          <w:sz w:val="32"/>
          <w:szCs w:val="32"/>
          <w:lang w:val="en-US" w:eastAsia="zh-CN"/>
        </w:rPr>
        <w:t>62.54</w:t>
      </w:r>
      <w:r>
        <w:rPr>
          <w:rFonts w:hint="eastAsia" w:ascii="仿宋_GB2312" w:hAnsi="ˎ̥" w:cs="宋体"/>
          <w:sz w:val="32"/>
          <w:szCs w:val="32"/>
        </w:rPr>
        <w:t>万元主要用于</w:t>
      </w:r>
      <w:r>
        <w:rPr>
          <w:rFonts w:hint="eastAsia" w:ascii="仿宋_GB2312" w:hAnsi="ˎ̥" w:cs="宋体"/>
          <w:sz w:val="32"/>
          <w:szCs w:val="32"/>
          <w:lang w:eastAsia="zh-CN"/>
        </w:rPr>
        <w:t>专项业务费、</w:t>
      </w:r>
      <w:r>
        <w:rPr>
          <w:rFonts w:hint="eastAsia" w:ascii="仿宋_GB2312" w:hAnsi="ˎ̥" w:cs="宋体"/>
          <w:sz w:val="32"/>
          <w:szCs w:val="32"/>
        </w:rPr>
        <w:t>物业管理费、办公设备购置。</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一般公共服务支出（类）商贸事务（款）其他商贸事务支出（项）事务</w:t>
      </w:r>
      <w:r>
        <w:rPr>
          <w:rFonts w:hint="eastAsia" w:ascii="仿宋_GB2312" w:hAnsi="ˎ̥" w:cs="宋体"/>
          <w:sz w:val="32"/>
          <w:szCs w:val="32"/>
          <w:lang w:eastAsia="zh-CN"/>
        </w:rPr>
        <w:t>支出</w:t>
      </w:r>
      <w:r>
        <w:rPr>
          <w:rFonts w:hint="eastAsia" w:ascii="仿宋_GB2312" w:hAnsi="ˎ̥" w:cs="宋体"/>
          <w:sz w:val="32"/>
          <w:szCs w:val="32"/>
          <w:lang w:val="en-US" w:eastAsia="zh-CN"/>
        </w:rPr>
        <w:t>43.6</w:t>
      </w:r>
      <w:r>
        <w:rPr>
          <w:rFonts w:hint="eastAsia" w:ascii="仿宋_GB2312" w:hAnsi="ˎ̥" w:cs="宋体"/>
          <w:sz w:val="32"/>
          <w:szCs w:val="32"/>
        </w:rPr>
        <w:t>万元主要用于办公室租赁、物业管理费、投资促进专项经费、办公设备采购等。</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社会保障和就业支出（类）行政事业单位离退休（款）未归口管理的行政单位离退休（项）事务</w:t>
      </w:r>
      <w:r>
        <w:rPr>
          <w:rFonts w:hint="eastAsia" w:ascii="仿宋_GB2312" w:hAnsi="ˎ̥" w:cs="宋体"/>
          <w:sz w:val="32"/>
          <w:szCs w:val="32"/>
          <w:lang w:val="en-US" w:eastAsia="zh-CN"/>
        </w:rPr>
        <w:t>460.65</w:t>
      </w:r>
      <w:r>
        <w:rPr>
          <w:rFonts w:hint="eastAsia" w:ascii="仿宋_GB2312" w:hAnsi="ˎ̥" w:cs="宋体"/>
          <w:sz w:val="32"/>
          <w:szCs w:val="32"/>
        </w:rPr>
        <w:t>万元，主要用于离退休人员支出。</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6．医疗卫生与计划生育支出（类）医疗保障（款）行政单位医疗（项）事务</w:t>
      </w:r>
      <w:r>
        <w:rPr>
          <w:rFonts w:hint="eastAsia" w:ascii="仿宋_GB2312" w:hAnsi="ˎ̥" w:cs="宋体"/>
          <w:sz w:val="32"/>
          <w:szCs w:val="32"/>
          <w:lang w:eastAsia="zh-CN"/>
        </w:rPr>
        <w:t>支出</w:t>
      </w:r>
      <w:r>
        <w:rPr>
          <w:rFonts w:hint="eastAsia" w:ascii="仿宋_GB2312" w:hAnsi="ˎ̥" w:cs="宋体"/>
          <w:sz w:val="32"/>
          <w:szCs w:val="32"/>
          <w:lang w:val="en-US" w:eastAsia="zh-CN"/>
        </w:rPr>
        <w:t>78.67</w:t>
      </w:r>
      <w:r>
        <w:rPr>
          <w:rFonts w:hint="eastAsia" w:ascii="仿宋_GB2312" w:hAnsi="ˎ̥" w:cs="宋体"/>
          <w:sz w:val="32"/>
          <w:szCs w:val="32"/>
        </w:rPr>
        <w:t>万元，主要用于医疗保障支出。</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7．医疗卫生与计划生育支出（类）医疗保障（款）事业单位医疗（项）事务</w:t>
      </w:r>
      <w:r>
        <w:rPr>
          <w:rFonts w:hint="eastAsia" w:ascii="仿宋_GB2312" w:hAnsi="ˎ̥" w:cs="宋体"/>
          <w:sz w:val="32"/>
          <w:szCs w:val="32"/>
          <w:lang w:eastAsia="zh-CN"/>
        </w:rPr>
        <w:t>支出</w:t>
      </w:r>
      <w:r>
        <w:rPr>
          <w:rFonts w:hint="eastAsia" w:ascii="仿宋_GB2312" w:hAnsi="ˎ̥" w:cs="宋体"/>
          <w:sz w:val="32"/>
          <w:szCs w:val="32"/>
          <w:lang w:val="en-US" w:eastAsia="zh-CN"/>
        </w:rPr>
        <w:t>9.14</w:t>
      </w:r>
      <w:r>
        <w:rPr>
          <w:rFonts w:hint="eastAsia" w:ascii="仿宋_GB2312" w:hAnsi="ˎ̥" w:cs="宋体"/>
          <w:sz w:val="32"/>
          <w:szCs w:val="32"/>
        </w:rPr>
        <w:t>万元，主要用于医疗保障支出。</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8．住房保障支出（类）住房改革支出（款）住房</w:t>
      </w:r>
      <w:r>
        <w:rPr>
          <w:rFonts w:hint="eastAsia" w:ascii="仿宋_GB2312" w:hAnsi="ˎ̥" w:cs="宋体"/>
          <w:sz w:val="32"/>
          <w:szCs w:val="32"/>
          <w:lang w:eastAsia="zh-CN"/>
        </w:rPr>
        <w:t>改革支出</w:t>
      </w:r>
      <w:r>
        <w:rPr>
          <w:rFonts w:hint="eastAsia" w:ascii="仿宋_GB2312" w:hAnsi="ˎ̥" w:cs="宋体"/>
          <w:sz w:val="32"/>
          <w:szCs w:val="32"/>
        </w:rPr>
        <w:t>（项）</w:t>
      </w:r>
      <w:r>
        <w:rPr>
          <w:rFonts w:hint="eastAsia" w:ascii="仿宋_GB2312" w:hAnsi="ˎ̥" w:cs="宋体"/>
          <w:sz w:val="32"/>
          <w:szCs w:val="32"/>
          <w:lang w:eastAsia="zh-CN"/>
        </w:rPr>
        <w:t>事务支出</w:t>
      </w:r>
      <w:r>
        <w:rPr>
          <w:rFonts w:hint="eastAsia" w:ascii="仿宋_GB2312" w:hAnsi="ˎ̥" w:cs="宋体"/>
          <w:sz w:val="32"/>
          <w:szCs w:val="32"/>
          <w:lang w:val="en-US" w:eastAsia="zh-CN"/>
        </w:rPr>
        <w:t>83.09</w:t>
      </w:r>
      <w:r>
        <w:rPr>
          <w:rFonts w:hint="eastAsia" w:ascii="仿宋_GB2312" w:hAnsi="ˎ̥" w:cs="宋体"/>
          <w:sz w:val="32"/>
          <w:szCs w:val="32"/>
        </w:rPr>
        <w:t>万元，主要用于住房公积金支出。</w:t>
      </w:r>
    </w:p>
    <w:p>
      <w:pPr>
        <w:spacing w:line="640" w:lineRule="exact"/>
        <w:ind w:firstLine="640" w:firstLineChars="200"/>
        <w:rPr>
          <w:rFonts w:hint="eastAsia" w:ascii="仿宋_GB2312" w:hAnsi="ˎ̥" w:cs="宋体"/>
          <w:sz w:val="32"/>
          <w:szCs w:val="32"/>
          <w:lang w:val="en-US" w:eastAsia="zh-CN"/>
        </w:rPr>
      </w:pPr>
      <w:r>
        <w:rPr>
          <w:rFonts w:hint="eastAsia" w:ascii="仿宋_GB2312" w:hAnsi="ˎ̥" w:cs="宋体"/>
          <w:sz w:val="32"/>
          <w:szCs w:val="32"/>
          <w:lang w:val="en-US" w:eastAsia="zh-CN"/>
        </w:rPr>
        <w:t>9.</w:t>
      </w:r>
      <w:r>
        <w:rPr>
          <w:rFonts w:hint="eastAsia" w:ascii="仿宋_GB2312" w:hAnsi="ˎ̥" w:cs="宋体"/>
          <w:sz w:val="32"/>
          <w:szCs w:val="32"/>
        </w:rPr>
        <w:t>住房保障支出（类）住房改革支出（款）</w:t>
      </w:r>
      <w:r>
        <w:rPr>
          <w:rFonts w:hint="eastAsia" w:ascii="仿宋_GB2312" w:hAnsi="ˎ̥" w:cs="宋体"/>
          <w:sz w:val="32"/>
          <w:szCs w:val="32"/>
          <w:lang w:eastAsia="zh-CN"/>
        </w:rPr>
        <w:t>购房补贴</w:t>
      </w:r>
      <w:r>
        <w:rPr>
          <w:rFonts w:hint="eastAsia" w:ascii="仿宋_GB2312" w:hAnsi="ˎ̥" w:cs="宋体"/>
          <w:sz w:val="32"/>
          <w:szCs w:val="32"/>
        </w:rPr>
        <w:t>（项）</w:t>
      </w:r>
      <w:r>
        <w:rPr>
          <w:rFonts w:hint="eastAsia" w:ascii="仿宋_GB2312" w:hAnsi="ˎ̥" w:cs="宋体"/>
          <w:sz w:val="32"/>
          <w:szCs w:val="32"/>
          <w:lang w:eastAsia="zh-CN"/>
        </w:rPr>
        <w:t>事务支出</w:t>
      </w:r>
      <w:r>
        <w:rPr>
          <w:rFonts w:hint="eastAsia" w:ascii="仿宋_GB2312" w:hAnsi="ˎ̥" w:cs="宋体"/>
          <w:sz w:val="32"/>
          <w:szCs w:val="32"/>
          <w:lang w:val="en-US" w:eastAsia="zh-CN"/>
        </w:rPr>
        <w:t>8.07万元，主要用于99年后参加工作的人员货币化住房补贴。</w:t>
      </w:r>
    </w:p>
    <w:p>
      <w:pPr>
        <w:spacing w:line="640" w:lineRule="exact"/>
        <w:ind w:firstLine="640" w:firstLineChars="200"/>
        <w:rPr>
          <w:rFonts w:hint="eastAsia" w:ascii="仿宋_GB2312" w:hAnsi="ˎ̥" w:cs="宋体"/>
          <w:sz w:val="32"/>
          <w:szCs w:val="32"/>
          <w:lang w:val="en-US" w:eastAsia="zh-CN"/>
        </w:rPr>
      </w:pPr>
      <w:r>
        <w:rPr>
          <w:rFonts w:hint="eastAsia" w:ascii="仿宋_GB2312" w:hAnsi="ˎ̥" w:cs="宋体"/>
          <w:sz w:val="32"/>
          <w:szCs w:val="32"/>
          <w:lang w:val="en-US" w:eastAsia="zh-CN"/>
        </w:rPr>
        <w:t>10.交通运输支出</w:t>
      </w:r>
      <w:r>
        <w:rPr>
          <w:rFonts w:hint="eastAsia" w:ascii="仿宋_GB2312" w:hAnsi="ˎ̥" w:cs="宋体"/>
          <w:sz w:val="32"/>
          <w:szCs w:val="32"/>
        </w:rPr>
        <w:t>（类）车辆购置税支出（款）车辆购置税用于老旧汽车报废更新补贴（项）</w:t>
      </w:r>
      <w:r>
        <w:rPr>
          <w:rFonts w:hint="eastAsia" w:ascii="仿宋_GB2312" w:hAnsi="ˎ̥" w:cs="宋体"/>
          <w:sz w:val="32"/>
          <w:szCs w:val="32"/>
          <w:lang w:eastAsia="zh-CN"/>
        </w:rPr>
        <w:t>事务支出</w:t>
      </w:r>
      <w:r>
        <w:rPr>
          <w:rFonts w:hint="eastAsia" w:ascii="仿宋_GB2312" w:hAnsi="ˎ̥" w:cs="宋体"/>
          <w:sz w:val="32"/>
          <w:szCs w:val="32"/>
          <w:lang w:val="en-US" w:eastAsia="zh-CN"/>
        </w:rPr>
        <w:t>50.4万元，主要用于老旧汽车报废更新补贴。</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lang w:val="en-US" w:eastAsia="zh-CN"/>
        </w:rPr>
        <w:t>11</w:t>
      </w:r>
      <w:r>
        <w:rPr>
          <w:rFonts w:hint="eastAsia" w:ascii="仿宋_GB2312" w:hAnsi="ˎ̥" w:cs="宋体"/>
          <w:sz w:val="32"/>
          <w:szCs w:val="32"/>
        </w:rPr>
        <w:t>．商业服务业等支出（类）商业流通事务（款）其他商业流通事务支出（项）事务</w:t>
      </w:r>
      <w:r>
        <w:rPr>
          <w:rFonts w:hint="eastAsia" w:ascii="仿宋_GB2312" w:hAnsi="ˎ̥" w:cs="宋体"/>
          <w:sz w:val="32"/>
          <w:szCs w:val="32"/>
          <w:lang w:val="en-US" w:eastAsia="zh-CN"/>
        </w:rPr>
        <w:t>1941.6</w:t>
      </w:r>
      <w:r>
        <w:rPr>
          <w:rFonts w:hint="eastAsia" w:ascii="仿宋_GB2312" w:hAnsi="ˎ̥" w:cs="宋体"/>
          <w:sz w:val="32"/>
          <w:szCs w:val="32"/>
        </w:rPr>
        <w:t>万元，主要用于商贸提升及市场培育等项目。</w:t>
      </w:r>
    </w:p>
    <w:p>
      <w:pPr>
        <w:spacing w:line="640" w:lineRule="exact"/>
        <w:ind w:firstLine="640" w:firstLineChars="200"/>
        <w:rPr>
          <w:rFonts w:hint="eastAsia" w:ascii="仿宋_GB2312" w:hAnsi="ˎ̥" w:cs="宋体"/>
          <w:sz w:val="32"/>
          <w:szCs w:val="32"/>
          <w:lang w:val="en-US" w:eastAsia="zh-CN"/>
        </w:rPr>
      </w:pPr>
      <w:r>
        <w:rPr>
          <w:rFonts w:hint="eastAsia" w:ascii="仿宋_GB2312" w:hAnsi="ˎ̥" w:cs="宋体"/>
          <w:sz w:val="32"/>
          <w:szCs w:val="32"/>
        </w:rPr>
        <w:t>1</w:t>
      </w:r>
      <w:r>
        <w:rPr>
          <w:rFonts w:hint="eastAsia" w:ascii="仿宋_GB2312" w:hAnsi="ˎ̥" w:cs="宋体"/>
          <w:sz w:val="32"/>
          <w:szCs w:val="32"/>
          <w:lang w:val="en-US" w:eastAsia="zh-CN"/>
        </w:rPr>
        <w:t>2</w:t>
      </w:r>
      <w:r>
        <w:rPr>
          <w:rFonts w:hint="eastAsia" w:ascii="仿宋_GB2312" w:hAnsi="ˎ̥" w:cs="宋体"/>
          <w:sz w:val="32"/>
          <w:szCs w:val="32"/>
        </w:rPr>
        <w:t>．商业服务业等支出（类）涉外发展服务支出（款）其他涉外发展服务支出（项）事务</w:t>
      </w:r>
      <w:r>
        <w:rPr>
          <w:rFonts w:hint="eastAsia" w:ascii="仿宋_GB2312" w:hAnsi="ˎ̥" w:cs="宋体"/>
          <w:sz w:val="32"/>
          <w:szCs w:val="32"/>
          <w:lang w:val="en-US" w:eastAsia="zh-CN"/>
        </w:rPr>
        <w:t>588.44</w:t>
      </w:r>
      <w:r>
        <w:rPr>
          <w:rFonts w:hint="eastAsia" w:ascii="仿宋_GB2312" w:hAnsi="ˎ̥" w:cs="宋体"/>
          <w:sz w:val="32"/>
          <w:szCs w:val="32"/>
        </w:rPr>
        <w:t>万元，主要用于招商引资</w:t>
      </w:r>
      <w:r>
        <w:rPr>
          <w:rFonts w:hint="eastAsia" w:ascii="仿宋_GB2312" w:hAnsi="ˎ̥" w:cs="宋体"/>
          <w:sz w:val="32"/>
          <w:szCs w:val="32"/>
          <w:lang w:eastAsia="zh-CN"/>
        </w:rPr>
        <w:t>等</w:t>
      </w:r>
      <w:r>
        <w:rPr>
          <w:rFonts w:hint="eastAsia" w:ascii="仿宋_GB2312" w:hAnsi="ˎ̥" w:cs="宋体"/>
          <w:sz w:val="32"/>
          <w:szCs w:val="32"/>
        </w:rPr>
        <w:t>项目。</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lang w:eastAsia="zh-CN"/>
        </w:rPr>
        <w:t>（六）</w:t>
      </w:r>
      <w:r>
        <w:rPr>
          <w:rFonts w:hint="eastAsia" w:ascii="仿宋_GB2312" w:hAnsi="ˎ̥" w:cs="宋体"/>
          <w:sz w:val="32"/>
          <w:szCs w:val="32"/>
        </w:rPr>
        <w:t>一般公共预算财政拨款基本支出情况</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lang w:val="en-US" w:eastAsia="zh-CN"/>
        </w:rPr>
        <w:t xml:space="preserve">    </w:t>
      </w:r>
      <w:r>
        <w:rPr>
          <w:rFonts w:hint="eastAsia" w:ascii="仿宋_GB2312" w:hAnsi="ˎ̥" w:cs="宋体"/>
          <w:sz w:val="32"/>
          <w:szCs w:val="32"/>
        </w:rPr>
        <w:t>2015年度一般公共预算财政拨款基本支出</w:t>
      </w:r>
      <w:r>
        <w:rPr>
          <w:rFonts w:hint="eastAsia" w:ascii="仿宋_GB2312" w:hAnsi="ˎ̥" w:cs="宋体"/>
          <w:sz w:val="32"/>
          <w:szCs w:val="32"/>
          <w:lang w:val="en-US" w:eastAsia="zh-CN"/>
        </w:rPr>
        <w:t>1977.93</w:t>
      </w:r>
      <w:r>
        <w:rPr>
          <w:rFonts w:hint="eastAsia" w:ascii="仿宋_GB2312" w:hAnsi="ˎ̥" w:cs="宋体"/>
          <w:sz w:val="32"/>
          <w:szCs w:val="32"/>
        </w:rPr>
        <w:t>万元。其中：人员经费</w:t>
      </w:r>
      <w:r>
        <w:rPr>
          <w:rFonts w:hint="eastAsia" w:ascii="仿宋_GB2312" w:hAnsi="ˎ̥" w:cs="宋体"/>
          <w:sz w:val="32"/>
          <w:szCs w:val="32"/>
          <w:lang w:val="en-US" w:eastAsia="zh-CN"/>
        </w:rPr>
        <w:t>1736.13</w:t>
      </w:r>
      <w:r>
        <w:rPr>
          <w:rFonts w:hint="eastAsia" w:ascii="仿宋_GB2312" w:hAnsi="ˎ̥" w:cs="宋体"/>
          <w:sz w:val="32"/>
          <w:szCs w:val="32"/>
        </w:rPr>
        <w:t>万元，包括</w:t>
      </w:r>
      <w:r>
        <w:rPr>
          <w:rFonts w:hint="eastAsia" w:ascii="仿宋_GB2312" w:hAnsi="ˎ̥" w:cs="宋体"/>
          <w:sz w:val="32"/>
          <w:szCs w:val="32"/>
          <w:lang w:eastAsia="zh-CN"/>
        </w:rPr>
        <w:t>工资、离退休经费、社保经费等</w:t>
      </w:r>
      <w:r>
        <w:rPr>
          <w:rFonts w:hint="eastAsia" w:ascii="仿宋_GB2312" w:hAnsi="ˎ̥" w:cs="宋体"/>
          <w:sz w:val="32"/>
          <w:szCs w:val="32"/>
        </w:rPr>
        <w:t>；公用经费</w:t>
      </w:r>
      <w:r>
        <w:rPr>
          <w:rFonts w:hint="eastAsia" w:ascii="仿宋_GB2312" w:hAnsi="ˎ̥" w:cs="宋体"/>
          <w:sz w:val="32"/>
          <w:szCs w:val="32"/>
          <w:lang w:val="en-US" w:eastAsia="zh-CN"/>
        </w:rPr>
        <w:t>241.8</w:t>
      </w:r>
      <w:r>
        <w:rPr>
          <w:rFonts w:hint="eastAsia" w:ascii="仿宋_GB2312" w:hAnsi="ˎ̥" w:cs="宋体"/>
          <w:sz w:val="32"/>
          <w:szCs w:val="32"/>
        </w:rPr>
        <w:t>万元，包括</w:t>
      </w:r>
      <w:r>
        <w:rPr>
          <w:rFonts w:hint="eastAsia" w:ascii="仿宋_GB2312" w:hAnsi="ˎ̥" w:cs="宋体"/>
          <w:sz w:val="32"/>
          <w:szCs w:val="32"/>
          <w:lang w:eastAsia="zh-CN"/>
        </w:rPr>
        <w:t>日常公用经费等支出</w:t>
      </w:r>
      <w:r>
        <w:rPr>
          <w:rFonts w:hint="eastAsia" w:ascii="仿宋_GB2312" w:hAnsi="ˎ̥" w:cs="宋体"/>
          <w:sz w:val="32"/>
          <w:szCs w:val="32"/>
        </w:rPr>
        <w:t>。</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（七） “三公”经费决算情况</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1.因公出国（境）费用：根据外事部门安排的因公出国计划和实际工作需要，2015年度因公出国（境）支出</w:t>
      </w:r>
      <w:r>
        <w:rPr>
          <w:rFonts w:hint="eastAsia" w:ascii="仿宋_GB2312" w:hAnsi="ˎ̥" w:cs="宋体"/>
          <w:sz w:val="32"/>
          <w:szCs w:val="32"/>
          <w:lang w:val="en-US" w:eastAsia="zh-CN"/>
        </w:rPr>
        <w:t>69.44</w:t>
      </w:r>
      <w:r>
        <w:rPr>
          <w:rFonts w:hint="eastAsia" w:ascii="仿宋_GB2312" w:hAnsi="ˎ̥" w:cs="宋体"/>
          <w:sz w:val="32"/>
          <w:szCs w:val="32"/>
          <w:lang w:val="zh-CN"/>
        </w:rPr>
        <w:t xml:space="preserve"> </w:t>
      </w:r>
      <w:r>
        <w:rPr>
          <w:rFonts w:hint="eastAsia" w:ascii="仿宋_GB2312" w:hAnsi="ˎ̥" w:cs="宋体"/>
          <w:sz w:val="32"/>
          <w:szCs w:val="32"/>
        </w:rPr>
        <w:t>万元，比上年增长</w:t>
      </w:r>
      <w:r>
        <w:rPr>
          <w:rFonts w:hint="eastAsia" w:ascii="仿宋_GB2312" w:hAnsi="ˎ̥" w:cs="宋体"/>
          <w:sz w:val="32"/>
          <w:szCs w:val="32"/>
          <w:lang w:val="en-US" w:eastAsia="zh-CN"/>
        </w:rPr>
        <w:t>7.99</w:t>
      </w:r>
      <w:r>
        <w:rPr>
          <w:rFonts w:hint="eastAsia" w:ascii="仿宋_GB2312" w:hAnsi="ˎ̥" w:cs="宋体"/>
          <w:sz w:val="32"/>
          <w:szCs w:val="32"/>
        </w:rPr>
        <w:t>%。主要用于机关及下属预算单位人员公务出国（境）的住宿费、国际旅费、培训费、公杂费等支出。增加的主要原因是</w:t>
      </w:r>
      <w:r>
        <w:rPr>
          <w:rFonts w:hint="eastAsia" w:ascii="仿宋_GB2312" w:hAnsi="ˎ̥" w:cs="宋体"/>
          <w:sz w:val="32"/>
          <w:szCs w:val="32"/>
          <w:lang w:eastAsia="zh-CN"/>
        </w:rPr>
        <w:t>我局招商引资、对外投资的任务较重</w:t>
      </w:r>
      <w:r>
        <w:rPr>
          <w:rFonts w:hint="eastAsia" w:ascii="仿宋_GB2312" w:hAnsi="ˎ̥" w:cs="宋体"/>
          <w:sz w:val="32"/>
          <w:szCs w:val="32"/>
        </w:rPr>
        <w:t>。本部门全年组织因公出国(境)团组</w:t>
      </w:r>
      <w:r>
        <w:rPr>
          <w:rFonts w:hint="eastAsia" w:ascii="仿宋_GB2312" w:hAnsi="ˎ̥" w:cs="宋体"/>
          <w:sz w:val="32"/>
          <w:szCs w:val="32"/>
          <w:lang w:val="en-US" w:eastAsia="zh-CN"/>
        </w:rPr>
        <w:t>6</w:t>
      </w:r>
      <w:r>
        <w:rPr>
          <w:rFonts w:hint="eastAsia" w:ascii="仿宋_GB2312" w:hAnsi="ˎ̥" w:cs="宋体"/>
          <w:sz w:val="32"/>
          <w:szCs w:val="32"/>
        </w:rPr>
        <w:t>个；本部门全年因公出国(境)累计</w:t>
      </w:r>
      <w:r>
        <w:rPr>
          <w:rFonts w:hint="eastAsia" w:ascii="仿宋_GB2312" w:hAnsi="ˎ̥" w:cs="宋体"/>
          <w:sz w:val="32"/>
          <w:szCs w:val="32"/>
          <w:lang w:val="en-US" w:eastAsia="zh-CN"/>
        </w:rPr>
        <w:t>23</w:t>
      </w:r>
      <w:r>
        <w:rPr>
          <w:rFonts w:hint="eastAsia" w:ascii="仿宋_GB2312" w:hAnsi="ˎ̥" w:cs="宋体"/>
          <w:sz w:val="32"/>
          <w:szCs w:val="32"/>
        </w:rPr>
        <w:t>人次，较上年增加</w:t>
      </w:r>
      <w:r>
        <w:rPr>
          <w:rFonts w:hint="eastAsia" w:ascii="仿宋_GB2312" w:hAnsi="ˎ̥" w:cs="宋体"/>
          <w:sz w:val="32"/>
          <w:szCs w:val="32"/>
          <w:lang w:val="en-US" w:eastAsia="zh-CN"/>
        </w:rPr>
        <w:t>5</w:t>
      </w:r>
      <w:r>
        <w:rPr>
          <w:rFonts w:hint="eastAsia" w:ascii="仿宋_GB2312" w:hAnsi="ˎ̥" w:cs="宋体"/>
          <w:sz w:val="32"/>
          <w:szCs w:val="32"/>
        </w:rPr>
        <w:t>人次。</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lang w:val="en-US" w:eastAsia="zh-CN"/>
        </w:rPr>
        <w:t>2.</w:t>
      </w:r>
      <w:r>
        <w:rPr>
          <w:rFonts w:hint="eastAsia" w:ascii="仿宋_GB2312" w:hAnsi="ˎ̥" w:cs="宋体"/>
          <w:sz w:val="32"/>
          <w:szCs w:val="32"/>
        </w:rPr>
        <w:t>公务接待费：2015年度公务接待费支出</w:t>
      </w:r>
      <w:r>
        <w:rPr>
          <w:rFonts w:hint="eastAsia" w:ascii="仿宋_GB2312" w:hAnsi="ˎ̥" w:cs="宋体"/>
          <w:sz w:val="32"/>
          <w:szCs w:val="32"/>
          <w:lang w:val="en-US" w:eastAsia="zh-CN"/>
        </w:rPr>
        <w:t>8.39</w:t>
      </w:r>
      <w:r>
        <w:rPr>
          <w:rFonts w:hint="eastAsia" w:ascii="仿宋_GB2312" w:hAnsi="ˎ̥" w:cs="宋体"/>
          <w:sz w:val="32"/>
          <w:szCs w:val="32"/>
        </w:rPr>
        <w:t>万元，比上年决算数下降</w:t>
      </w:r>
      <w:r>
        <w:rPr>
          <w:rFonts w:hint="eastAsia" w:ascii="仿宋_GB2312" w:hAnsi="ˎ̥" w:cs="宋体"/>
          <w:sz w:val="32"/>
          <w:szCs w:val="32"/>
          <w:lang w:val="en-US" w:eastAsia="zh-CN"/>
        </w:rPr>
        <w:t>13.33</w:t>
      </w:r>
      <w:r>
        <w:rPr>
          <w:rFonts w:hint="eastAsia" w:ascii="仿宋_GB2312" w:hAnsi="ˎ̥" w:cs="宋体"/>
          <w:sz w:val="32"/>
          <w:szCs w:val="32"/>
        </w:rPr>
        <w:t>%。主要用于接待</w:t>
      </w:r>
      <w:r>
        <w:rPr>
          <w:rFonts w:hint="eastAsia" w:ascii="仿宋_GB2312" w:hAnsi="ˎ̥" w:cs="宋体"/>
          <w:sz w:val="32"/>
          <w:szCs w:val="32"/>
          <w:lang w:eastAsia="zh-CN"/>
        </w:rPr>
        <w:t>来</w:t>
      </w:r>
      <w:r>
        <w:rPr>
          <w:rFonts w:hint="eastAsia" w:ascii="仿宋_GB2312" w:hAnsi="ˎ̥" w:cs="宋体"/>
          <w:sz w:val="32"/>
          <w:szCs w:val="32"/>
        </w:rPr>
        <w:t>宾、温州市域外单位调研考察等支出。减少的主要原因是</w:t>
      </w:r>
      <w:r>
        <w:rPr>
          <w:rFonts w:hint="eastAsia" w:ascii="仿宋_GB2312" w:hAnsi="ˎ̥" w:cs="宋体"/>
          <w:sz w:val="32"/>
          <w:szCs w:val="32"/>
          <w:lang w:eastAsia="zh-CN"/>
        </w:rPr>
        <w:t>我局进一步规范了公务接待活动，减少了总量的支出</w:t>
      </w:r>
      <w:r>
        <w:rPr>
          <w:rFonts w:hint="eastAsia" w:ascii="仿宋_GB2312" w:hAnsi="ˎ̥" w:cs="宋体"/>
          <w:sz w:val="32"/>
          <w:szCs w:val="32"/>
        </w:rPr>
        <w:t>。其中，本部门国内公务接待</w:t>
      </w:r>
      <w:r>
        <w:rPr>
          <w:rFonts w:hint="eastAsia" w:ascii="仿宋_GB2312" w:hAnsi="ˎ̥" w:cs="宋体"/>
          <w:sz w:val="32"/>
          <w:szCs w:val="32"/>
          <w:lang w:val="en-US" w:eastAsia="zh-CN"/>
        </w:rPr>
        <w:t>75</w:t>
      </w:r>
      <w:r>
        <w:rPr>
          <w:rFonts w:hint="eastAsia" w:ascii="仿宋_GB2312" w:hAnsi="ˎ̥" w:cs="宋体"/>
          <w:sz w:val="32"/>
          <w:szCs w:val="32"/>
        </w:rPr>
        <w:t>批次，</w:t>
      </w:r>
      <w:r>
        <w:rPr>
          <w:rFonts w:hint="eastAsia" w:ascii="仿宋_GB2312" w:hAnsi="ˎ̥" w:cs="宋体"/>
          <w:sz w:val="32"/>
          <w:szCs w:val="32"/>
          <w:lang w:val="en-US" w:eastAsia="zh-CN"/>
        </w:rPr>
        <w:t>588</w:t>
      </w:r>
      <w:r>
        <w:rPr>
          <w:rFonts w:hint="eastAsia" w:ascii="仿宋_GB2312" w:hAnsi="ˎ̥" w:cs="宋体"/>
          <w:sz w:val="32"/>
          <w:szCs w:val="32"/>
        </w:rPr>
        <w:t>人次（不包括陪同人员），支出</w:t>
      </w:r>
      <w:r>
        <w:rPr>
          <w:rFonts w:hint="eastAsia" w:ascii="仿宋_GB2312" w:hAnsi="ˎ̥" w:cs="宋体"/>
          <w:sz w:val="32"/>
          <w:szCs w:val="32"/>
          <w:lang w:val="en-US" w:eastAsia="zh-CN"/>
        </w:rPr>
        <w:t>8.39</w:t>
      </w:r>
      <w:r>
        <w:rPr>
          <w:rFonts w:hint="eastAsia" w:ascii="仿宋_GB2312" w:hAnsi="ˎ̥" w:cs="宋体"/>
          <w:sz w:val="32"/>
          <w:szCs w:val="32"/>
        </w:rPr>
        <w:t>万元；国（境）外事接待</w:t>
      </w:r>
      <w:r>
        <w:rPr>
          <w:rFonts w:hint="eastAsia" w:ascii="仿宋_GB2312" w:hAnsi="ˎ̥" w:cs="宋体"/>
          <w:sz w:val="32"/>
          <w:szCs w:val="32"/>
          <w:lang w:val="en-US" w:eastAsia="zh-CN"/>
        </w:rPr>
        <w:t>0</w:t>
      </w:r>
      <w:r>
        <w:rPr>
          <w:rFonts w:hint="eastAsia" w:ascii="仿宋_GB2312" w:hAnsi="ˎ̥" w:cs="宋体"/>
          <w:sz w:val="32"/>
          <w:szCs w:val="32"/>
        </w:rPr>
        <w:t>批次，</w:t>
      </w:r>
      <w:r>
        <w:rPr>
          <w:rFonts w:hint="eastAsia" w:ascii="仿宋_GB2312" w:hAnsi="ˎ̥" w:cs="宋体"/>
          <w:sz w:val="32"/>
          <w:szCs w:val="32"/>
          <w:lang w:val="en-US" w:eastAsia="zh-CN"/>
        </w:rPr>
        <w:t>0</w:t>
      </w:r>
      <w:r>
        <w:rPr>
          <w:rFonts w:hint="eastAsia" w:ascii="仿宋_GB2312" w:hAnsi="ˎ̥" w:cs="宋体"/>
          <w:sz w:val="32"/>
          <w:szCs w:val="32"/>
        </w:rPr>
        <w:t>人次（不包括陪同人员），支出</w:t>
      </w:r>
      <w:r>
        <w:rPr>
          <w:rFonts w:hint="eastAsia" w:ascii="仿宋_GB2312" w:hAnsi="ˎ̥" w:cs="宋体"/>
          <w:sz w:val="32"/>
          <w:szCs w:val="32"/>
          <w:lang w:val="en-US" w:eastAsia="zh-CN"/>
        </w:rPr>
        <w:t>0</w:t>
      </w:r>
      <w:r>
        <w:rPr>
          <w:rFonts w:hint="eastAsia" w:ascii="仿宋_GB2312" w:hAnsi="ˎ̥" w:cs="宋体"/>
          <w:sz w:val="32"/>
          <w:szCs w:val="32"/>
        </w:rPr>
        <w:t>万元。</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lang w:val="en-US" w:eastAsia="zh-CN"/>
        </w:rPr>
        <w:t>3.2012年我局已车改，公务用车支出数为0.</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lang w:val="en-US" w:eastAsia="zh-CN"/>
        </w:rPr>
        <w:t>4.</w:t>
      </w:r>
      <w:r>
        <w:rPr>
          <w:rFonts w:hint="eastAsia" w:ascii="仿宋_GB2312" w:hAnsi="ˎ̥" w:cs="宋体"/>
          <w:sz w:val="32"/>
          <w:szCs w:val="32"/>
        </w:rPr>
        <w:t>“三公”经费决算小于预算的原因：</w:t>
      </w:r>
      <w:r>
        <w:rPr>
          <w:rFonts w:hint="eastAsia" w:ascii="仿宋_GB2312" w:hAnsi="ˎ̥" w:cs="宋体"/>
          <w:sz w:val="32"/>
          <w:szCs w:val="32"/>
          <w:lang w:eastAsia="zh-CN"/>
        </w:rPr>
        <w:t>我局严格按照八项规定的要求，进一步规范了三公经费的预算、审核与支出</w:t>
      </w:r>
      <w:r>
        <w:rPr>
          <w:rFonts w:hint="eastAsia" w:ascii="仿宋_GB2312" w:hAnsi="ˎ̥" w:cs="宋体"/>
          <w:sz w:val="32"/>
          <w:szCs w:val="32"/>
        </w:rPr>
        <w:t>。</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（八）机关运行经费支出情况</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2015年度</w:t>
      </w:r>
      <w:r>
        <w:rPr>
          <w:rFonts w:hint="eastAsia" w:ascii="仿宋_GB2312" w:hAnsi="ˎ̥" w:cs="宋体"/>
          <w:sz w:val="32"/>
          <w:szCs w:val="32"/>
          <w:lang w:eastAsia="zh-CN"/>
        </w:rPr>
        <w:t>温州市商务局</w:t>
      </w:r>
      <w:r>
        <w:rPr>
          <w:rFonts w:hint="eastAsia" w:ascii="仿宋_GB2312" w:hAnsi="ˎ̥" w:cs="宋体"/>
          <w:sz w:val="32"/>
          <w:szCs w:val="32"/>
        </w:rPr>
        <w:t xml:space="preserve">机关 </w:t>
      </w:r>
      <w:r>
        <w:rPr>
          <w:rFonts w:hint="eastAsia" w:ascii="仿宋_GB2312" w:hAnsi="ˎ̥" w:cs="宋体"/>
          <w:sz w:val="32"/>
          <w:szCs w:val="32"/>
          <w:lang w:val="en-US" w:eastAsia="zh-CN"/>
        </w:rPr>
        <w:t>1</w:t>
      </w:r>
      <w:r>
        <w:rPr>
          <w:rFonts w:hint="eastAsia" w:ascii="仿宋_GB2312" w:hAnsi="ˎ̥" w:cs="宋体"/>
          <w:sz w:val="32"/>
          <w:szCs w:val="32"/>
        </w:rPr>
        <w:t>家行政单位以及的机关运行经费支出</w:t>
      </w:r>
      <w:r>
        <w:rPr>
          <w:rFonts w:hint="eastAsia" w:ascii="仿宋_GB2312" w:hAnsi="ˎ̥" w:cs="宋体"/>
          <w:sz w:val="32"/>
          <w:szCs w:val="32"/>
          <w:lang w:val="en-US" w:eastAsia="zh-CN"/>
        </w:rPr>
        <w:t>216.56</w:t>
      </w:r>
      <w:r>
        <w:rPr>
          <w:rFonts w:hint="eastAsia" w:ascii="仿宋_GB2312" w:hAnsi="ˎ̥" w:cs="宋体"/>
          <w:sz w:val="32"/>
          <w:szCs w:val="32"/>
        </w:rPr>
        <w:t>万元，比上年增加</w:t>
      </w:r>
      <w:r>
        <w:rPr>
          <w:rFonts w:hint="eastAsia" w:ascii="仿宋_GB2312" w:hAnsi="ˎ̥" w:cs="宋体"/>
          <w:sz w:val="32"/>
          <w:szCs w:val="32"/>
          <w:lang w:val="en-US" w:eastAsia="zh-CN"/>
        </w:rPr>
        <w:t>24.77</w:t>
      </w:r>
      <w:r>
        <w:rPr>
          <w:rFonts w:hint="eastAsia" w:ascii="仿宋_GB2312" w:hAnsi="ˎ̥" w:cs="宋体"/>
          <w:sz w:val="32"/>
          <w:szCs w:val="32"/>
        </w:rPr>
        <w:t>万元，增长</w:t>
      </w:r>
      <w:r>
        <w:rPr>
          <w:rFonts w:hint="eastAsia" w:ascii="仿宋_GB2312" w:hAnsi="ˎ̥" w:cs="宋体"/>
          <w:sz w:val="32"/>
          <w:szCs w:val="32"/>
          <w:lang w:val="en-US" w:eastAsia="zh-CN"/>
        </w:rPr>
        <w:t>12.92</w:t>
      </w:r>
      <w:r>
        <w:rPr>
          <w:rFonts w:hint="eastAsia" w:ascii="仿宋_GB2312" w:hAnsi="ˎ̥" w:cs="宋体"/>
          <w:sz w:val="32"/>
          <w:szCs w:val="32"/>
        </w:rPr>
        <w:t>%，主要原因是</w:t>
      </w:r>
      <w:r>
        <w:rPr>
          <w:rFonts w:hint="eastAsia" w:ascii="仿宋_GB2312" w:hAnsi="ˎ̥" w:cs="宋体"/>
          <w:sz w:val="32"/>
          <w:szCs w:val="32"/>
          <w:lang w:eastAsia="zh-CN"/>
        </w:rPr>
        <w:t>我局</w:t>
      </w:r>
      <w:r>
        <w:rPr>
          <w:rFonts w:hint="eastAsia" w:ascii="仿宋_GB2312" w:hAnsi="ˎ̥" w:cs="宋体"/>
          <w:sz w:val="32"/>
          <w:szCs w:val="32"/>
          <w:lang w:val="en-US" w:eastAsia="zh-CN"/>
        </w:rPr>
        <w:t>2015年工作任务较重差旅费增加较多，另2015年相比2014年我局人员有增加，相应公用支出也有所增加。</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（九）政府采购情况（无发生，也需说明）</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2015年度</w:t>
      </w:r>
      <w:r>
        <w:rPr>
          <w:rFonts w:hint="eastAsia" w:ascii="仿宋_GB2312" w:hAnsi="ˎ̥" w:cs="宋体"/>
          <w:sz w:val="32"/>
          <w:szCs w:val="32"/>
          <w:lang w:eastAsia="zh-CN"/>
        </w:rPr>
        <w:t>温州市商务局</w:t>
      </w:r>
      <w:r>
        <w:rPr>
          <w:rFonts w:hint="eastAsia" w:ascii="仿宋_GB2312" w:hAnsi="ˎ̥" w:cs="宋体"/>
          <w:sz w:val="32"/>
          <w:szCs w:val="32"/>
        </w:rPr>
        <w:t>本级及所属各预算单位政府采购预算</w:t>
      </w:r>
      <w:r>
        <w:rPr>
          <w:rFonts w:hint="eastAsia" w:ascii="仿宋_GB2312" w:hAnsi="ˎ̥" w:cs="宋体"/>
          <w:sz w:val="32"/>
          <w:szCs w:val="32"/>
          <w:lang w:val="en-US" w:eastAsia="zh-CN"/>
        </w:rPr>
        <w:t>1839.9</w:t>
      </w:r>
      <w:r>
        <w:rPr>
          <w:rFonts w:hint="eastAsia" w:ascii="仿宋_GB2312" w:hAnsi="ˎ̥" w:cs="宋体"/>
          <w:sz w:val="32"/>
          <w:szCs w:val="32"/>
        </w:rPr>
        <w:t>万元，采购支出总额</w:t>
      </w:r>
      <w:r>
        <w:rPr>
          <w:rFonts w:hint="eastAsia" w:ascii="仿宋_GB2312" w:hAnsi="ˎ̥" w:cs="宋体"/>
          <w:sz w:val="32"/>
          <w:szCs w:val="32"/>
          <w:lang w:val="en-US" w:eastAsia="zh-CN"/>
        </w:rPr>
        <w:t>1725.98</w:t>
      </w:r>
      <w:r>
        <w:rPr>
          <w:rFonts w:hint="eastAsia" w:ascii="仿宋_GB2312" w:hAnsi="ˎ̥" w:cs="宋体"/>
          <w:sz w:val="32"/>
          <w:szCs w:val="32"/>
        </w:rPr>
        <w:t>万元。其中：货物采购预算</w:t>
      </w:r>
      <w:r>
        <w:rPr>
          <w:rFonts w:hint="eastAsia" w:ascii="仿宋_GB2312" w:hAnsi="ˎ̥" w:cs="宋体"/>
          <w:sz w:val="32"/>
          <w:szCs w:val="32"/>
          <w:lang w:val="en-US" w:eastAsia="zh-CN"/>
        </w:rPr>
        <w:t>4.3</w:t>
      </w:r>
      <w:r>
        <w:rPr>
          <w:rFonts w:hint="eastAsia" w:ascii="仿宋_GB2312" w:hAnsi="ˎ̥" w:cs="宋体"/>
          <w:sz w:val="32"/>
          <w:szCs w:val="32"/>
        </w:rPr>
        <w:t>万元，采购支出</w:t>
      </w:r>
      <w:r>
        <w:rPr>
          <w:rFonts w:hint="eastAsia" w:ascii="仿宋_GB2312" w:hAnsi="ˎ̥" w:cs="宋体"/>
          <w:sz w:val="32"/>
          <w:szCs w:val="32"/>
          <w:lang w:val="en-US" w:eastAsia="zh-CN"/>
        </w:rPr>
        <w:t>4.15</w:t>
      </w:r>
      <w:r>
        <w:rPr>
          <w:rFonts w:hint="eastAsia" w:ascii="仿宋_GB2312" w:hAnsi="ˎ̥" w:cs="宋体"/>
          <w:sz w:val="32"/>
          <w:szCs w:val="32"/>
        </w:rPr>
        <w:t>万元；工程采购预算</w:t>
      </w:r>
      <w:r>
        <w:rPr>
          <w:rFonts w:hint="eastAsia" w:ascii="仿宋_GB2312" w:hAnsi="ˎ̥" w:cs="宋体"/>
          <w:sz w:val="32"/>
          <w:szCs w:val="32"/>
          <w:lang w:val="en-US" w:eastAsia="zh-CN"/>
        </w:rPr>
        <w:t>49.8</w:t>
      </w:r>
      <w:r>
        <w:rPr>
          <w:rFonts w:hint="eastAsia" w:ascii="仿宋_GB2312" w:hAnsi="ˎ̥" w:cs="宋体"/>
          <w:sz w:val="32"/>
          <w:szCs w:val="32"/>
        </w:rPr>
        <w:t>万元，采购支出</w:t>
      </w:r>
      <w:r>
        <w:rPr>
          <w:rFonts w:hint="eastAsia" w:ascii="仿宋_GB2312" w:hAnsi="ˎ̥" w:cs="宋体"/>
          <w:sz w:val="32"/>
          <w:szCs w:val="32"/>
          <w:lang w:val="en-US" w:eastAsia="zh-CN"/>
        </w:rPr>
        <w:t>47</w:t>
      </w:r>
      <w:r>
        <w:rPr>
          <w:rFonts w:hint="eastAsia" w:ascii="仿宋_GB2312" w:hAnsi="ˎ̥" w:cs="宋体"/>
          <w:sz w:val="32"/>
          <w:szCs w:val="32"/>
        </w:rPr>
        <w:t>万元；服务采购预算</w:t>
      </w:r>
      <w:r>
        <w:rPr>
          <w:rFonts w:hint="eastAsia" w:ascii="仿宋_GB2312" w:hAnsi="ˎ̥" w:cs="宋体"/>
          <w:sz w:val="32"/>
          <w:szCs w:val="32"/>
          <w:lang w:val="en-US" w:eastAsia="zh-CN"/>
        </w:rPr>
        <w:t>1785.8</w:t>
      </w:r>
      <w:r>
        <w:rPr>
          <w:rFonts w:hint="eastAsia" w:ascii="仿宋_GB2312" w:hAnsi="ˎ̥" w:cs="宋体"/>
          <w:sz w:val="32"/>
          <w:szCs w:val="32"/>
        </w:rPr>
        <w:t>万元，采购支出</w:t>
      </w:r>
      <w:r>
        <w:rPr>
          <w:rFonts w:hint="eastAsia" w:ascii="仿宋_GB2312" w:hAnsi="ˎ̥" w:cs="宋体"/>
          <w:sz w:val="32"/>
          <w:szCs w:val="32"/>
          <w:lang w:val="en-US" w:eastAsia="zh-CN"/>
        </w:rPr>
        <w:t>1725.98</w:t>
      </w:r>
      <w:r>
        <w:rPr>
          <w:rFonts w:hint="eastAsia" w:ascii="仿宋_GB2312" w:hAnsi="ˎ̥" w:cs="宋体"/>
          <w:sz w:val="32"/>
          <w:szCs w:val="32"/>
        </w:rPr>
        <w:t>万元。采购支出小于采购预算的主要原因是：</w:t>
      </w:r>
      <w:r>
        <w:rPr>
          <w:rFonts w:hint="eastAsia" w:ascii="仿宋_GB2312" w:hAnsi="ˎ̥" w:cs="宋体"/>
          <w:sz w:val="32"/>
          <w:szCs w:val="32"/>
          <w:lang w:eastAsia="zh-CN"/>
        </w:rPr>
        <w:t>我局有跨年度支付项目</w:t>
      </w:r>
      <w:r>
        <w:rPr>
          <w:rFonts w:hint="eastAsia" w:ascii="仿宋_GB2312" w:hAnsi="ˎ̥" w:cs="宋体"/>
          <w:sz w:val="32"/>
          <w:szCs w:val="32"/>
        </w:rPr>
        <w:t>。</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（十）国有资产占用情况</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截</w:t>
      </w:r>
      <w:r>
        <w:rPr>
          <w:rFonts w:hint="eastAsia" w:ascii="仿宋_GB2312" w:hAnsi="ˎ̥" w:cs="宋体"/>
          <w:sz w:val="32"/>
          <w:szCs w:val="32"/>
          <w:lang w:eastAsia="zh-CN"/>
        </w:rPr>
        <w:t>至</w:t>
      </w:r>
      <w:bookmarkStart w:id="1" w:name="_GoBack"/>
      <w:bookmarkEnd w:id="1"/>
      <w:r>
        <w:rPr>
          <w:rFonts w:hint="eastAsia" w:ascii="仿宋_GB2312" w:hAnsi="ˎ̥" w:cs="宋体"/>
          <w:sz w:val="32"/>
          <w:szCs w:val="32"/>
        </w:rPr>
        <w:t>2015年底，</w:t>
      </w:r>
      <w:r>
        <w:rPr>
          <w:rFonts w:hint="eastAsia" w:ascii="仿宋_GB2312" w:hAnsi="ˎ̥" w:cs="宋体"/>
          <w:sz w:val="32"/>
          <w:szCs w:val="32"/>
          <w:lang w:eastAsia="zh-CN"/>
        </w:rPr>
        <w:t>温州市商务局</w:t>
      </w:r>
      <w:r>
        <w:rPr>
          <w:rFonts w:hint="eastAsia" w:ascii="仿宋_GB2312" w:hAnsi="ˎ̥" w:cs="宋体"/>
          <w:sz w:val="32"/>
          <w:szCs w:val="32"/>
        </w:rPr>
        <w:t>本级及所属各预算单位资产合计</w:t>
      </w:r>
      <w:r>
        <w:rPr>
          <w:rFonts w:hint="eastAsia" w:ascii="仿宋_GB2312" w:hAnsi="ˎ̥" w:cs="宋体"/>
          <w:sz w:val="32"/>
          <w:szCs w:val="32"/>
          <w:lang w:val="en-US" w:eastAsia="zh-CN"/>
        </w:rPr>
        <w:t>3457.02</w:t>
      </w:r>
      <w:r>
        <w:rPr>
          <w:rFonts w:hint="eastAsia" w:ascii="仿宋_GB2312" w:hAnsi="ˎ̥" w:cs="宋体"/>
          <w:sz w:val="32"/>
          <w:szCs w:val="32"/>
        </w:rPr>
        <w:t>万元，比上年增长</w:t>
      </w:r>
      <w:r>
        <w:rPr>
          <w:rFonts w:hint="eastAsia" w:ascii="仿宋_GB2312" w:hAnsi="ˎ̥" w:cs="宋体"/>
          <w:sz w:val="32"/>
          <w:szCs w:val="32"/>
          <w:lang w:val="en-US" w:eastAsia="zh-CN"/>
        </w:rPr>
        <w:t>12.43</w:t>
      </w:r>
      <w:r>
        <w:rPr>
          <w:rFonts w:hint="eastAsia" w:ascii="仿宋_GB2312" w:hAnsi="ˎ̥" w:cs="宋体"/>
          <w:sz w:val="32"/>
          <w:szCs w:val="32"/>
        </w:rPr>
        <w:t>%，主要原因是</w:t>
      </w:r>
      <w:r>
        <w:rPr>
          <w:rFonts w:hint="eastAsia" w:ascii="仿宋_GB2312" w:hAnsi="ˎ̥" w:cs="宋体"/>
          <w:sz w:val="32"/>
          <w:szCs w:val="32"/>
          <w:lang w:eastAsia="zh-CN"/>
        </w:rPr>
        <w:t>我局交易会资金结余增加及外贸协会清算后固定资产移交我局</w:t>
      </w:r>
      <w:r>
        <w:rPr>
          <w:rFonts w:hint="eastAsia" w:ascii="仿宋_GB2312" w:hAnsi="ˎ̥" w:cs="宋体"/>
          <w:sz w:val="32"/>
          <w:szCs w:val="32"/>
        </w:rPr>
        <w:t>。其中：流动资产</w:t>
      </w:r>
      <w:r>
        <w:rPr>
          <w:rFonts w:hint="eastAsia" w:ascii="仿宋_GB2312" w:hAnsi="ˎ̥" w:cs="宋体"/>
          <w:sz w:val="32"/>
          <w:szCs w:val="32"/>
          <w:lang w:val="en-US" w:eastAsia="zh-CN"/>
        </w:rPr>
        <w:t>1986.91</w:t>
      </w:r>
      <w:r>
        <w:rPr>
          <w:rFonts w:hint="eastAsia" w:ascii="仿宋_GB2312" w:hAnsi="ˎ̥" w:cs="宋体"/>
          <w:sz w:val="32"/>
          <w:szCs w:val="32"/>
        </w:rPr>
        <w:t>万元，占总资产的</w:t>
      </w:r>
      <w:r>
        <w:rPr>
          <w:rFonts w:hint="eastAsia" w:ascii="仿宋_GB2312" w:hAnsi="ˎ̥" w:cs="宋体"/>
          <w:sz w:val="32"/>
          <w:szCs w:val="32"/>
          <w:lang w:val="en-US" w:eastAsia="zh-CN"/>
        </w:rPr>
        <w:t>57.47</w:t>
      </w:r>
      <w:r>
        <w:rPr>
          <w:rFonts w:hint="eastAsia" w:ascii="仿宋_GB2312" w:hAnsi="ˎ̥" w:cs="宋体"/>
          <w:sz w:val="32"/>
          <w:szCs w:val="32"/>
        </w:rPr>
        <w:t>%；固定资产</w:t>
      </w:r>
      <w:r>
        <w:rPr>
          <w:rFonts w:hint="eastAsia" w:ascii="仿宋_GB2312" w:hAnsi="ˎ̥" w:cs="宋体"/>
          <w:sz w:val="32"/>
          <w:szCs w:val="32"/>
          <w:lang w:val="en-US" w:eastAsia="zh-CN"/>
        </w:rPr>
        <w:t>1470.11</w:t>
      </w:r>
      <w:r>
        <w:rPr>
          <w:rFonts w:hint="eastAsia" w:ascii="仿宋_GB2312" w:hAnsi="ˎ̥" w:cs="宋体"/>
          <w:sz w:val="32"/>
          <w:szCs w:val="32"/>
        </w:rPr>
        <w:t>万元，占总资产的</w:t>
      </w:r>
      <w:r>
        <w:rPr>
          <w:rFonts w:hint="eastAsia" w:ascii="仿宋_GB2312" w:hAnsi="ˎ̥" w:cs="宋体"/>
          <w:sz w:val="32"/>
          <w:szCs w:val="32"/>
          <w:lang w:val="en-US" w:eastAsia="zh-CN"/>
        </w:rPr>
        <w:t>42.53</w:t>
      </w:r>
      <w:r>
        <w:rPr>
          <w:rFonts w:hint="eastAsia" w:ascii="仿宋_GB2312" w:hAnsi="ˎ̥" w:cs="宋体"/>
          <w:sz w:val="32"/>
          <w:szCs w:val="32"/>
        </w:rPr>
        <w:t>%；在建工程</w:t>
      </w:r>
      <w:r>
        <w:rPr>
          <w:rFonts w:hint="eastAsia" w:ascii="仿宋_GB2312" w:hAnsi="ˎ̥" w:cs="宋体"/>
          <w:sz w:val="32"/>
          <w:szCs w:val="32"/>
          <w:lang w:val="en-US" w:eastAsia="zh-CN"/>
        </w:rPr>
        <w:t>0</w:t>
      </w:r>
      <w:r>
        <w:rPr>
          <w:rFonts w:hint="eastAsia" w:ascii="仿宋_GB2312" w:hAnsi="ˎ̥" w:cs="宋体"/>
          <w:sz w:val="32"/>
          <w:szCs w:val="32"/>
        </w:rPr>
        <w:t>万元，占总资产的</w:t>
      </w:r>
      <w:r>
        <w:rPr>
          <w:rFonts w:hint="eastAsia" w:ascii="仿宋_GB2312" w:hAnsi="ˎ̥" w:cs="宋体"/>
          <w:sz w:val="32"/>
          <w:szCs w:val="32"/>
          <w:lang w:val="en-US" w:eastAsia="zh-CN"/>
        </w:rPr>
        <w:t>0</w:t>
      </w:r>
      <w:r>
        <w:rPr>
          <w:rFonts w:hint="eastAsia" w:ascii="仿宋_GB2312" w:hAnsi="ˎ̥" w:cs="宋体"/>
          <w:sz w:val="32"/>
          <w:szCs w:val="32"/>
        </w:rPr>
        <w:t>%。固定资产含：车辆</w:t>
      </w:r>
      <w:r>
        <w:rPr>
          <w:rFonts w:hint="eastAsia" w:ascii="仿宋_GB2312" w:hAnsi="ˎ̥" w:cs="宋体"/>
          <w:sz w:val="32"/>
          <w:szCs w:val="32"/>
          <w:lang w:val="en-US" w:eastAsia="zh-CN"/>
        </w:rPr>
        <w:t>8</w:t>
      </w:r>
      <w:r>
        <w:rPr>
          <w:rFonts w:hint="eastAsia" w:ascii="仿宋_GB2312" w:hAnsi="ˎ̥" w:cs="宋体"/>
          <w:sz w:val="32"/>
          <w:szCs w:val="32"/>
        </w:rPr>
        <w:t>辆，其中一般公务用车</w:t>
      </w:r>
      <w:r>
        <w:rPr>
          <w:rFonts w:hint="eastAsia" w:ascii="仿宋_GB2312" w:hAnsi="ˎ̥" w:cs="宋体"/>
          <w:sz w:val="32"/>
          <w:szCs w:val="32"/>
          <w:lang w:val="en-US" w:eastAsia="zh-CN"/>
        </w:rPr>
        <w:t>0</w:t>
      </w:r>
      <w:r>
        <w:rPr>
          <w:rFonts w:hint="eastAsia" w:ascii="仿宋_GB2312" w:hAnsi="ˎ̥" w:cs="宋体"/>
          <w:sz w:val="32"/>
          <w:szCs w:val="32"/>
        </w:rPr>
        <w:t>辆、一般执法执勤用车</w:t>
      </w:r>
      <w:r>
        <w:rPr>
          <w:rFonts w:hint="eastAsia" w:ascii="仿宋_GB2312" w:hAnsi="ˎ̥" w:cs="宋体"/>
          <w:sz w:val="32"/>
          <w:szCs w:val="32"/>
          <w:lang w:val="en-US" w:eastAsia="zh-CN"/>
        </w:rPr>
        <w:t>0</w:t>
      </w:r>
      <w:r>
        <w:rPr>
          <w:rFonts w:hint="eastAsia" w:ascii="仿宋_GB2312" w:hAnsi="ˎ̥" w:cs="宋体"/>
          <w:sz w:val="32"/>
          <w:szCs w:val="32"/>
        </w:rPr>
        <w:t>辆、特种专业技术用车</w:t>
      </w:r>
      <w:r>
        <w:rPr>
          <w:rFonts w:hint="eastAsia" w:ascii="仿宋_GB2312" w:hAnsi="ˎ̥" w:cs="宋体"/>
          <w:sz w:val="32"/>
          <w:szCs w:val="32"/>
          <w:lang w:val="en-US" w:eastAsia="zh-CN"/>
        </w:rPr>
        <w:t>0</w:t>
      </w:r>
      <w:r>
        <w:rPr>
          <w:rFonts w:hint="eastAsia" w:ascii="仿宋_GB2312" w:hAnsi="ˎ̥" w:cs="宋体"/>
          <w:sz w:val="32"/>
          <w:szCs w:val="32"/>
        </w:rPr>
        <w:t>辆、其他用车</w:t>
      </w:r>
      <w:r>
        <w:rPr>
          <w:rFonts w:hint="eastAsia" w:ascii="仿宋_GB2312" w:hAnsi="ˎ̥" w:cs="宋体"/>
          <w:sz w:val="32"/>
          <w:szCs w:val="32"/>
          <w:lang w:val="en-US" w:eastAsia="zh-CN"/>
        </w:rPr>
        <w:t>8</w:t>
      </w:r>
      <w:r>
        <w:rPr>
          <w:rFonts w:hint="eastAsia" w:ascii="仿宋_GB2312" w:hAnsi="ˎ̥" w:cs="宋体"/>
          <w:sz w:val="32"/>
          <w:szCs w:val="32"/>
        </w:rPr>
        <w:t>辆，</w:t>
      </w:r>
      <w:r>
        <w:rPr>
          <w:rFonts w:hint="eastAsia" w:ascii="仿宋_GB2312" w:hAnsi="ˎ̥" w:cs="宋体"/>
          <w:sz w:val="32"/>
          <w:szCs w:val="32"/>
          <w:lang w:eastAsia="zh-CN"/>
        </w:rPr>
        <w:t>我局</w:t>
      </w:r>
      <w:r>
        <w:rPr>
          <w:rFonts w:hint="eastAsia" w:ascii="仿宋_GB2312" w:hAnsi="ˎ̥" w:cs="宋体"/>
          <w:sz w:val="32"/>
          <w:szCs w:val="32"/>
          <w:lang w:val="en-US" w:eastAsia="zh-CN"/>
        </w:rPr>
        <w:t>2012年6月完成车辆改革工作，所有车辆实物已移交</w:t>
      </w:r>
      <w:r>
        <w:rPr>
          <w:rFonts w:hint="eastAsia" w:ascii="仿宋_GB2312" w:hAnsi="ˎ̥" w:cs="宋体"/>
          <w:sz w:val="32"/>
          <w:szCs w:val="32"/>
        </w:rPr>
        <w:t>；单位价值200万元（含）以上设备</w:t>
      </w:r>
      <w:r>
        <w:rPr>
          <w:rFonts w:hint="eastAsia" w:ascii="仿宋_GB2312" w:hAnsi="ˎ̥" w:cs="宋体"/>
          <w:sz w:val="32"/>
          <w:szCs w:val="32"/>
          <w:lang w:val="en-US" w:eastAsia="zh-CN"/>
        </w:rPr>
        <w:t>0</w:t>
      </w:r>
      <w:r>
        <w:rPr>
          <w:rFonts w:hint="eastAsia" w:ascii="仿宋_GB2312" w:hAnsi="ˎ̥" w:cs="宋体"/>
          <w:sz w:val="32"/>
          <w:szCs w:val="32"/>
        </w:rPr>
        <w:t>套（台）。</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（十一）绩效评价结果情况（</w:t>
      </w:r>
      <w:r>
        <w:rPr>
          <w:rFonts w:hint="eastAsia" w:ascii="仿宋_GB2312" w:hAnsi="ˎ̥" w:cs="宋体"/>
          <w:sz w:val="32"/>
          <w:szCs w:val="32"/>
          <w:lang w:eastAsia="zh-CN"/>
        </w:rPr>
        <w:t>现市财政绩效管理部门处于打分评定阶段</w:t>
      </w:r>
      <w:r>
        <w:rPr>
          <w:rFonts w:hint="eastAsia" w:ascii="仿宋_GB2312" w:hAnsi="ˎ̥" w:cs="宋体"/>
          <w:sz w:val="32"/>
          <w:szCs w:val="32"/>
        </w:rPr>
        <w:t>）</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2015年度本部门实施支出绩效评价的项目   个，支出金额  万元。其中：被评为优秀的项目   个，分别是：***,支出   万元；***,支出   万元；…..。被评为良好的项目   个，分别是：***,支出   万元；***,支出   万元；…..。被评为一般的项目   个，分别是***,支出   万元；***,支出   万元；…..。被评为较差的项目   个，分别是：***,支出   万元；***,支出   万元；…..。</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（十二）其他需要公开的事项</w:t>
      </w:r>
    </w:p>
    <w:p>
      <w:pPr>
        <w:spacing w:line="640" w:lineRule="exact"/>
        <w:ind w:firstLine="640" w:firstLineChars="200"/>
        <w:rPr>
          <w:rFonts w:hint="eastAsia" w:ascii="仿宋_GB2312" w:hAnsi="ˎ̥" w:cs="宋体"/>
          <w:sz w:val="32"/>
          <w:szCs w:val="32"/>
          <w:lang w:val="en-US" w:eastAsia="zh-CN"/>
        </w:rPr>
      </w:pPr>
      <w:r>
        <w:rPr>
          <w:rFonts w:hint="eastAsia" w:ascii="仿宋_GB2312" w:hAnsi="ˎ̥" w:cs="宋体"/>
          <w:sz w:val="32"/>
          <w:szCs w:val="32"/>
          <w:lang w:val="en-US" w:eastAsia="zh-CN"/>
        </w:rPr>
        <w:t xml:space="preserve">     无</w:t>
      </w:r>
    </w:p>
    <w:p>
      <w:pPr>
        <w:spacing w:line="600" w:lineRule="exact"/>
        <w:ind w:firstLine="640" w:firstLineChars="200"/>
        <w:rPr>
          <w:rFonts w:ascii="黑体" w:eastAsia="黑体"/>
          <w:bCs/>
          <w:sz w:val="32"/>
          <w:szCs w:val="32"/>
        </w:rPr>
      </w:pPr>
      <w:r>
        <w:rPr>
          <w:rFonts w:hint="eastAsia" w:ascii="黑体" w:hAnsi="Times New Roman" w:eastAsia="黑体" w:cs="黑体"/>
          <w:color w:val="000000"/>
          <w:sz w:val="32"/>
          <w:szCs w:val="32"/>
        </w:rPr>
        <w:t>四、名词解释</w:t>
      </w:r>
      <w:r>
        <w:rPr>
          <w:rFonts w:hint="eastAsia" w:ascii="仿宋_GB2312" w:hAnsi="仿宋_GB2312" w:eastAsia="仿宋_GB2312"/>
          <w:b/>
          <w:sz w:val="32"/>
          <w:szCs w:val="32"/>
        </w:rPr>
        <w:t>（所列具体项目由各部门按本部门情况有选择使用）</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1.财政拨款收入：从同级财政部门取得的财政预算资金，包括公共预算财政拨款和政府性基金预算财政拨款。</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2. 事业单位专户资金收入：从同级财政部门取得的财政专户管理资金。</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3.事业收入：事业单位开展专业业务活动及辅助活动所取得的收入，不含财政专户管理资金收入。</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4.经营收入：事业单位在专业业务活动及辅助活动之外开展非独立核算经营活动取得的收入。</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5.其他收入：预算单位在“财政拨款、事业收入（财政专户管理资金收入）、经营收入”等之外取得的各项收入（含上级补助收入和附属单位缴款等收入）。</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6.用事业基金弥补收支差额：事业单位在当年收入不足以安排当年支出情况下，使用以前年度积累的事业基金弥补本年收支缺口的资金。</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7.上年结转：预算单位以前年度的收入预算未执行完毕，需结转本年度继续使用的结转资金，以及以前年度收支相抵后的盈余或亏损结余资金。</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8.结余分配：事业单位按照国家规定应交所得税和提取事业基金、专用基金的分配情况和结果。</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9.结转下年：预算单位本年底前的收入预算未执行完毕，需结转下年度按照原用途继续使用的结转资金，以及本年底前收支相抵后盈余或亏损的结余资金。</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10.基本支出：是预算单位为保障其正常运转，完成日常工作任务所发生的支出，包括人员支出和日常公用支出。</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11.项目支出：是预算单位为完成其特定的行政工作任务或事业发展目标所发生的支出。</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12.因公出国（境）费用：反映单位公务出国（境）的国际旅费、国外城市间交通费、住宿费、伙食费、培训费、公杂费等支出。</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13.公务接待费：反映单位按规定开支的各类公务接待（含外宾接待）费用。</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14.公务用车购置：反映公务用车车辆购置支出（含车辆购置税）。</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15.公务用车运行维护费：反映公务用车租用费、燃料费、维修费、过桥过路费、保险费、安全奖励费用等支出。</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17.流动资产：是指一年以内变现或耗用的资产，包括库存现金、银行存款、零余额用款额度、财政应返还额度、应收及预付款项、存货等。</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18.固定资产：是指使用期限超过1年（不含1年），单位价值在规定标准以上，并且在使用过程中基本保持原有物质形态的资产。</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19.在建工程：是指单位已经发生必要支出，但尚未完工交付使用的各种建筑（包括新建、改建、扩建、修缮等）、设备安装工程和信息系统建设工程。</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20.无形资产：是指不具有实物形态而能为单位提供某种权利的非货币性资产。包括计算机软件、土地使用权、著作权、专利权、非专利技术等。</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21. XX（类）XX（款）XX（项）：指……。（功能分类科目解释）</w:t>
      </w:r>
    </w:p>
    <w:p>
      <w:pPr>
        <w:spacing w:line="640" w:lineRule="exact"/>
        <w:ind w:firstLine="640" w:firstLineChars="200"/>
        <w:rPr>
          <w:rFonts w:hint="eastAsia" w:ascii="仿宋_GB2312" w:hAnsi="ˎ̥" w:cs="宋体"/>
          <w:sz w:val="32"/>
          <w:szCs w:val="32"/>
        </w:rPr>
      </w:pPr>
      <w:r>
        <w:rPr>
          <w:rFonts w:hint="eastAsia" w:ascii="仿宋_GB2312" w:hAnsi="ˎ̥" w:cs="宋体"/>
          <w:sz w:val="32"/>
          <w:szCs w:val="32"/>
        </w:rPr>
        <w:t>22. XX（类）XX（款）XX（项）：指……。</w:t>
      </w:r>
    </w:p>
    <w:sectPr>
      <w:headerReference r:id="rId3" w:type="default"/>
      <w:footerReference r:id="rId4"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0B"/>
    <w:rsid w:val="00046671"/>
    <w:rsid w:val="00053EFE"/>
    <w:rsid w:val="00064128"/>
    <w:rsid w:val="000651D8"/>
    <w:rsid w:val="000E188B"/>
    <w:rsid w:val="000F6A4F"/>
    <w:rsid w:val="00120CDC"/>
    <w:rsid w:val="00176822"/>
    <w:rsid w:val="0018273E"/>
    <w:rsid w:val="00184183"/>
    <w:rsid w:val="001902D7"/>
    <w:rsid w:val="00190775"/>
    <w:rsid w:val="001920D4"/>
    <w:rsid w:val="001D5629"/>
    <w:rsid w:val="001E74C5"/>
    <w:rsid w:val="00214241"/>
    <w:rsid w:val="00221B85"/>
    <w:rsid w:val="002738A3"/>
    <w:rsid w:val="00294E07"/>
    <w:rsid w:val="002A7BA1"/>
    <w:rsid w:val="002E00D5"/>
    <w:rsid w:val="00330A19"/>
    <w:rsid w:val="00342CD2"/>
    <w:rsid w:val="0034725A"/>
    <w:rsid w:val="00371925"/>
    <w:rsid w:val="0038512D"/>
    <w:rsid w:val="00386388"/>
    <w:rsid w:val="0038715C"/>
    <w:rsid w:val="003A4B20"/>
    <w:rsid w:val="003A6FA2"/>
    <w:rsid w:val="003B0DD8"/>
    <w:rsid w:val="003D5271"/>
    <w:rsid w:val="003F53B9"/>
    <w:rsid w:val="004044EE"/>
    <w:rsid w:val="00420D41"/>
    <w:rsid w:val="004614FB"/>
    <w:rsid w:val="00482F4B"/>
    <w:rsid w:val="00493E30"/>
    <w:rsid w:val="004C62D1"/>
    <w:rsid w:val="004D09A8"/>
    <w:rsid w:val="004E0E8D"/>
    <w:rsid w:val="004F1790"/>
    <w:rsid w:val="004F2CCF"/>
    <w:rsid w:val="004F54CB"/>
    <w:rsid w:val="00514AEC"/>
    <w:rsid w:val="00515175"/>
    <w:rsid w:val="005174AB"/>
    <w:rsid w:val="00586939"/>
    <w:rsid w:val="00595EAD"/>
    <w:rsid w:val="005B180D"/>
    <w:rsid w:val="005E3140"/>
    <w:rsid w:val="00604C57"/>
    <w:rsid w:val="0061194C"/>
    <w:rsid w:val="006405C2"/>
    <w:rsid w:val="00685EAF"/>
    <w:rsid w:val="0069528E"/>
    <w:rsid w:val="006970D0"/>
    <w:rsid w:val="006C34A6"/>
    <w:rsid w:val="006D6A2F"/>
    <w:rsid w:val="007079F8"/>
    <w:rsid w:val="00746CBE"/>
    <w:rsid w:val="007B0FA4"/>
    <w:rsid w:val="007B33DE"/>
    <w:rsid w:val="007C44E9"/>
    <w:rsid w:val="007D348B"/>
    <w:rsid w:val="00822CEF"/>
    <w:rsid w:val="008346BD"/>
    <w:rsid w:val="00881F0B"/>
    <w:rsid w:val="00887089"/>
    <w:rsid w:val="00893EDB"/>
    <w:rsid w:val="008C2CF4"/>
    <w:rsid w:val="008E54B4"/>
    <w:rsid w:val="008F1E0E"/>
    <w:rsid w:val="009125B1"/>
    <w:rsid w:val="00951A76"/>
    <w:rsid w:val="00982B21"/>
    <w:rsid w:val="009B570B"/>
    <w:rsid w:val="009D180F"/>
    <w:rsid w:val="00A0740C"/>
    <w:rsid w:val="00A34BA9"/>
    <w:rsid w:val="00A71EB2"/>
    <w:rsid w:val="00AC012E"/>
    <w:rsid w:val="00AF2F79"/>
    <w:rsid w:val="00AF77F1"/>
    <w:rsid w:val="00B5679A"/>
    <w:rsid w:val="00BB1A58"/>
    <w:rsid w:val="00BC6167"/>
    <w:rsid w:val="00BF7B7E"/>
    <w:rsid w:val="00C03C0A"/>
    <w:rsid w:val="00C362CE"/>
    <w:rsid w:val="00C450CC"/>
    <w:rsid w:val="00C5682A"/>
    <w:rsid w:val="00CD3F92"/>
    <w:rsid w:val="00CD70CB"/>
    <w:rsid w:val="00CE47C0"/>
    <w:rsid w:val="00D366CD"/>
    <w:rsid w:val="00D81005"/>
    <w:rsid w:val="00D82028"/>
    <w:rsid w:val="00D82442"/>
    <w:rsid w:val="00D878BC"/>
    <w:rsid w:val="00DA64A4"/>
    <w:rsid w:val="00DE1E92"/>
    <w:rsid w:val="00DE4BF0"/>
    <w:rsid w:val="00DF4F09"/>
    <w:rsid w:val="00E0018C"/>
    <w:rsid w:val="00E11F7A"/>
    <w:rsid w:val="00E2537B"/>
    <w:rsid w:val="00E3509E"/>
    <w:rsid w:val="00E71FA7"/>
    <w:rsid w:val="00EB6701"/>
    <w:rsid w:val="00EB7242"/>
    <w:rsid w:val="00EF3F12"/>
    <w:rsid w:val="00F20479"/>
    <w:rsid w:val="00F20E78"/>
    <w:rsid w:val="00F96E70"/>
    <w:rsid w:val="00F97ACF"/>
    <w:rsid w:val="00FC7092"/>
    <w:rsid w:val="103421F9"/>
    <w:rsid w:val="10C52A3B"/>
    <w:rsid w:val="15F85F8D"/>
    <w:rsid w:val="1AD02057"/>
    <w:rsid w:val="1B635F92"/>
    <w:rsid w:val="1E5E3802"/>
    <w:rsid w:val="22AC01D2"/>
    <w:rsid w:val="29A12F23"/>
    <w:rsid w:val="2F0D7A91"/>
    <w:rsid w:val="2F7D6E0E"/>
    <w:rsid w:val="2F835AAF"/>
    <w:rsid w:val="33E14191"/>
    <w:rsid w:val="3D57119E"/>
    <w:rsid w:val="3F9851DC"/>
    <w:rsid w:val="41443CF3"/>
    <w:rsid w:val="4AA833F8"/>
    <w:rsid w:val="4AAF624F"/>
    <w:rsid w:val="4AF83102"/>
    <w:rsid w:val="4EA27C32"/>
    <w:rsid w:val="4EFF5A58"/>
    <w:rsid w:val="519A31E9"/>
    <w:rsid w:val="58FB0C54"/>
    <w:rsid w:val="63906031"/>
    <w:rsid w:val="66B67F47"/>
    <w:rsid w:val="694F61ED"/>
    <w:rsid w:val="6BC60752"/>
    <w:rsid w:val="71100F57"/>
    <w:rsid w:val="717957E5"/>
    <w:rsid w:val="73F86A85"/>
    <w:rsid w:val="75161B60"/>
    <w:rsid w:val="75F801FC"/>
    <w:rsid w:val="786E4BDE"/>
    <w:rsid w:val="792D2103"/>
    <w:rsid w:val="79907CCF"/>
    <w:rsid w:val="7AE52BFB"/>
    <w:rsid w:val="7C2877F5"/>
    <w:rsid w:val="7EE832D8"/>
    <w:rsid w:val="7F2072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7">
    <w:name w:val="FollowedHyperlink"/>
    <w:basedOn w:val="6"/>
    <w:unhideWhenUsed/>
    <w:uiPriority w:val="99"/>
    <w:rPr>
      <w:color w:val="333333"/>
      <w:u w:val="non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1233</Words>
  <Characters>7034</Characters>
  <Lines>58</Lines>
  <Paragraphs>16</Paragraphs>
  <TotalTime>0</TotalTime>
  <ScaleCrop>false</ScaleCrop>
  <LinksUpToDate>false</LinksUpToDate>
  <CharactersWithSpaces>8251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2016-06-12T01:36:00Z</dcterms:created>
  <dc:creator>张静</dc:creator>
  <cp:lastModifiedBy>Administrator</cp:lastModifiedBy>
  <cp:lastPrinted>2016-07-29T02:44:00Z</cp:lastPrinted>
  <dcterms:modified xsi:type="dcterms:W3CDTF">2022-01-14T03:29:44Z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9C2EB48F1112491F96CE70BBE212D2C9</vt:lpwstr>
  </property>
</Properties>
</file>