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rPr>
          <w:rFonts w:ascii="黑体" w:hAnsi="宋体" w:eastAsia="黑体" w:cs="宋体"/>
          <w:b/>
          <w:bCs/>
          <w:kern w:val="0"/>
          <w:sz w:val="44"/>
        </w:rPr>
      </w:pPr>
      <w:r>
        <w:rPr>
          <w:rFonts w:hint="eastAsia" w:ascii="黑体" w:hAnsi="宋体" w:eastAsia="黑体" w:cs="宋体"/>
          <w:b/>
          <w:bCs/>
          <w:kern w:val="0"/>
          <w:sz w:val="44"/>
        </w:rPr>
        <w:t>温州市住房公积金管理中心</w:t>
      </w:r>
      <w:r>
        <w:rPr>
          <w:rFonts w:hint="eastAsia" w:ascii="黑体" w:eastAsia="黑体"/>
          <w:sz w:val="44"/>
          <w:szCs w:val="44"/>
        </w:rPr>
        <w:t>（本级）</w:t>
      </w:r>
    </w:p>
    <w:p>
      <w:pPr>
        <w:widowControl/>
        <w:spacing w:before="100" w:beforeAutospacing="1" w:after="100" w:afterAutospacing="1"/>
        <w:jc w:val="center"/>
        <w:rPr>
          <w:rFonts w:ascii="宋体" w:hAnsi="宋体" w:eastAsia="宋体" w:cs="宋体"/>
          <w:kern w:val="0"/>
          <w:sz w:val="24"/>
          <w:szCs w:val="24"/>
        </w:rPr>
      </w:pPr>
      <w:r>
        <w:rPr>
          <w:rFonts w:hint="eastAsia" w:ascii="黑体" w:hAnsi="宋体" w:eastAsia="黑体" w:cs="宋体"/>
          <w:b/>
          <w:bCs/>
          <w:kern w:val="0"/>
          <w:sz w:val="44"/>
        </w:rPr>
        <w:t xml:space="preserve">2018年度部门决算 </w:t>
      </w:r>
    </w:p>
    <w:p>
      <w:pPr>
        <w:widowControl/>
        <w:spacing w:before="100" w:beforeAutospacing="1" w:after="100" w:afterAutospacing="1"/>
        <w:jc w:val="left"/>
        <w:rPr>
          <w:rFonts w:ascii="宋体" w:hAnsi="宋体" w:eastAsia="宋体" w:cs="宋体"/>
          <w:kern w:val="0"/>
          <w:sz w:val="24"/>
          <w:szCs w:val="24"/>
        </w:rPr>
      </w:pPr>
      <w:r>
        <w:rPr>
          <w:rFonts w:ascii="宋体" w:hAnsi="宋体" w:eastAsia="宋体" w:cs="宋体"/>
          <w:kern w:val="0"/>
          <w:sz w:val="24"/>
          <w:szCs w:val="24"/>
        </w:rPr>
        <w:t>  </w:t>
      </w:r>
    </w:p>
    <w:p>
      <w:pPr>
        <w:widowControl/>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一、温州市住房公积金管理中心概况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温州市住房公积金管理中心是温州市人民政府直属的管理运作全市住房公积金工作的正处级事业单位，负责实施全市住房公积金的统一管理、统一制度和统一核算。内设办公室（人事处）、业务管理处、计划财务处、信息管理处、审计稽核处5个职能处室。下设鹿城、龙湾、瓯海3个管理部和瑞安、乐清、永嘉、苍南、平阳、文成、泰顺、洞头8个分中心，作为温州市住房公积金管理中心的派出机构，依照温州市住房公积金管理中心的授权，承担本辖区内住房公积金管理工作。</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（一）部门职责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1、负责编制全市住房公积金的归集、使用计划；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2、负责全市住房公积金的缴存、提取、使用等工作；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3、负责全市住房公积金的核算、保值和归还；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4、负责编制全市住房公积金归集、使用计划执行情况的报告；</w:t>
      </w:r>
    </w:p>
    <w:p>
      <w:pPr>
        <w:spacing w:line="600" w:lineRule="atLeast"/>
        <w:ind w:firstLine="640" w:firstLineChars="200"/>
        <w:rPr>
          <w:rFonts w:ascii="仿宋_GB2312" w:eastAsia="仿宋_GB2312"/>
          <w:sz w:val="32"/>
          <w:szCs w:val="32"/>
        </w:rPr>
      </w:pPr>
      <w:r>
        <w:rPr>
          <w:rFonts w:hint="eastAsia" w:ascii="仿宋_GB2312" w:eastAsia="仿宋_GB2312"/>
          <w:sz w:val="32"/>
          <w:szCs w:val="32"/>
        </w:rPr>
        <w:t>5、承办市政府、市住房公积金管理委员会决定的其他事项。</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（二）机构设置</w:t>
      </w:r>
    </w:p>
    <w:p>
      <w:pPr>
        <w:widowControl/>
        <w:spacing w:line="600" w:lineRule="atLeast"/>
        <w:ind w:firstLine="640"/>
        <w:rPr>
          <w:rFonts w:ascii="仿宋_GB2312" w:hAnsi="宋体" w:eastAsia="仿宋_GB2312" w:cs="Arial"/>
          <w:kern w:val="0"/>
          <w:sz w:val="32"/>
          <w:szCs w:val="32"/>
        </w:rPr>
      </w:pPr>
      <w:r>
        <w:rPr>
          <w:rFonts w:hint="eastAsia" w:ascii="仿宋_GB2312" w:hAnsi="宋体" w:eastAsia="仿宋_GB2312" w:cs="Arial"/>
          <w:kern w:val="0"/>
          <w:sz w:val="32"/>
          <w:szCs w:val="32"/>
        </w:rPr>
        <w:t>从预算单位构成看，温州市住房公积金管理中心部门决算包括：</w:t>
      </w:r>
      <w:r>
        <w:rPr>
          <w:rFonts w:hint="eastAsia" w:ascii="仿宋_GB2312" w:eastAsia="仿宋_GB2312"/>
          <w:sz w:val="32"/>
          <w:szCs w:val="32"/>
        </w:rPr>
        <w:t>市本级以及鹿城、瓯海、龙湾3个管理部。</w:t>
      </w:r>
      <w:r>
        <w:rPr>
          <w:rFonts w:hint="eastAsia" w:ascii="仿宋_GB2312" w:hAnsi="宋体" w:eastAsia="仿宋_GB2312" w:cs="Arial"/>
          <w:kern w:val="0"/>
          <w:sz w:val="32"/>
          <w:szCs w:val="32"/>
        </w:rPr>
        <w:t>纳入温州市住房公积金管理中心2018年度部门决算编制范围的二级预算单位无。</w:t>
      </w:r>
    </w:p>
    <w:p>
      <w:pPr>
        <w:widowControl/>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二、温州市住房公积金管理中心2018年度部门决算公开表</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详见附件一。</w:t>
      </w:r>
    </w:p>
    <w:p>
      <w:pPr>
        <w:widowControl/>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三、温州市住房公积金管理中心2018年度部门决算情况说明</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（一）收入支出决算总体情况说明</w:t>
      </w:r>
    </w:p>
    <w:p>
      <w:pPr>
        <w:widowControl/>
        <w:spacing w:line="600" w:lineRule="atLeast"/>
        <w:ind w:firstLine="640"/>
        <w:rPr>
          <w:rFonts w:ascii="仿宋_GB2312" w:hAnsi="宋体" w:eastAsia="仿宋_GB2312" w:cs="Arial"/>
          <w:kern w:val="0"/>
          <w:sz w:val="32"/>
          <w:szCs w:val="32"/>
        </w:rPr>
      </w:pPr>
      <w:r>
        <w:rPr>
          <w:rFonts w:hint="eastAsia" w:ascii="仿宋_GB2312" w:hAnsi="宋体" w:eastAsia="仿宋_GB2312" w:cs="Arial"/>
          <w:kern w:val="0"/>
          <w:sz w:val="32"/>
          <w:szCs w:val="32"/>
        </w:rPr>
        <w:t>2018年度收、支总计5,540.42万元，与2017年度相比，收、支总计各减少499.42万元，下降8.27%。主要原因是：</w:t>
      </w:r>
    </w:p>
    <w:p>
      <w:pPr>
        <w:widowControl/>
        <w:spacing w:line="600" w:lineRule="atLeast"/>
        <w:rPr>
          <w:rFonts w:ascii="仿宋_GB2312" w:hAnsi="宋体" w:eastAsia="仿宋_GB2312" w:cs="宋体"/>
          <w:kern w:val="0"/>
          <w:sz w:val="24"/>
          <w:szCs w:val="24"/>
        </w:rPr>
      </w:pPr>
      <w:r>
        <w:rPr>
          <w:rFonts w:hint="eastAsia" w:ascii="仿宋_GB2312" w:hAnsi="宋体" w:eastAsia="仿宋_GB2312" w:cs="Arial"/>
          <w:kern w:val="0"/>
          <w:sz w:val="32"/>
          <w:szCs w:val="32"/>
        </w:rPr>
        <w:t>项目经费减少。</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（二）收入决算情况说明</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本年收入合计2,240.24万元；包括财政拨款收入2,240.24万元（其中，一般公共预算2,048.99万元，政府性基金预算191.25万元），占收入合计100.00%；事业收入0万元，占收入合计0%；经营收入0万元，占收入合计0%；其他收入0万元，占收入合计0%。上级补助收入0万元，占收入合计0%。附属单位上缴收入0万元，占收入合计0%。</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（三）支出决算情况说明</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本年支出合计2,240.24万元，其中基本支出1,547.73万元，占69.09%；项目支出692.51万元，占30.91%；上缴上级支出0万元，占0%；经营支出0万元，占0%；对附属单位补助支出0万元，占0%。</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（四）财政拨款收入支出决算总体情况说明</w:t>
      </w:r>
    </w:p>
    <w:p>
      <w:pPr>
        <w:widowControl/>
        <w:spacing w:line="600" w:lineRule="atLeast"/>
        <w:ind w:firstLine="640"/>
        <w:rPr>
          <w:rFonts w:ascii="仿宋_GB2312" w:hAnsi="宋体" w:eastAsia="仿宋_GB2312" w:cs="Arial"/>
          <w:kern w:val="0"/>
          <w:sz w:val="32"/>
          <w:szCs w:val="32"/>
        </w:rPr>
      </w:pPr>
      <w:r>
        <w:rPr>
          <w:rFonts w:hint="eastAsia" w:ascii="仿宋_GB2312" w:hAnsi="宋体" w:eastAsia="仿宋_GB2312" w:cs="Arial"/>
          <w:kern w:val="0"/>
          <w:sz w:val="32"/>
          <w:szCs w:val="32"/>
        </w:rPr>
        <w:t>2018年度财政拨款收、支总计5,506.85万元，与2017年相比，财政拨款收、支总计各增加400.58万元，增长7.84%。主要原因是：</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人员经费增加。</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（五）一般公共预算财政拨款支出决算情况说明</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1.一般公共预算财政拨款支出决算总体情况。</w:t>
      </w:r>
    </w:p>
    <w:p>
      <w:pPr>
        <w:widowControl/>
        <w:spacing w:line="600" w:lineRule="atLeast"/>
        <w:ind w:firstLine="640"/>
        <w:rPr>
          <w:rFonts w:ascii="仿宋_GB2312" w:hAnsi="宋体" w:eastAsia="仿宋_GB2312" w:cs="Arial"/>
          <w:kern w:val="0"/>
          <w:sz w:val="32"/>
          <w:szCs w:val="32"/>
        </w:rPr>
      </w:pPr>
      <w:r>
        <w:rPr>
          <w:rFonts w:hint="eastAsia" w:ascii="仿宋_GB2312" w:hAnsi="宋体" w:eastAsia="仿宋_GB2312" w:cs="Arial"/>
          <w:kern w:val="0"/>
          <w:sz w:val="32"/>
          <w:szCs w:val="32"/>
        </w:rPr>
        <w:t>2018年度一般公共预算财政拨款支出2,048.99万元，占本年支出合计的91.46%。与2017年相比，一般公共预算财政拨款支出增加348.98万元，增长20.53%。主要原因是：</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人员经费增加。</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2.一般公共预算财政拨款支出决算结构情况。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一般公共预算财政拨款支出2,048.99万元，主要用于以下方面：一般公共服务（类）支出0万元，占0%；国防（类）支出0万元,占0%；公共安全（类）支出0万元,占0%；教育（类）支出0万元,占0%；科学技术（类）支出0万元,占0%；文化体育与传媒（类）支出0万元,占0%；社会保障和就业（类）支出139.34万元,占6.80%；医疗卫生与计划生育（类）支出57.94万元,占2.83%；节能环保（类）支出0万元,占0%；城乡社区（类）支出0万元,占0%；农林水（类）支出0万元,占0%；交通运输（类）支出0万元,占0%；资源勘探信息等（类）支出0万元,占0%；商业服务业等（类）支出0万元,占0%；金融（类）支出0万元,占0%；援助其他地区（类）支出0万元,占0%；国土海洋气象等（类）支出0万元,占0%；住房保障（类）支出1,851.71万元,占90.37%；粮油物资储备（类）支出0万元,占0%；其他（类）支出0万元,占0%；债务还本（类）支出0万元,占0%；债务付息（类）支出0万元,占0%。</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3.一般公共预算财政拨款支出决算具体情况。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2018年度一般公共预算财政拨款支出年初预算为1,922.98万元，支出决算为2,048.99万元,完成年初预算的106.55%，主要原因是人员经费增加。其中：</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社会保障和就业支出（类）行政事业单位离退休（款）机关事业单位基本养老（项）。2018年年初预算为94.7万元，2018年支出决算为99.53万元，完成年初预算的105.1%，决算数大于预算数的主要原因基本养老保险基数调整。</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社会保障和就业支出（类）行政事业单位离退休（款）机关事业单位职业年金（项）。2018年年初预算为37.87万元，2018年支出决算为39.81万元，完成年初预算的105.12%，决算数大于预算数的主要原因职业年金基数调整。</w:t>
      </w:r>
    </w:p>
    <w:p>
      <w:pPr>
        <w:widowControl/>
        <w:spacing w:line="600" w:lineRule="atLeast"/>
        <w:ind w:firstLine="640"/>
        <w:rPr>
          <w:rFonts w:ascii="仿宋_GB2312" w:hAnsi="宋体" w:eastAsia="仿宋_GB2312" w:cs="Arial"/>
          <w:kern w:val="0"/>
          <w:sz w:val="32"/>
          <w:szCs w:val="32"/>
        </w:rPr>
      </w:pPr>
      <w:r>
        <w:rPr>
          <w:rFonts w:hint="eastAsia" w:ascii="仿宋_GB2312" w:eastAsia="仿宋_GB2312"/>
          <w:color w:val="000000"/>
          <w:sz w:val="32"/>
          <w:szCs w:val="32"/>
        </w:rPr>
        <w:t>医疗卫生与计划生育支出（类）行政事业单位医疗（款）行政单位医疗（项）。</w:t>
      </w:r>
      <w:r>
        <w:rPr>
          <w:rFonts w:hint="eastAsia" w:ascii="仿宋_GB2312" w:hAnsi="宋体" w:eastAsia="仿宋_GB2312" w:cs="Arial"/>
          <w:kern w:val="0"/>
          <w:sz w:val="32"/>
          <w:szCs w:val="32"/>
        </w:rPr>
        <w:t>2018年年初预算为55.94万元，2018年支出决算为57.94万元，完成年初预算的103.58%，决算数大于预算数的主要原因基数调整。</w:t>
      </w:r>
    </w:p>
    <w:p>
      <w:pPr>
        <w:widowControl/>
        <w:spacing w:line="600" w:lineRule="atLeast"/>
        <w:ind w:firstLine="640"/>
        <w:rPr>
          <w:rFonts w:ascii="仿宋_GB2312" w:eastAsia="仿宋_GB2312"/>
          <w:color w:val="000000"/>
          <w:sz w:val="32"/>
          <w:szCs w:val="32"/>
        </w:rPr>
      </w:pPr>
      <w:r>
        <w:rPr>
          <w:rFonts w:hint="eastAsia" w:ascii="仿宋_GB2312" w:eastAsia="仿宋_GB2312"/>
          <w:color w:val="000000"/>
          <w:sz w:val="32"/>
          <w:szCs w:val="32"/>
        </w:rPr>
        <w:t>住房保障支出（类）住房改革支出（款）住房公积金（项）。</w:t>
      </w:r>
      <w:r>
        <w:rPr>
          <w:rFonts w:hint="eastAsia" w:ascii="仿宋_GB2312" w:hAnsi="宋体" w:eastAsia="仿宋_GB2312" w:cs="Arial"/>
          <w:kern w:val="0"/>
          <w:sz w:val="32"/>
          <w:szCs w:val="32"/>
        </w:rPr>
        <w:t>2018年年初预算为74.76万元，2018年支出决算为77.70万元，完成年初预算的103.93%，决算数大于预算数的主要原因人员增加。</w:t>
      </w:r>
    </w:p>
    <w:p>
      <w:pPr>
        <w:widowControl/>
        <w:spacing w:line="600" w:lineRule="atLeast"/>
        <w:ind w:firstLine="640"/>
        <w:rPr>
          <w:rFonts w:ascii="仿宋_GB2312" w:hAnsi="宋体" w:eastAsia="仿宋_GB2312" w:cs="Arial"/>
          <w:kern w:val="0"/>
          <w:sz w:val="32"/>
          <w:szCs w:val="32"/>
        </w:rPr>
      </w:pPr>
      <w:r>
        <w:rPr>
          <w:rFonts w:hint="eastAsia" w:ascii="仿宋_GB2312" w:eastAsia="仿宋_GB2312"/>
          <w:color w:val="000000"/>
          <w:sz w:val="32"/>
          <w:szCs w:val="32"/>
        </w:rPr>
        <w:t>住房保障支出（类）住房改革支出（款）购房补贴（项）。</w:t>
      </w:r>
      <w:r>
        <w:rPr>
          <w:rFonts w:hint="eastAsia" w:ascii="仿宋_GB2312" w:hAnsi="宋体" w:eastAsia="仿宋_GB2312" w:cs="Arial"/>
          <w:kern w:val="0"/>
          <w:sz w:val="32"/>
          <w:szCs w:val="32"/>
        </w:rPr>
        <w:t>2018年年初预算为6.73万元，2018年支出决算为7.82万元，完成年初预算的116.20%，决算数大于预算数的主要原因人员增加。</w:t>
      </w:r>
    </w:p>
    <w:p>
      <w:pPr>
        <w:widowControl/>
        <w:spacing w:line="600" w:lineRule="atLeast"/>
        <w:ind w:firstLine="640"/>
        <w:rPr>
          <w:rFonts w:ascii="仿宋_GB2312" w:eastAsia="仿宋_GB2312"/>
          <w:color w:val="000000"/>
          <w:sz w:val="32"/>
          <w:szCs w:val="32"/>
        </w:rPr>
      </w:pPr>
      <w:r>
        <w:rPr>
          <w:rFonts w:hint="eastAsia" w:ascii="仿宋_GB2312" w:eastAsia="仿宋_GB2312"/>
          <w:color w:val="000000"/>
          <w:sz w:val="32"/>
          <w:szCs w:val="32"/>
        </w:rPr>
        <w:t>住房保障支出（类）城乡社区住宅（款）住房公积金管理（项）。</w:t>
      </w:r>
      <w:r>
        <w:rPr>
          <w:rFonts w:hint="eastAsia" w:ascii="仿宋_GB2312" w:hAnsi="宋体" w:eastAsia="仿宋_GB2312" w:cs="Arial"/>
          <w:kern w:val="0"/>
          <w:sz w:val="32"/>
          <w:szCs w:val="32"/>
        </w:rPr>
        <w:t>2018年年初预算为1652.98万元，2018年支出决算为1766.19万元，完成年初预算的106.85%，决算数大于预算数的主要原因人员增加。</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（六）一般公共预算财政拨款基本支出决算情况说明</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2018年一般公共预算财政拨款基本支出1,426.87万元，其中：</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人员经费1,219.49万元，主要包括：基本工资、津贴补贴、奖金、绩效考核奖等；</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公用经费207.38万元，主要包括：办公费、印刷费、差旅费、公务接待费等。</w:t>
      </w:r>
    </w:p>
    <w:p>
      <w:pPr>
        <w:widowControl/>
        <w:spacing w:line="600" w:lineRule="atLeast"/>
        <w:ind w:firstLine="640"/>
        <w:rPr>
          <w:rFonts w:ascii="楷体" w:hAnsi="宋体" w:eastAsia="楷体" w:cs="Arial"/>
          <w:b/>
          <w:bCs/>
          <w:kern w:val="0"/>
          <w:sz w:val="32"/>
        </w:rPr>
      </w:pPr>
      <w:r>
        <w:rPr>
          <w:rFonts w:hint="eastAsia" w:ascii="楷体" w:hAnsi="宋体" w:eastAsia="楷体" w:cs="Arial"/>
          <w:b/>
          <w:bCs/>
          <w:kern w:val="0"/>
          <w:sz w:val="32"/>
        </w:rPr>
        <w:t>（七）政府性基金财政拨款支出决算情况说明</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1.政府性基金预算财政拨款支出决算总体情况。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2018年度政府性基金预算财政拨款支出191.25万元，占本年支出8.54%。与2017年相比，政府性基金预算财政拨款支出增加51.60万元，增长36.95%。主要原因是：人员经费增加。</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2.政府性基金预算财政拨款支出决算结构情况。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政府性基金预算财政拨款支出191.25万元，主要用于以下方面：科学技术（类）支出0万元,占0%；文化体育与传媒（类）支出0万元,占0%；社会保障和就业（类）支出0万元,占0%；节能环保（类）支出0万元,占0%；城乡社区（类）支出70.39万元,占36.81%；农林水（类）支出0万元,占0%；交通运输（类）支出0万元,占0%；资源勘探信息等（类）支出0万元,占0%；商业服务业等（类）支出0万元,占0%；其他（类）支出120.86万元,占63.19%；债务付息（类）支出0万元,占0%。</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3.政府性基金预算财政拨款支出决算具体情况。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2018年度政府性基金预算财政拨款支出年初预算为90.00万元，支出决算为191.25万元,完成年初预算的212.50%，主要原因是人员经费调整。其中：</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城乡社区支出（类）国有土地使用权出让收入及对应专项债务收入安排的支出（款）廉租住房支出（项）。2018年年初预算为90万元，2018年支出决算为70.39万元，完成年初预算的78.21%，决算数小于预算数的主要原因部分人员不符合低收入贴息条件。</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其他支出（类）其他政府性基金及对应专项债务收入安排的支出（款）其他政府性基金及对应专项债务收入安排的支出（项）。2018年年初预算为0万元，2018年支出决算为120.86万元，决算数大于年初预算数120.86万元，因年初预算为0，无法计算预算完成率，主要原因人员经费调整。</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（八）2018年度一般公共预算财政拨款“三公”经费支出决算情况说明</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 xml:space="preserve">1.“三公”经费一般公共预算财政拨款支出决算总体情况说明。 </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2018年度“三公”经费一般公共预算财政拨款支出预算为3.50万元，支出决算为0.87万元，完成预算的24.88%,2018年度“三公”经费支出决算数小于预算数的主要原因是公务接待经费节约。</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2.“三公”经费一般公共预算财政拨款支出决算具体情况说明。</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三公”经费一般公共预算财政拨款支出决算中，因公出国（境）费用支出决算为0万元，占0%，与2017年度相比持平，主要原因是没有安排出国；公务用车购置及运行维护费支出决算为0万元，占0%，与2017年度相比持平，主要原因是无公务车；公务接待费支出决算为0.87万元，占100.00%，与2017年度相比，增加0.55万元，增长170.10%，主要原因是公务接待批次增加。具体情况如下：</w:t>
      </w:r>
    </w:p>
    <w:p>
      <w:pPr>
        <w:widowControl/>
        <w:spacing w:line="600" w:lineRule="atLeast"/>
        <w:ind w:firstLine="640"/>
        <w:rPr>
          <w:rFonts w:ascii="仿宋_GB2312" w:hAnsi="宋体" w:eastAsia="仿宋_GB2312" w:cs="宋体"/>
          <w:kern w:val="0"/>
          <w:sz w:val="24"/>
          <w:szCs w:val="24"/>
        </w:rPr>
      </w:pPr>
      <w:r>
        <w:rPr>
          <w:rFonts w:hint="eastAsia" w:ascii="仿宋" w:hAnsi="宋体" w:eastAsia="仿宋" w:cs="Arial"/>
          <w:b/>
          <w:bCs/>
          <w:kern w:val="0"/>
          <w:sz w:val="32"/>
        </w:rPr>
        <w:t>（1）因公出国（境）费</w:t>
      </w:r>
      <w:r>
        <w:rPr>
          <w:rFonts w:hint="eastAsia" w:ascii="仿宋_GB2312" w:hAnsi="宋体" w:eastAsia="仿宋_GB2312" w:cs="Arial"/>
          <w:kern w:val="0"/>
          <w:sz w:val="32"/>
          <w:szCs w:val="32"/>
        </w:rPr>
        <w:t>年初预算数为0万元，支出决算为0万元。完成年初预算的0%。决算数等于预算数的主要原因是没有安排出国。</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其中，全年使用一般公共预算财政拨款本单位组织因公出国(境)团组0个；本单位全年因公出国(境)累计0人次。</w:t>
      </w:r>
    </w:p>
    <w:p>
      <w:pPr>
        <w:widowControl/>
        <w:spacing w:line="600" w:lineRule="atLeast"/>
        <w:ind w:firstLine="640"/>
        <w:rPr>
          <w:rFonts w:ascii="仿宋_GB2312" w:hAnsi="宋体" w:eastAsia="仿宋_GB2312" w:cs="宋体"/>
          <w:kern w:val="0"/>
          <w:sz w:val="24"/>
          <w:szCs w:val="24"/>
        </w:rPr>
      </w:pPr>
      <w:r>
        <w:rPr>
          <w:rFonts w:hint="eastAsia" w:ascii="仿宋" w:hAnsi="宋体" w:eastAsia="仿宋" w:cs="Arial"/>
          <w:b/>
          <w:bCs/>
          <w:kern w:val="0"/>
          <w:sz w:val="32"/>
        </w:rPr>
        <w:t>（2）公务用车购置及运行维护费</w:t>
      </w:r>
      <w:r>
        <w:rPr>
          <w:rFonts w:hint="eastAsia" w:ascii="仿宋_GB2312" w:hAnsi="宋体" w:eastAsia="仿宋_GB2312" w:cs="Arial"/>
          <w:kern w:val="0"/>
          <w:sz w:val="32"/>
          <w:szCs w:val="32"/>
        </w:rPr>
        <w:t>年初预算数为0万元，支出决算为0万元，完成年初预算的0%。决算数等于预算数的主要原因是单位没有公务车。主要用于经批准购置的0辆公务用车。</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公务用车购置</w:t>
      </w:r>
      <w:r>
        <w:rPr>
          <w:rFonts w:hint="eastAsia" w:ascii="仿宋_GB2312" w:hAnsi="宋体" w:eastAsia="仿宋_GB2312" w:cs="Arial"/>
          <w:kern w:val="0"/>
          <w:sz w:val="32"/>
          <w:szCs w:val="32"/>
        </w:rPr>
        <w:t>支出0万元（含购置税等附加费用）。</w:t>
      </w:r>
    </w:p>
    <w:p>
      <w:pPr>
        <w:widowControl/>
        <w:spacing w:line="600" w:lineRule="atLeast"/>
        <w:ind w:firstLine="640"/>
        <w:rPr>
          <w:rFonts w:ascii="仿宋_GB2312" w:hAnsi="宋体" w:eastAsia="仿宋_GB2312" w:cs="宋体"/>
          <w:kern w:val="0"/>
          <w:sz w:val="24"/>
          <w:szCs w:val="24"/>
        </w:rPr>
      </w:pPr>
      <w:r>
        <w:rPr>
          <w:rFonts w:hint="eastAsia" w:ascii="仿宋" w:hAnsi="宋体" w:eastAsia="仿宋" w:cs="Arial"/>
          <w:b/>
          <w:bCs/>
          <w:kern w:val="0"/>
          <w:sz w:val="32"/>
        </w:rPr>
        <w:t>公务用车运行维护费</w:t>
      </w:r>
      <w:r>
        <w:rPr>
          <w:rFonts w:hint="eastAsia" w:ascii="仿宋_GB2312" w:hAnsi="宋体" w:eastAsia="仿宋_GB2312" w:cs="Arial"/>
          <w:kern w:val="0"/>
          <w:sz w:val="32"/>
          <w:szCs w:val="32"/>
        </w:rPr>
        <w:t>支出0万元， 2018年度本级及所属单位开支一般公共预算财政拨款的公务用车保有量为0辆。</w:t>
      </w:r>
    </w:p>
    <w:p>
      <w:pPr>
        <w:widowControl/>
        <w:spacing w:line="600" w:lineRule="atLeast"/>
        <w:ind w:firstLine="640"/>
        <w:rPr>
          <w:rFonts w:ascii="仿宋_GB2312" w:hAnsi="宋体" w:eastAsia="仿宋_GB2312" w:cs="宋体"/>
          <w:kern w:val="0"/>
          <w:sz w:val="24"/>
          <w:szCs w:val="24"/>
        </w:rPr>
      </w:pPr>
      <w:r>
        <w:rPr>
          <w:rFonts w:hint="eastAsia" w:ascii="仿宋" w:hAnsi="宋体" w:eastAsia="仿宋" w:cs="Arial"/>
          <w:b/>
          <w:bCs/>
          <w:kern w:val="0"/>
          <w:sz w:val="32"/>
        </w:rPr>
        <w:t>（3）公务接待费</w:t>
      </w:r>
      <w:r>
        <w:rPr>
          <w:rFonts w:hint="eastAsia" w:ascii="仿宋_GB2312" w:hAnsi="宋体" w:eastAsia="仿宋_GB2312" w:cs="Arial"/>
          <w:kern w:val="0"/>
          <w:sz w:val="32"/>
          <w:szCs w:val="32"/>
        </w:rPr>
        <w:t>年初预算数为3.50万元，支出决算为0.87万元，完成年初预算的24.88%。决算数小于预算数的主要原因是接待量少。全年使用一般公共预算财政拨款国内公务接待7批次，累计49人次。主要用于接待市外单位的考察学习。</w:t>
      </w:r>
    </w:p>
    <w:p>
      <w:pPr>
        <w:widowControl/>
        <w:spacing w:line="600" w:lineRule="atLeast"/>
        <w:ind w:firstLine="640"/>
        <w:rPr>
          <w:rFonts w:ascii="仿宋_GB2312" w:hAnsi="宋体" w:eastAsia="仿宋_GB2312" w:cs="宋体"/>
          <w:kern w:val="0"/>
          <w:sz w:val="24"/>
          <w:szCs w:val="24"/>
        </w:rPr>
      </w:pPr>
      <w:r>
        <w:rPr>
          <w:rFonts w:hint="eastAsia" w:ascii="仿宋" w:hAnsi="宋体" w:eastAsia="仿宋" w:cs="Arial"/>
          <w:b/>
          <w:bCs/>
          <w:kern w:val="0"/>
          <w:sz w:val="32"/>
        </w:rPr>
        <w:t>外宾接待</w:t>
      </w:r>
      <w:r>
        <w:rPr>
          <w:rFonts w:hint="eastAsia" w:ascii="仿宋_GB2312" w:hAnsi="宋体" w:eastAsia="仿宋_GB2312" w:cs="Arial"/>
          <w:kern w:val="0"/>
          <w:sz w:val="32"/>
          <w:szCs w:val="32"/>
        </w:rPr>
        <w:t>支出0万元，接待0人次，0批次。</w:t>
      </w:r>
    </w:p>
    <w:p>
      <w:pPr>
        <w:widowControl/>
        <w:spacing w:line="600" w:lineRule="atLeast"/>
        <w:ind w:firstLine="640"/>
        <w:rPr>
          <w:rFonts w:ascii="仿宋_GB2312" w:hAnsi="宋体" w:eastAsia="仿宋_GB2312" w:cs="宋体"/>
          <w:kern w:val="0"/>
          <w:sz w:val="24"/>
          <w:szCs w:val="24"/>
        </w:rPr>
      </w:pPr>
      <w:r>
        <w:rPr>
          <w:rFonts w:hint="eastAsia" w:ascii="仿宋" w:hAnsi="宋体" w:eastAsia="仿宋" w:cs="Arial"/>
          <w:b/>
          <w:bCs/>
          <w:kern w:val="0"/>
          <w:sz w:val="32"/>
        </w:rPr>
        <w:t>其他国内公务接待</w:t>
      </w:r>
      <w:r>
        <w:rPr>
          <w:rFonts w:hint="eastAsia" w:ascii="仿宋_GB2312" w:hAnsi="宋体" w:eastAsia="仿宋_GB2312" w:cs="Arial"/>
          <w:kern w:val="0"/>
          <w:sz w:val="32"/>
          <w:szCs w:val="32"/>
        </w:rPr>
        <w:t>支出0.87万元，主要用于市外单位学习考察公务接待。接待49人次，7批次。</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（九）部门预算绩效情况说明</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1.预算绩效管理工作开展情况。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根据预算管理要求，公积金中心组织开展了2018年度一般公共预算项目支出绩效自评，涉及项目14个，涉及当年一般公共预算资金642.5万元，占项目资金预算总额的87.71%，涉及政府性基金预算资金90万元，占项目资金预算总额的12.29%。</w:t>
      </w:r>
    </w:p>
    <w:p>
      <w:pPr>
        <w:widowControl/>
        <w:spacing w:line="600" w:lineRule="atLeast"/>
        <w:ind w:firstLine="640"/>
        <w:rPr>
          <w:rFonts w:ascii="仿宋" w:hAnsi="宋体" w:eastAsia="仿宋" w:cs="Arial"/>
          <w:b/>
          <w:bCs/>
          <w:kern w:val="0"/>
          <w:sz w:val="32"/>
        </w:rPr>
      </w:pPr>
      <w:r>
        <w:rPr>
          <w:rFonts w:hint="eastAsia" w:ascii="仿宋" w:hAnsi="宋体" w:eastAsia="仿宋" w:cs="Arial"/>
          <w:b/>
          <w:bCs/>
          <w:kern w:val="0"/>
          <w:sz w:val="32"/>
        </w:rPr>
        <w:t>2.部门决算中项目绩效自评结果</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温州市住房公积金管理中心在2018年度部门决算中反映专项业务费及客服热线运维费的项目绩效自评结果。</w:t>
      </w:r>
    </w:p>
    <w:p>
      <w:pPr>
        <w:widowControl/>
        <w:spacing w:line="600" w:lineRule="atLeast"/>
        <w:ind w:firstLine="640"/>
        <w:rPr>
          <w:rFonts w:ascii="仿宋_GB2312" w:hAnsi="宋体" w:eastAsia="仿宋_GB2312" w:cs="Arial"/>
          <w:kern w:val="0"/>
          <w:sz w:val="32"/>
          <w:szCs w:val="32"/>
        </w:rPr>
      </w:pPr>
      <w:r>
        <w:rPr>
          <w:rFonts w:hint="eastAsia" w:ascii="仿宋_GB2312" w:hAnsi="宋体" w:eastAsia="仿宋_GB2312" w:cs="Arial"/>
          <w:kern w:val="0"/>
          <w:sz w:val="32"/>
          <w:szCs w:val="32"/>
        </w:rPr>
        <w:t>专项业务费项目绩效自评综述：根据年初设定的绩效目标，项目自评得分100分，自评结论为“优秀”。项目全年预算数为122.3万元，执行数为122.3万元，完成预算的100%。主要产出和效果：一是</w:t>
      </w:r>
      <w:r>
        <w:rPr>
          <w:rFonts w:hint="eastAsia" w:ascii="仿宋_GB2312" w:hAnsi="宋体" w:eastAsia="仿宋_GB2312"/>
          <w:bCs/>
          <w:color w:val="000000"/>
          <w:sz w:val="32"/>
          <w:szCs w:val="32"/>
        </w:rPr>
        <w:t>市区办理公积金贷款4248笔,</w:t>
      </w:r>
      <w:r>
        <w:rPr>
          <w:rFonts w:hint="eastAsia" w:ascii="仿宋_GB2312" w:hAnsi="宋体" w:eastAsia="仿宋_GB2312"/>
          <w:color w:val="000000"/>
          <w:sz w:val="32"/>
          <w:szCs w:val="32"/>
        </w:rPr>
        <w:t xml:space="preserve"> 新增缴存职工4.3万人, 向市区职工推送各类短信656.53万条等</w:t>
      </w:r>
      <w:r>
        <w:rPr>
          <w:rFonts w:hint="eastAsia" w:ascii="仿宋_GB2312" w:hAnsi="宋体" w:eastAsia="仿宋_GB2312" w:cs="Arial"/>
          <w:kern w:val="0"/>
          <w:sz w:val="32"/>
          <w:szCs w:val="32"/>
        </w:rPr>
        <w:t>；二是</w:t>
      </w:r>
      <w:r>
        <w:rPr>
          <w:rFonts w:hint="eastAsia" w:ascii="仿宋_GB2312" w:hAnsi="宋体" w:eastAsia="仿宋_GB2312"/>
          <w:color w:val="000000"/>
          <w:sz w:val="32"/>
          <w:szCs w:val="32"/>
        </w:rPr>
        <w:t>通过便民化、规范化、信息化，节约人力物力，为办事群众提供了高效优质服务，提高住房公积金的社会效益。</w:t>
      </w:r>
      <w:r>
        <w:rPr>
          <w:rFonts w:hint="eastAsia" w:ascii="仿宋_GB2312" w:hAnsi="宋体" w:eastAsia="仿宋_GB2312" w:cs="Arial"/>
          <w:kern w:val="0"/>
          <w:sz w:val="32"/>
          <w:szCs w:val="32"/>
        </w:rPr>
        <w:t>发现的问题及原因：随着住房公积金业务量逐年增加，业务经费不足。下一步改进措施：争取业务经费，为广大住房公积金缴存户提供更加优质服务。</w:t>
      </w:r>
    </w:p>
    <w:p>
      <w:pPr>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2018年度温州市财政支出项目绩效自评表</w:t>
      </w:r>
    </w:p>
    <w:p>
      <w:pPr>
        <w:snapToGrid w:val="0"/>
        <w:spacing w:line="360" w:lineRule="exact"/>
        <w:ind w:right="420"/>
        <w:jc w:val="center"/>
        <w:rPr>
          <w:rFonts w:ascii="仿宋_GB2312" w:hAnsi="SimSun-ExtB" w:eastAsia="仿宋_GB2312"/>
          <w:color w:val="000000"/>
          <w:szCs w:val="21"/>
        </w:rPr>
      </w:pPr>
      <w:r>
        <w:rPr>
          <w:rFonts w:hint="eastAsia" w:ascii="仿宋_GB2312" w:hAnsi="SimSun-ExtB" w:eastAsia="仿宋_GB2312"/>
          <w:color w:val="000000"/>
          <w:szCs w:val="21"/>
        </w:rPr>
        <w:t xml:space="preserve">                                                              </w:t>
      </w:r>
      <w:r>
        <w:rPr>
          <w:rFonts w:hint="eastAsia" w:ascii="仿宋_GB2312" w:hAnsi="宋体" w:eastAsia="仿宋_GB2312" w:cs="宋体"/>
          <w:color w:val="000000"/>
          <w:szCs w:val="21"/>
        </w:rPr>
        <w:t>金额单位：万元</w:t>
      </w:r>
    </w:p>
    <w:tbl>
      <w:tblPr>
        <w:tblStyle w:val="5"/>
        <w:tblW w:w="9662"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995"/>
        <w:gridCol w:w="189"/>
        <w:gridCol w:w="1034"/>
        <w:gridCol w:w="402"/>
        <w:gridCol w:w="1271"/>
        <w:gridCol w:w="1553"/>
        <w:gridCol w:w="1199"/>
        <w:gridCol w:w="27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96"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项目单位</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名称</w:t>
            </w:r>
          </w:p>
        </w:tc>
        <w:tc>
          <w:tcPr>
            <w:tcW w:w="2218"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（盖章）</w:t>
            </w:r>
          </w:p>
        </w:tc>
        <w:tc>
          <w:tcPr>
            <w:tcW w:w="1673"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项目名称</w:t>
            </w:r>
          </w:p>
        </w:tc>
        <w:tc>
          <w:tcPr>
            <w:tcW w:w="4475" w:type="dxa"/>
            <w:gridSpan w:val="4"/>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专项业务费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96"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责任部门</w:t>
            </w:r>
          </w:p>
        </w:tc>
        <w:tc>
          <w:tcPr>
            <w:tcW w:w="2218" w:type="dxa"/>
            <w:gridSpan w:val="3"/>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业务管理处</w:t>
            </w:r>
          </w:p>
        </w:tc>
        <w:tc>
          <w:tcPr>
            <w:tcW w:w="1673" w:type="dxa"/>
            <w:gridSpan w:val="2"/>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项目负责人</w:t>
            </w:r>
          </w:p>
        </w:tc>
        <w:tc>
          <w:tcPr>
            <w:tcW w:w="1553" w:type="dxa"/>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沙剑弘</w:t>
            </w:r>
          </w:p>
        </w:tc>
        <w:tc>
          <w:tcPr>
            <w:tcW w:w="1199" w:type="dxa"/>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联系电话</w:t>
            </w:r>
          </w:p>
        </w:tc>
        <w:tc>
          <w:tcPr>
            <w:tcW w:w="1723" w:type="dxa"/>
            <w:gridSpan w:val="2"/>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88999153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96" w:type="dxa"/>
            <w:vMerge w:val="restart"/>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基本</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情况</w:t>
            </w:r>
          </w:p>
        </w:tc>
        <w:tc>
          <w:tcPr>
            <w:tcW w:w="1184"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上年结转</w:t>
            </w:r>
          </w:p>
        </w:tc>
        <w:tc>
          <w:tcPr>
            <w:tcW w:w="1436"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预算安排数</w:t>
            </w:r>
          </w:p>
        </w:tc>
        <w:tc>
          <w:tcPr>
            <w:tcW w:w="1271" w:type="dxa"/>
            <w:tcBorders>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预算调整数</w:t>
            </w:r>
          </w:p>
        </w:tc>
        <w:tc>
          <w:tcPr>
            <w:tcW w:w="1553"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财政支付数</w:t>
            </w:r>
          </w:p>
        </w:tc>
        <w:tc>
          <w:tcPr>
            <w:tcW w:w="2922"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96" w:type="dxa"/>
            <w:vMerge w:val="continue"/>
            <w:vAlign w:val="center"/>
          </w:tcPr>
          <w:p>
            <w:pPr>
              <w:snapToGrid w:val="0"/>
              <w:spacing w:line="320" w:lineRule="exact"/>
              <w:jc w:val="center"/>
              <w:rPr>
                <w:rFonts w:ascii="仿宋_GB2312" w:hAnsi="SimSun-ExtB" w:eastAsia="仿宋_GB2312"/>
                <w:color w:val="000000"/>
                <w:sz w:val="24"/>
              </w:rPr>
            </w:pPr>
          </w:p>
        </w:tc>
        <w:tc>
          <w:tcPr>
            <w:tcW w:w="1184"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0</w:t>
            </w:r>
          </w:p>
        </w:tc>
        <w:tc>
          <w:tcPr>
            <w:tcW w:w="1436"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122.3</w:t>
            </w:r>
          </w:p>
        </w:tc>
        <w:tc>
          <w:tcPr>
            <w:tcW w:w="1271" w:type="dxa"/>
            <w:tcBorders>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122.3</w:t>
            </w:r>
          </w:p>
        </w:tc>
        <w:tc>
          <w:tcPr>
            <w:tcW w:w="1553" w:type="dxa"/>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122.3</w:t>
            </w:r>
          </w:p>
        </w:tc>
        <w:tc>
          <w:tcPr>
            <w:tcW w:w="2922" w:type="dxa"/>
            <w:gridSpan w:val="3"/>
            <w:vAlign w:val="center"/>
          </w:tcPr>
          <w:p>
            <w:pPr>
              <w:snapToGrid w:val="0"/>
              <w:spacing w:line="320" w:lineRule="exact"/>
              <w:jc w:val="center"/>
              <w:rPr>
                <w:rFonts w:ascii="仿宋_GB2312" w:hAnsi="SimSun-ExtB"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29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评价内容</w:t>
            </w:r>
          </w:p>
        </w:tc>
        <w:tc>
          <w:tcPr>
            <w:tcW w:w="995"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分值</w:t>
            </w:r>
          </w:p>
        </w:tc>
        <w:tc>
          <w:tcPr>
            <w:tcW w:w="5924" w:type="dxa"/>
            <w:gridSpan w:val="7"/>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自评简述</w:t>
            </w:r>
          </w:p>
        </w:tc>
        <w:tc>
          <w:tcPr>
            <w:tcW w:w="1447"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项目预算及预期绩效目标编制水平</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1、贷款业务费：办理时每笔贷款支出贷款业务抵押登记费80/笔。2、专项业务费: 每月业务例会和年终业务大会、月缴存额调整会议，月缴存额调整公告和年度信息公告费、低收入贷款贴息公告费及政策调整公告，缴存单位年度验审费、业务政策调研及审计费、法律顾问费、柜台业务费（含柜台专用印章费、柜台业务标准建设费、业务服务资料印制费等有关柜台业务费）。3、诉讼案件律师费:加强个人贷款逾期诉讼管理，有效防范贷款资金风险，对于合同违约的借款人提起诉讼。4、结算对账专项费:向单位和职工提供结息对账。5、短信信息费:根据业务发生情况和用户要求推送各类短信。根据业务发生情况和用户要求，通过12329短信平台向市区职工推送各类短信，以每条0.05元/条。</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7"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预算执行率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预算执行率达100%。</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项目组织管理水平</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olor w:val="000000"/>
                <w:sz w:val="18"/>
                <w:szCs w:val="18"/>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良好</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合规率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合规率100%</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相符率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15</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资金支出相符率100%</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672" w:hRule="atLeast"/>
        </w:trPr>
        <w:tc>
          <w:tcPr>
            <w:tcW w:w="129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项目产出</w:t>
            </w:r>
          </w:p>
        </w:tc>
        <w:tc>
          <w:tcPr>
            <w:tcW w:w="995"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25</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 xml:space="preserve">1. </w:t>
            </w:r>
            <w:r>
              <w:rPr>
                <w:rFonts w:hint="eastAsia" w:ascii="宋体" w:hAnsi="宋体"/>
                <w:bCs/>
                <w:color w:val="000000"/>
                <w:sz w:val="18"/>
                <w:szCs w:val="18"/>
              </w:rPr>
              <w:t>根据借款人的办理进度，及时完成全部贷款的抵押登记，确保贷款风险管理到位，</w:t>
            </w:r>
            <w:r>
              <w:rPr>
                <w:rFonts w:hint="eastAsia" w:ascii="宋体" w:hAnsi="宋体"/>
                <w:color w:val="000000"/>
                <w:sz w:val="18"/>
                <w:szCs w:val="18"/>
              </w:rPr>
              <w:t>确保贷款资金安全</w:t>
            </w:r>
            <w:r>
              <w:rPr>
                <w:rFonts w:hint="eastAsia" w:ascii="宋体" w:hAnsi="宋体"/>
                <w:bCs/>
                <w:color w:val="000000"/>
                <w:sz w:val="18"/>
                <w:szCs w:val="18"/>
              </w:rPr>
              <w:t>。全年市区办理公积金4248笔（不含公转商贴息贷款1042笔），发放公积金贷款24.32亿元</w:t>
            </w:r>
            <w:r>
              <w:rPr>
                <w:rFonts w:hint="eastAsia" w:ascii="宋体" w:hAnsi="宋体"/>
                <w:color w:val="000000"/>
                <w:sz w:val="18"/>
                <w:szCs w:val="18"/>
              </w:rPr>
              <w:t>。2.</w:t>
            </w:r>
            <w:r>
              <w:rPr>
                <w:rFonts w:hint="eastAsia"/>
              </w:rPr>
              <w:t xml:space="preserve"> </w:t>
            </w:r>
            <w:r>
              <w:rPr>
                <w:rFonts w:hint="eastAsia" w:ascii="宋体" w:hAnsi="宋体"/>
                <w:color w:val="000000"/>
                <w:sz w:val="18"/>
                <w:szCs w:val="18"/>
              </w:rPr>
              <w:t>完成2018年度住房公积金月缴存额调整、缴存单位和年度验审工作以及2018年度各类业务公告、完成业务政策分析调研和非公企业扩面课题的调研工作，出台了调整业务政策的文本和非公企业扩面课题报告及操作规程，使公积金政策更加“便民、利民、惠民”，使更多的非公企业职工参与住房公积金建缴，让优惠政策覆盖到更多的职工。市区全年完成提取418192人次，提取金额43.58亿元；新增缴存职工4.3万人，其中非公企业职工3.22万人；办理公转商贴息贷款1042笔，发放贴息贷款金额6.60亿元，有力推动市区住房消费水平。3. 通过12329短信平台向市区职工推送各类短信656.53万条，为缴存职工及时了解和掌握住房公积金相关信息提供了帮助。</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49" w:hRule="atLeast"/>
        </w:trPr>
        <w:tc>
          <w:tcPr>
            <w:tcW w:w="129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项目效益（效果）</w:t>
            </w:r>
          </w:p>
        </w:tc>
        <w:tc>
          <w:tcPr>
            <w:tcW w:w="995"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c>
          <w:tcPr>
            <w:tcW w:w="5924" w:type="dxa"/>
            <w:gridSpan w:val="7"/>
            <w:tcBorders>
              <w:top w:val="single" w:color="auto" w:sz="4" w:space="0"/>
              <w:left w:val="single" w:color="auto" w:sz="4" w:space="0"/>
              <w:right w:val="single" w:color="auto" w:sz="4"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进一步改进我市住房公积金提取、贷款政策，防范个人住房公积金贷款和资金流动性不足风险，缓解我市住房公积金资金供需矛盾，更好地发挥住房公积金的制度保障作用。全力支住房消费，全年市区全年完成提取418192人次，提取金额43.58亿元, 其中住房消费提取30.54亿元；全年市区发放贷款</w:t>
            </w:r>
            <w:r>
              <w:rPr>
                <w:rFonts w:hint="eastAsia" w:ascii="宋体" w:hAnsi="宋体"/>
                <w:bCs/>
                <w:color w:val="000000"/>
                <w:sz w:val="18"/>
                <w:szCs w:val="18"/>
              </w:rPr>
              <w:t>4248笔，发放公积金贷款24.32亿元</w:t>
            </w:r>
            <w:r>
              <w:rPr>
                <w:rFonts w:hint="eastAsia" w:ascii="宋体" w:hAnsi="宋体"/>
                <w:color w:val="000000"/>
                <w:sz w:val="18"/>
                <w:szCs w:val="18"/>
              </w:rPr>
              <w:t>；办理公转商贴息贷款1042笔，发放贴息贷款金额6.60亿元，有力推动市区住房消费水平。2018年，市区新增缴存职工4.3万人，其中非公企业职工3.22万人，实缴人数26.67万人，通过12329短信平台向市区职工推送各类短信656.53万条，为缴存职工及时了解和掌握住房公积金相关信息提供了帮助。通过便民化、规范化、信息化，节约人力物力，为办事群众提供了高效优质服务，提高住房公积金的社会效益。对企业实施阶段性降、缓住房公积金缴存政策，全年企业实施阶段性自主选择缴存比例减负达5484万元；对生产经营困难的企业申请缴存比例执行5%下限或缓缴，为企业减负23.71万元。对个人实施低收入困难家庭贷款贴息政策，为283户发放贴息总金额70.39万元；</w:t>
            </w:r>
            <w:r>
              <w:rPr>
                <w:rFonts w:hint="eastAsia" w:ascii="宋体" w:hAnsi="宋体"/>
                <w:bCs/>
                <w:color w:val="000000"/>
                <w:sz w:val="18"/>
                <w:szCs w:val="18"/>
              </w:rPr>
              <w:t>2018年，发放异地贷款</w:t>
            </w:r>
            <w:r>
              <w:rPr>
                <w:rFonts w:hint="eastAsia" w:ascii="宋体" w:hAnsi="宋体"/>
                <w:color w:val="000000"/>
                <w:sz w:val="18"/>
                <w:szCs w:val="18"/>
              </w:rPr>
              <w:t>269笔1.32亿元。项目效益目标已达到。</w:t>
            </w:r>
          </w:p>
        </w:tc>
        <w:tc>
          <w:tcPr>
            <w:tcW w:w="1447"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4"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评价结果</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c>
          <w:tcPr>
            <w:tcW w:w="7371"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sz w:val="24"/>
              </w:rPr>
              <w:t>■优秀</w:t>
            </w:r>
            <w:r>
              <w:rPr>
                <w:rFonts w:hint="eastAsia" w:ascii="仿宋_GB2312" w:hAnsi="SimSun-ExtB" w:eastAsia="仿宋_GB2312" w:cs="宋体"/>
                <w:sz w:val="24"/>
              </w:rPr>
              <w:t xml:space="preserve">  100-90</w:t>
            </w:r>
            <w:r>
              <w:rPr>
                <w:rFonts w:hint="eastAsia" w:ascii="仿宋_GB2312" w:hAnsi="宋体" w:eastAsia="仿宋_GB2312" w:cs="宋体"/>
                <w:sz w:val="24"/>
              </w:rPr>
              <w:t>分；</w:t>
            </w:r>
            <w:r>
              <w:rPr>
                <w:rFonts w:hint="eastAsia" w:ascii="仿宋_GB2312" w:hAnsi="SimSun-ExtB" w:eastAsia="仿宋_GB2312" w:cs="宋体"/>
                <w:sz w:val="24"/>
              </w:rPr>
              <w:t xml:space="preserve"> </w:t>
            </w:r>
            <w:r>
              <w:rPr>
                <w:rFonts w:hint="eastAsia" w:ascii="仿宋_GB2312" w:hAnsi="宋体" w:eastAsia="仿宋_GB2312" w:cs="宋体"/>
                <w:sz w:val="24"/>
              </w:rPr>
              <w:t>□良好</w:t>
            </w:r>
            <w:r>
              <w:rPr>
                <w:rFonts w:hint="eastAsia" w:ascii="仿宋_GB2312" w:hAnsi="SimSun-ExtB" w:eastAsia="仿宋_GB2312" w:cs="宋体"/>
                <w:sz w:val="24"/>
              </w:rPr>
              <w:t xml:space="preserve">  89-75</w:t>
            </w:r>
            <w:r>
              <w:rPr>
                <w:rFonts w:hint="eastAsia" w:ascii="仿宋_GB2312" w:hAnsi="宋体" w:eastAsia="仿宋_GB2312" w:cs="宋体"/>
                <w:sz w:val="24"/>
              </w:rPr>
              <w:t>分；</w:t>
            </w:r>
            <w:r>
              <w:rPr>
                <w:rFonts w:hint="eastAsia" w:ascii="仿宋_GB2312" w:hAnsi="SimSun-ExtB" w:eastAsia="仿宋_GB2312" w:cs="宋体"/>
                <w:sz w:val="24"/>
              </w:rPr>
              <w:t xml:space="preserve"> </w:t>
            </w:r>
            <w:r>
              <w:rPr>
                <w:rFonts w:hint="eastAsia" w:ascii="仿宋_GB2312" w:hAnsi="宋体" w:eastAsia="仿宋_GB2312" w:cs="宋体"/>
                <w:sz w:val="24"/>
              </w:rPr>
              <w:t>□一般</w:t>
            </w:r>
            <w:r>
              <w:rPr>
                <w:rFonts w:hint="eastAsia" w:ascii="仿宋_GB2312" w:hAnsi="SimSun-ExtB" w:eastAsia="仿宋_GB2312" w:cs="宋体"/>
                <w:sz w:val="24"/>
              </w:rPr>
              <w:t xml:space="preserve">  74-60</w:t>
            </w:r>
            <w:r>
              <w:rPr>
                <w:rFonts w:hint="eastAsia" w:ascii="仿宋_GB2312" w:hAnsi="宋体" w:eastAsia="仿宋_GB2312" w:cs="宋体"/>
                <w:sz w:val="24"/>
              </w:rPr>
              <w:t>分；</w:t>
            </w:r>
            <w:r>
              <w:rPr>
                <w:rFonts w:hint="eastAsia" w:ascii="仿宋_GB2312" w:hAnsi="SimSun-ExtB" w:eastAsia="仿宋_GB2312" w:cs="宋体"/>
                <w:sz w:val="24"/>
              </w:rPr>
              <w:t xml:space="preserve"> </w:t>
            </w:r>
            <w:r>
              <w:rPr>
                <w:rFonts w:hint="eastAsia" w:ascii="仿宋_GB2312" w:hAnsi="宋体" w:eastAsia="仿宋_GB2312" w:cs="宋体"/>
                <w:sz w:val="24"/>
              </w:rPr>
              <w:t>□较差</w:t>
            </w:r>
            <w:r>
              <w:rPr>
                <w:rFonts w:hint="eastAsia" w:ascii="仿宋_GB2312" w:hAnsi="SimSun-ExtB" w:eastAsia="仿宋_GB2312" w:cs="宋体"/>
                <w:sz w:val="24"/>
              </w:rPr>
              <w:t xml:space="preserve">  59-0</w:t>
            </w:r>
            <w:r>
              <w:rPr>
                <w:rFonts w:hint="eastAsia" w:ascii="仿宋_GB2312" w:hAnsi="宋体" w:eastAsia="仿宋_GB2312" w:cs="宋体"/>
                <w:sz w:val="24"/>
              </w:rPr>
              <w:t>分</w:t>
            </w:r>
          </w:p>
        </w:tc>
      </w:tr>
    </w:tbl>
    <w:p>
      <w:pPr>
        <w:snapToGrid w:val="0"/>
        <w:spacing w:beforeLines="50" w:line="280" w:lineRule="exact"/>
        <w:rPr>
          <w:rFonts w:ascii="仿宋_GB2312" w:hAnsi="SimSun-ExtB" w:eastAsia="仿宋_GB2312"/>
          <w:szCs w:val="21"/>
        </w:rPr>
      </w:pPr>
      <w:r>
        <w:rPr>
          <w:rFonts w:hint="eastAsia" w:ascii="仿宋_GB2312" w:hAnsi="宋体" w:eastAsia="仿宋_GB2312" w:cs="宋体"/>
          <w:sz w:val="24"/>
        </w:rPr>
        <w:t>单位负责人（签字）：项目负责人（签字）：</w:t>
      </w:r>
      <w:r>
        <w:rPr>
          <w:rFonts w:hint="eastAsia" w:ascii="仿宋_GB2312" w:hAnsi="SimSun-ExtB" w:eastAsia="仿宋_GB2312"/>
          <w:sz w:val="24"/>
        </w:rPr>
        <w:t xml:space="preserve">沙剑弘 </w:t>
      </w:r>
      <w:r>
        <w:rPr>
          <w:rFonts w:hint="eastAsia" w:ascii="仿宋_GB2312" w:hAnsi="宋体" w:eastAsia="仿宋_GB2312" w:cs="宋体"/>
          <w:sz w:val="24"/>
        </w:rPr>
        <w:t>填表日期：</w:t>
      </w:r>
      <w:r>
        <w:rPr>
          <w:rFonts w:hint="eastAsia" w:ascii="仿宋_GB2312" w:hAnsi="SimSun-ExtB" w:eastAsia="仿宋_GB2312"/>
          <w:sz w:val="24"/>
        </w:rPr>
        <w:t>2019年 月 日</w:t>
      </w:r>
    </w:p>
    <w:p>
      <w:pPr>
        <w:widowControl/>
        <w:spacing w:line="600" w:lineRule="atLeast"/>
        <w:ind w:firstLine="640"/>
        <w:rPr>
          <w:rFonts w:ascii="仿宋_GB2312" w:hAnsi="宋体" w:eastAsia="仿宋_GB2312" w:cs="Arial"/>
          <w:kern w:val="0"/>
          <w:sz w:val="32"/>
          <w:szCs w:val="32"/>
        </w:rPr>
      </w:pPr>
    </w:p>
    <w:p>
      <w:pPr>
        <w:widowControl/>
        <w:spacing w:line="600" w:lineRule="atLeast"/>
        <w:ind w:firstLine="640"/>
        <w:rPr>
          <w:rFonts w:ascii="仿宋_GB2312" w:hAnsi="宋体" w:eastAsia="仿宋_GB2312" w:cs="Arial"/>
          <w:kern w:val="0"/>
          <w:sz w:val="32"/>
          <w:szCs w:val="32"/>
        </w:rPr>
      </w:pPr>
      <w:r>
        <w:rPr>
          <w:rFonts w:hint="eastAsia" w:ascii="仿宋_GB2312" w:hAnsi="宋体" w:eastAsia="仿宋_GB2312" w:cs="Arial"/>
          <w:kern w:val="0"/>
          <w:sz w:val="32"/>
          <w:szCs w:val="32"/>
        </w:rPr>
        <w:t>客服热线运维费项目绩效自评综述：根据年初设定的绩效目标，项目自评得分100分，自评结论为“优秀”。项目全年预算数为60万元，执行数为59.8万元，完成预算的99.67%。主要产出和效果：</w:t>
      </w:r>
      <w:r>
        <w:rPr>
          <w:rFonts w:hint="eastAsia" w:ascii="仿宋_GB2312" w:hAnsi="宋体" w:eastAsia="仿宋_GB2312"/>
          <w:color w:val="000000"/>
          <w:sz w:val="32"/>
          <w:szCs w:val="32"/>
        </w:rPr>
        <w:t>2018年度12329客服热线年度人工服务占用次数153541，通话次数133783，接通率87.13%，呼损19758；不满意 76 (含用户误按及对政策实施情况不满意），满意度 99.99%；投诉 22件，投诉占比 0.016%。</w:t>
      </w:r>
      <w:r>
        <w:rPr>
          <w:rFonts w:hint="eastAsia" w:ascii="仿宋_GB2312" w:hAnsi="宋体" w:eastAsia="仿宋_GB2312" w:cs="Arial"/>
          <w:kern w:val="0"/>
          <w:sz w:val="32"/>
          <w:szCs w:val="32"/>
        </w:rPr>
        <w:t>发现的问题及原因：满意度没有达到100%。下一步改进措施：争取满意度达到100%。</w:t>
      </w:r>
    </w:p>
    <w:p>
      <w:pPr>
        <w:jc w:val="center"/>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2018年度温州市财政支出项目绩效自评表</w:t>
      </w:r>
    </w:p>
    <w:p>
      <w:pPr>
        <w:snapToGrid w:val="0"/>
        <w:spacing w:line="360" w:lineRule="exact"/>
        <w:ind w:right="420"/>
        <w:jc w:val="center"/>
        <w:rPr>
          <w:rFonts w:ascii="仿宋_GB2312" w:hAnsi="SimSun-ExtB" w:eastAsia="仿宋_GB2312"/>
          <w:color w:val="000000"/>
          <w:szCs w:val="21"/>
        </w:rPr>
      </w:pPr>
      <w:r>
        <w:rPr>
          <w:rFonts w:hint="eastAsia" w:ascii="仿宋_GB2312" w:hAnsi="SimSun-ExtB" w:eastAsia="仿宋_GB2312"/>
          <w:color w:val="000000"/>
          <w:szCs w:val="21"/>
        </w:rPr>
        <w:t xml:space="preserve">                                                              </w:t>
      </w:r>
      <w:r>
        <w:rPr>
          <w:rFonts w:hint="eastAsia" w:ascii="仿宋_GB2312" w:hAnsi="宋体" w:eastAsia="仿宋_GB2312" w:cs="宋体"/>
          <w:color w:val="000000"/>
          <w:szCs w:val="21"/>
        </w:rPr>
        <w:t>金额单位：万元</w:t>
      </w:r>
    </w:p>
    <w:tbl>
      <w:tblPr>
        <w:tblStyle w:val="5"/>
        <w:tblW w:w="9521" w:type="dxa"/>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995"/>
        <w:gridCol w:w="189"/>
        <w:gridCol w:w="1034"/>
        <w:gridCol w:w="402"/>
        <w:gridCol w:w="1271"/>
        <w:gridCol w:w="1553"/>
        <w:gridCol w:w="1199"/>
        <w:gridCol w:w="27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96"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项目单位</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名称</w:t>
            </w:r>
          </w:p>
        </w:tc>
        <w:tc>
          <w:tcPr>
            <w:tcW w:w="2218"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（盖章）</w:t>
            </w:r>
          </w:p>
        </w:tc>
        <w:tc>
          <w:tcPr>
            <w:tcW w:w="1673"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项目名称</w:t>
            </w:r>
          </w:p>
        </w:tc>
        <w:tc>
          <w:tcPr>
            <w:tcW w:w="4334" w:type="dxa"/>
            <w:gridSpan w:val="4"/>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客服热线运行费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96"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责任部门</w:t>
            </w:r>
          </w:p>
        </w:tc>
        <w:tc>
          <w:tcPr>
            <w:tcW w:w="2218" w:type="dxa"/>
            <w:gridSpan w:val="3"/>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业务管理处</w:t>
            </w:r>
          </w:p>
        </w:tc>
        <w:tc>
          <w:tcPr>
            <w:tcW w:w="1673" w:type="dxa"/>
            <w:gridSpan w:val="2"/>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项目负责人</w:t>
            </w:r>
          </w:p>
        </w:tc>
        <w:tc>
          <w:tcPr>
            <w:tcW w:w="1553" w:type="dxa"/>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沙剑弘</w:t>
            </w:r>
          </w:p>
        </w:tc>
        <w:tc>
          <w:tcPr>
            <w:tcW w:w="1199" w:type="dxa"/>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联系电话</w:t>
            </w:r>
          </w:p>
        </w:tc>
        <w:tc>
          <w:tcPr>
            <w:tcW w:w="1582" w:type="dxa"/>
            <w:gridSpan w:val="2"/>
            <w:vAlign w:val="center"/>
          </w:tcPr>
          <w:p>
            <w:pPr>
              <w:snapToGrid w:val="0"/>
              <w:spacing w:line="320" w:lineRule="exact"/>
              <w:jc w:val="center"/>
              <w:rPr>
                <w:rFonts w:ascii="仿宋_GB2312" w:hAnsi="宋体" w:eastAsia="仿宋_GB2312" w:cs="宋体"/>
                <w:color w:val="000000"/>
                <w:sz w:val="24"/>
              </w:rPr>
            </w:pPr>
            <w:r>
              <w:rPr>
                <w:rFonts w:hint="eastAsia" w:ascii="仿宋_GB2312" w:hAnsi="宋体" w:eastAsia="仿宋_GB2312" w:cs="宋体"/>
                <w:color w:val="000000"/>
                <w:sz w:val="24"/>
              </w:rPr>
              <w:t>88999153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96" w:type="dxa"/>
            <w:vMerge w:val="restart"/>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基本</w:t>
            </w:r>
          </w:p>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情况</w:t>
            </w:r>
          </w:p>
        </w:tc>
        <w:tc>
          <w:tcPr>
            <w:tcW w:w="1184"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上年结转</w:t>
            </w:r>
          </w:p>
        </w:tc>
        <w:tc>
          <w:tcPr>
            <w:tcW w:w="1436"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预算安排数</w:t>
            </w:r>
          </w:p>
        </w:tc>
        <w:tc>
          <w:tcPr>
            <w:tcW w:w="1271" w:type="dxa"/>
            <w:tcBorders>
              <w:right w:val="single" w:color="auto" w:sz="4" w:space="0"/>
            </w:tcBorders>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预算调整数</w:t>
            </w:r>
          </w:p>
        </w:tc>
        <w:tc>
          <w:tcPr>
            <w:tcW w:w="1553" w:type="dxa"/>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财政支付数</w:t>
            </w:r>
          </w:p>
        </w:tc>
        <w:tc>
          <w:tcPr>
            <w:tcW w:w="2781"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预算结余数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96" w:type="dxa"/>
            <w:vMerge w:val="continue"/>
            <w:vAlign w:val="center"/>
          </w:tcPr>
          <w:p>
            <w:pPr>
              <w:snapToGrid w:val="0"/>
              <w:spacing w:line="320" w:lineRule="exact"/>
              <w:jc w:val="center"/>
              <w:rPr>
                <w:rFonts w:ascii="仿宋_GB2312" w:hAnsi="SimSun-ExtB" w:eastAsia="仿宋_GB2312"/>
                <w:color w:val="000000"/>
                <w:sz w:val="24"/>
              </w:rPr>
            </w:pPr>
          </w:p>
        </w:tc>
        <w:tc>
          <w:tcPr>
            <w:tcW w:w="1184"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0</w:t>
            </w:r>
          </w:p>
        </w:tc>
        <w:tc>
          <w:tcPr>
            <w:tcW w:w="1436" w:type="dxa"/>
            <w:gridSpan w:val="2"/>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60</w:t>
            </w:r>
          </w:p>
        </w:tc>
        <w:tc>
          <w:tcPr>
            <w:tcW w:w="1271" w:type="dxa"/>
            <w:tcBorders>
              <w:right w:val="single" w:color="auto" w:sz="4" w:space="0"/>
            </w:tcBorders>
            <w:vAlign w:val="center"/>
          </w:tcPr>
          <w:p>
            <w:pPr>
              <w:snapToGrid w:val="0"/>
              <w:spacing w:line="320" w:lineRule="exact"/>
              <w:jc w:val="center"/>
              <w:rPr>
                <w:rFonts w:ascii="仿宋_GB2312" w:hAnsi="SimSun-ExtB" w:eastAsia="仿宋_GB2312"/>
                <w:color w:val="000000"/>
                <w:sz w:val="24"/>
              </w:rPr>
            </w:pPr>
          </w:p>
        </w:tc>
        <w:tc>
          <w:tcPr>
            <w:tcW w:w="1553" w:type="dxa"/>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59.8</w:t>
            </w:r>
          </w:p>
        </w:tc>
        <w:tc>
          <w:tcPr>
            <w:tcW w:w="2781" w:type="dxa"/>
            <w:gridSpan w:val="3"/>
            <w:vAlign w:val="center"/>
          </w:tcPr>
          <w:p>
            <w:pPr>
              <w:snapToGrid w:val="0"/>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29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评价内容</w:t>
            </w:r>
          </w:p>
        </w:tc>
        <w:tc>
          <w:tcPr>
            <w:tcW w:w="995"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分值</w:t>
            </w:r>
          </w:p>
        </w:tc>
        <w:tc>
          <w:tcPr>
            <w:tcW w:w="5924" w:type="dxa"/>
            <w:gridSpan w:val="7"/>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自评简述</w:t>
            </w:r>
          </w:p>
        </w:tc>
        <w:tc>
          <w:tcPr>
            <w:tcW w:w="130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b/>
                <w:sz w:val="24"/>
              </w:rPr>
            </w:pPr>
            <w:r>
              <w:rPr>
                <w:rFonts w:hint="eastAsia" w:ascii="仿宋_GB2312" w:hAnsi="宋体" w:eastAsia="仿宋_GB2312" w:cs="宋体"/>
                <w:b/>
                <w:sz w:val="24"/>
              </w:rPr>
              <w:t>自评得分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7"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项目预算及预期绩效目标编制水平</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1、《住房公积金</w:t>
            </w:r>
            <w:r>
              <w:rPr>
                <w:rFonts w:hint="eastAsia" w:ascii="宋体" w:hAnsi="宋体"/>
                <w:color w:val="000000"/>
                <w:sz w:val="18"/>
                <w:szCs w:val="18"/>
                <w:lang w:eastAsia="zh-CN"/>
              </w:rPr>
              <w:t>管理</w:t>
            </w:r>
            <w:bookmarkStart w:id="1" w:name="_GoBack"/>
            <w:bookmarkEnd w:id="1"/>
            <w:r>
              <w:rPr>
                <w:rFonts w:hint="eastAsia" w:ascii="宋体" w:hAnsi="宋体"/>
                <w:color w:val="000000"/>
                <w:sz w:val="18"/>
                <w:szCs w:val="18"/>
              </w:rPr>
              <w:t>条例》、和部局《关于开通12329住房公积金热线的通知》《关于进一步加强公积金监管工作的通知》、《关于开展住房公积金阳光工程的通知》。</w:t>
            </w:r>
          </w:p>
          <w:p>
            <w:pPr>
              <w:spacing w:line="240" w:lineRule="exact"/>
              <w:rPr>
                <w:rFonts w:ascii="宋体" w:hAnsi="宋体"/>
                <w:color w:val="000000"/>
                <w:sz w:val="18"/>
                <w:szCs w:val="18"/>
              </w:rPr>
            </w:pPr>
            <w:r>
              <w:rPr>
                <w:rFonts w:hint="eastAsia" w:ascii="宋体" w:hAnsi="宋体"/>
                <w:color w:val="000000"/>
                <w:sz w:val="18"/>
                <w:szCs w:val="18"/>
              </w:rPr>
              <w:t>2、涵盖全市的统一的住房公积金客服热线12329运行费。市管理中心委托市电信号码百事通运行，24小时自动服务，12小时人工</w:t>
            </w:r>
            <w:r>
              <w:rPr>
                <w:rFonts w:hint="eastAsia" w:ascii="宋体" w:hAnsi="宋体"/>
                <w:color w:val="000000"/>
                <w:sz w:val="18"/>
                <w:szCs w:val="18"/>
                <w:lang w:eastAsia="zh-CN"/>
              </w:rPr>
              <w:t>座</w:t>
            </w:r>
            <w:r>
              <w:rPr>
                <w:rFonts w:hint="eastAsia" w:ascii="宋体" w:hAnsi="宋体"/>
                <w:color w:val="000000"/>
                <w:sz w:val="18"/>
                <w:szCs w:val="18"/>
              </w:rPr>
              <w:t>席服务，是市管理中心通过电话方式向社会提供住房公积金服务的综合平台和服务窗口，提供住房公积金政策咨询、疑难解答、办事指南等服务。</w:t>
            </w:r>
          </w:p>
          <w:p>
            <w:pPr>
              <w:spacing w:line="240" w:lineRule="exact"/>
              <w:rPr>
                <w:rFonts w:ascii="仿宋_GB2312" w:hAnsi="SimSun-ExtB" w:eastAsia="仿宋_GB2312"/>
                <w:color w:val="000000"/>
                <w:sz w:val="24"/>
              </w:rPr>
            </w:pPr>
            <w:r>
              <w:rPr>
                <w:rFonts w:hint="eastAsia" w:ascii="宋体" w:hAnsi="宋体"/>
                <w:color w:val="000000"/>
                <w:sz w:val="18"/>
                <w:szCs w:val="18"/>
              </w:rPr>
              <w:t>3、年度热线接通率不低于85%，呼损率不高于15%、热线服务对象满意度不低于90%，投诉率低于0.05%。</w:t>
            </w:r>
          </w:p>
        </w:tc>
        <w:tc>
          <w:tcPr>
            <w:tcW w:w="13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预算执行率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SimSun-ExtB" w:eastAsia="仿宋_GB2312"/>
                <w:color w:val="000000"/>
                <w:sz w:val="24"/>
              </w:rPr>
            </w:pPr>
            <w:r>
              <w:rPr>
                <w:rFonts w:hint="eastAsia" w:ascii="宋体" w:hAnsi="宋体"/>
                <w:color w:val="000000"/>
                <w:sz w:val="18"/>
                <w:szCs w:val="18"/>
              </w:rPr>
              <w:t>根据政府采购合同分期按季支付59.8万元，2018年度支付预算执行率99.67%。</w:t>
            </w:r>
          </w:p>
        </w:tc>
        <w:tc>
          <w:tcPr>
            <w:tcW w:w="13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0"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项目组织管理水平</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良好</w:t>
            </w:r>
          </w:p>
        </w:tc>
        <w:tc>
          <w:tcPr>
            <w:tcW w:w="13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 xml:space="preserve">10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合规率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合规率100%</w:t>
            </w:r>
          </w:p>
        </w:tc>
        <w:tc>
          <w:tcPr>
            <w:tcW w:w="13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资金支出</w:t>
            </w:r>
          </w:p>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相符率</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15</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olor w:val="000000"/>
                <w:sz w:val="18"/>
                <w:szCs w:val="18"/>
              </w:rPr>
            </w:pPr>
            <w:r>
              <w:rPr>
                <w:rFonts w:hint="eastAsia" w:ascii="宋体" w:hAnsi="宋体"/>
                <w:color w:val="000000"/>
                <w:sz w:val="18"/>
                <w:szCs w:val="18"/>
              </w:rPr>
              <w:t>相符率100%</w:t>
            </w:r>
          </w:p>
        </w:tc>
        <w:tc>
          <w:tcPr>
            <w:tcW w:w="13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项目产出</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25</w:t>
            </w:r>
          </w:p>
        </w:tc>
        <w:tc>
          <w:tcPr>
            <w:tcW w:w="5924" w:type="dxa"/>
            <w:gridSpan w:val="7"/>
            <w:tcBorders>
              <w:top w:val="single" w:color="auto" w:sz="4" w:space="0"/>
              <w:left w:val="single" w:color="auto" w:sz="4" w:space="0"/>
              <w:bottom w:val="nil"/>
              <w:right w:val="single" w:color="auto" w:sz="4" w:space="0"/>
            </w:tcBorders>
            <w:vAlign w:val="center"/>
          </w:tcPr>
          <w:p>
            <w:pPr>
              <w:spacing w:line="240" w:lineRule="exact"/>
              <w:rPr>
                <w:rFonts w:ascii="Arial" w:hAnsi="Arial" w:cs="Arial"/>
                <w:color w:val="000000"/>
                <w:kern w:val="0"/>
                <w:sz w:val="18"/>
                <w:szCs w:val="18"/>
              </w:rPr>
            </w:pPr>
            <w:r>
              <w:rPr>
                <w:rFonts w:hint="eastAsia" w:ascii="宋体" w:hAnsi="宋体"/>
                <w:color w:val="000000"/>
                <w:sz w:val="18"/>
                <w:szCs w:val="18"/>
              </w:rPr>
              <w:t>2018年度12329客服热线年度人工服务占用次数153541，通话次数133783，接通率87.13%，呼损19758；不满意 76 (含用户误按及对政策实施情况不满意），满意度 99.99%；投诉 22件，投诉占比 0.016%。</w:t>
            </w:r>
          </w:p>
        </w:tc>
        <w:tc>
          <w:tcPr>
            <w:tcW w:w="1306" w:type="dxa"/>
            <w:tcBorders>
              <w:top w:val="single" w:color="auto" w:sz="4" w:space="0"/>
              <w:left w:val="single" w:color="auto" w:sz="4" w:space="0"/>
              <w:bottom w:val="nil"/>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41" w:hRule="atLeast"/>
        </w:trPr>
        <w:tc>
          <w:tcPr>
            <w:tcW w:w="129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项目效益（效果）</w:t>
            </w:r>
          </w:p>
        </w:tc>
        <w:tc>
          <w:tcPr>
            <w:tcW w:w="995"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c>
          <w:tcPr>
            <w:tcW w:w="5924" w:type="dxa"/>
            <w:gridSpan w:val="7"/>
            <w:tcBorders>
              <w:top w:val="single" w:color="auto" w:sz="4" w:space="0"/>
              <w:left w:val="single" w:color="auto" w:sz="4" w:space="0"/>
              <w:right w:val="single" w:color="auto" w:sz="4" w:space="0"/>
            </w:tcBorders>
            <w:vAlign w:val="center"/>
          </w:tcPr>
          <w:p>
            <w:pPr>
              <w:spacing w:line="240" w:lineRule="exact"/>
              <w:rPr>
                <w:rFonts w:ascii="宋体" w:hAnsi="宋体"/>
                <w:color w:val="000000"/>
                <w:sz w:val="18"/>
                <w:szCs w:val="18"/>
              </w:rPr>
            </w:pPr>
            <w:r>
              <w:rPr>
                <w:rFonts w:hint="eastAsia" w:ascii="宋体" w:hAnsi="宋体"/>
                <w:color w:val="000000"/>
                <w:sz w:val="18"/>
                <w:szCs w:val="18"/>
              </w:rPr>
              <w:t>1、增强住房公积金影响率，推进住房公积金扩面工作，通过热线服务积极拓宽住房公积金覆盖面。2018年新增缴存职工12.83万人；净增实缴职工7.54万人，净增人数完成省厅年度计划的215.31%，2018年，我市实缴人数66.52万人，居全省第三。</w:t>
            </w:r>
          </w:p>
          <w:p>
            <w:pPr>
              <w:spacing w:line="240" w:lineRule="exact"/>
              <w:rPr>
                <w:rFonts w:ascii="宋体" w:hAnsi="宋体"/>
                <w:color w:val="000000"/>
                <w:sz w:val="18"/>
                <w:szCs w:val="18"/>
              </w:rPr>
            </w:pPr>
            <w:r>
              <w:rPr>
                <w:rFonts w:hint="eastAsia" w:ascii="宋体" w:hAnsi="宋体"/>
                <w:color w:val="000000"/>
                <w:sz w:val="18"/>
                <w:szCs w:val="18"/>
              </w:rPr>
              <w:t>2、通过热线服务，进一步向全社会人员宣传、普及公积金政策、法规、作用、意义等知识；进一步增强公积金管理工作透明度，加强社会监督；进一步推进业务互动，落实“最多跑一次”改革工作。</w:t>
            </w:r>
          </w:p>
        </w:tc>
        <w:tc>
          <w:tcPr>
            <w:tcW w:w="1306" w:type="dxa"/>
            <w:tcBorders>
              <w:top w:val="single" w:color="auto" w:sz="4" w:space="0"/>
              <w:left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6"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合计</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c>
          <w:tcPr>
            <w:tcW w:w="5924"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w:t>
            </w:r>
          </w:p>
        </w:tc>
        <w:tc>
          <w:tcPr>
            <w:tcW w:w="130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SimSun-ExtB" w:eastAsia="仿宋_GB2312"/>
                <w:color w:val="000000"/>
                <w:sz w:val="24"/>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4" w:hRule="atLeast"/>
        </w:trPr>
        <w:tc>
          <w:tcPr>
            <w:tcW w:w="12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color w:val="000000"/>
                <w:sz w:val="24"/>
              </w:rPr>
              <w:t>评价结果</w:t>
            </w:r>
          </w:p>
        </w:tc>
        <w:tc>
          <w:tcPr>
            <w:tcW w:w="9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p>
        </w:tc>
        <w:tc>
          <w:tcPr>
            <w:tcW w:w="7230" w:type="dxa"/>
            <w:gridSpan w:val="8"/>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SimSun-ExtB" w:eastAsia="仿宋_GB2312"/>
                <w:color w:val="000000"/>
                <w:sz w:val="24"/>
              </w:rPr>
            </w:pPr>
            <w:r>
              <w:rPr>
                <w:rFonts w:hint="eastAsia" w:ascii="仿宋_GB2312" w:hAnsi="宋体" w:eastAsia="仿宋_GB2312" w:cs="宋体"/>
                <w:sz w:val="24"/>
              </w:rPr>
              <w:t>■优秀</w:t>
            </w:r>
            <w:r>
              <w:rPr>
                <w:rFonts w:hint="eastAsia" w:ascii="仿宋_GB2312" w:hAnsi="SimSun-ExtB" w:eastAsia="仿宋_GB2312" w:cs="宋体"/>
                <w:sz w:val="24"/>
              </w:rPr>
              <w:t xml:space="preserve">  100-90</w:t>
            </w:r>
            <w:r>
              <w:rPr>
                <w:rFonts w:hint="eastAsia" w:ascii="仿宋_GB2312" w:hAnsi="宋体" w:eastAsia="仿宋_GB2312" w:cs="宋体"/>
                <w:sz w:val="24"/>
              </w:rPr>
              <w:t>分；</w:t>
            </w:r>
            <w:r>
              <w:rPr>
                <w:rFonts w:hint="eastAsia" w:ascii="仿宋_GB2312" w:hAnsi="SimSun-ExtB" w:eastAsia="仿宋_GB2312" w:cs="宋体"/>
                <w:sz w:val="24"/>
              </w:rPr>
              <w:t xml:space="preserve"> </w:t>
            </w:r>
            <w:r>
              <w:rPr>
                <w:rFonts w:hint="eastAsia" w:ascii="仿宋_GB2312" w:hAnsi="宋体" w:eastAsia="仿宋_GB2312" w:cs="宋体"/>
                <w:sz w:val="24"/>
              </w:rPr>
              <w:t>□良好</w:t>
            </w:r>
            <w:r>
              <w:rPr>
                <w:rFonts w:hint="eastAsia" w:ascii="仿宋_GB2312" w:hAnsi="SimSun-ExtB" w:eastAsia="仿宋_GB2312" w:cs="宋体"/>
                <w:sz w:val="24"/>
              </w:rPr>
              <w:t xml:space="preserve">  89-75</w:t>
            </w:r>
            <w:r>
              <w:rPr>
                <w:rFonts w:hint="eastAsia" w:ascii="仿宋_GB2312" w:hAnsi="宋体" w:eastAsia="仿宋_GB2312" w:cs="宋体"/>
                <w:sz w:val="24"/>
              </w:rPr>
              <w:t>分；</w:t>
            </w:r>
            <w:r>
              <w:rPr>
                <w:rFonts w:hint="eastAsia" w:ascii="仿宋_GB2312" w:hAnsi="SimSun-ExtB" w:eastAsia="仿宋_GB2312" w:cs="宋体"/>
                <w:sz w:val="24"/>
              </w:rPr>
              <w:t xml:space="preserve"> </w:t>
            </w:r>
            <w:r>
              <w:rPr>
                <w:rFonts w:hint="eastAsia" w:ascii="仿宋_GB2312" w:hAnsi="宋体" w:eastAsia="仿宋_GB2312" w:cs="宋体"/>
                <w:sz w:val="24"/>
              </w:rPr>
              <w:t>□一般</w:t>
            </w:r>
            <w:r>
              <w:rPr>
                <w:rFonts w:hint="eastAsia" w:ascii="仿宋_GB2312" w:hAnsi="SimSun-ExtB" w:eastAsia="仿宋_GB2312" w:cs="宋体"/>
                <w:sz w:val="24"/>
              </w:rPr>
              <w:t xml:space="preserve">  74-60</w:t>
            </w:r>
            <w:r>
              <w:rPr>
                <w:rFonts w:hint="eastAsia" w:ascii="仿宋_GB2312" w:hAnsi="宋体" w:eastAsia="仿宋_GB2312" w:cs="宋体"/>
                <w:sz w:val="24"/>
              </w:rPr>
              <w:t>分；</w:t>
            </w:r>
            <w:r>
              <w:rPr>
                <w:rFonts w:hint="eastAsia" w:ascii="仿宋_GB2312" w:hAnsi="SimSun-ExtB" w:eastAsia="仿宋_GB2312" w:cs="宋体"/>
                <w:sz w:val="24"/>
              </w:rPr>
              <w:t xml:space="preserve"> </w:t>
            </w:r>
            <w:r>
              <w:rPr>
                <w:rFonts w:hint="eastAsia" w:ascii="仿宋_GB2312" w:hAnsi="宋体" w:eastAsia="仿宋_GB2312" w:cs="宋体"/>
                <w:sz w:val="24"/>
              </w:rPr>
              <w:t>□较差</w:t>
            </w:r>
            <w:r>
              <w:rPr>
                <w:rFonts w:hint="eastAsia" w:ascii="仿宋_GB2312" w:hAnsi="SimSun-ExtB" w:eastAsia="仿宋_GB2312" w:cs="宋体"/>
                <w:sz w:val="24"/>
              </w:rPr>
              <w:t xml:space="preserve">  59-0</w:t>
            </w:r>
            <w:r>
              <w:rPr>
                <w:rFonts w:hint="eastAsia" w:ascii="仿宋_GB2312" w:hAnsi="宋体" w:eastAsia="仿宋_GB2312" w:cs="宋体"/>
                <w:sz w:val="24"/>
              </w:rPr>
              <w:t>分</w:t>
            </w:r>
          </w:p>
        </w:tc>
      </w:tr>
    </w:tbl>
    <w:p>
      <w:pPr>
        <w:snapToGrid w:val="0"/>
        <w:spacing w:beforeLines="50" w:line="280" w:lineRule="exact"/>
        <w:ind w:left="-283" w:leftChars="-135" w:right="-483" w:rightChars="-230"/>
        <w:rPr>
          <w:rFonts w:ascii="仿宋_GB2312" w:hAnsi="SimSun-ExtB" w:eastAsia="仿宋_GB2312"/>
          <w:szCs w:val="21"/>
        </w:rPr>
      </w:pPr>
      <w:r>
        <w:rPr>
          <w:rFonts w:hint="eastAsia" w:ascii="仿宋_GB2312" w:hAnsi="宋体" w:eastAsia="仿宋_GB2312" w:cs="宋体"/>
          <w:sz w:val="24"/>
        </w:rPr>
        <w:t>单位负责人（签字）：项目负责人（签字）：沙剑弘</w:t>
      </w:r>
      <w:r>
        <w:rPr>
          <w:rFonts w:hint="eastAsia" w:ascii="仿宋_GB2312" w:hAnsi="SimSun-ExtB" w:eastAsia="仿宋_GB2312"/>
          <w:sz w:val="24"/>
        </w:rPr>
        <w:t xml:space="preserve">  </w:t>
      </w:r>
      <w:r>
        <w:rPr>
          <w:rFonts w:hint="eastAsia" w:ascii="仿宋_GB2312" w:hAnsi="宋体" w:eastAsia="仿宋_GB2312" w:cs="宋体"/>
          <w:sz w:val="24"/>
        </w:rPr>
        <w:t>填表日期：2019年月日</w:t>
      </w:r>
    </w:p>
    <w:p>
      <w:pPr>
        <w:widowControl/>
        <w:spacing w:line="600" w:lineRule="atLeast"/>
        <w:ind w:firstLine="640"/>
        <w:rPr>
          <w:rFonts w:ascii="仿宋" w:hAnsi="宋体" w:eastAsia="仿宋" w:cs="Arial"/>
          <w:b/>
          <w:bCs/>
          <w:kern w:val="0"/>
          <w:sz w:val="32"/>
        </w:rPr>
      </w:pPr>
      <w:r>
        <w:rPr>
          <w:rFonts w:hint="eastAsia" w:ascii="仿宋" w:hAnsi="宋体" w:eastAsia="仿宋" w:cs="Arial"/>
          <w:b/>
          <w:bCs/>
          <w:kern w:val="0"/>
          <w:sz w:val="32"/>
        </w:rPr>
        <w:t>3.</w:t>
      </w:r>
      <w:bookmarkStart w:id="0" w:name="OLE_LINK1"/>
      <w:r>
        <w:rPr>
          <w:rFonts w:hint="eastAsia" w:ascii="仿宋" w:hAnsi="宋体" w:eastAsia="仿宋" w:cs="Arial"/>
          <w:b/>
          <w:bCs/>
          <w:kern w:val="0"/>
          <w:sz w:val="32"/>
        </w:rPr>
        <w:t>以部门为主体开展的重点绩效评价</w:t>
      </w:r>
      <w:bookmarkEnd w:id="0"/>
      <w:r>
        <w:rPr>
          <w:rFonts w:hint="eastAsia" w:ascii="仿宋" w:hAnsi="宋体" w:eastAsia="仿宋" w:cs="Arial"/>
          <w:b/>
          <w:bCs/>
          <w:kern w:val="0"/>
          <w:sz w:val="32"/>
        </w:rPr>
        <w:t>结果。</w:t>
      </w:r>
    </w:p>
    <w:p>
      <w:pPr>
        <w:widowControl/>
        <w:spacing w:line="600" w:lineRule="atLeast"/>
        <w:ind w:firstLine="640"/>
        <w:rPr>
          <w:rFonts w:ascii="仿宋_GB2312" w:hAnsi="宋体" w:eastAsia="仿宋_GB2312" w:cs="Arial"/>
          <w:bCs/>
          <w:kern w:val="0"/>
          <w:sz w:val="32"/>
        </w:rPr>
      </w:pPr>
      <w:r>
        <w:rPr>
          <w:rFonts w:hint="eastAsia" w:ascii="仿宋_GB2312" w:hAnsi="宋体" w:eastAsia="仿宋_GB2312" w:cs="Arial"/>
          <w:bCs/>
          <w:kern w:val="0"/>
          <w:sz w:val="32"/>
        </w:rPr>
        <w:t>无以部门为主体开展的重点绩效评价。</w:t>
      </w:r>
    </w:p>
    <w:p>
      <w:pPr>
        <w:widowControl/>
        <w:spacing w:line="600" w:lineRule="atLeast"/>
        <w:ind w:firstLine="640"/>
        <w:rPr>
          <w:rFonts w:ascii="仿宋" w:hAnsi="宋体" w:eastAsia="仿宋" w:cs="Arial"/>
          <w:b/>
          <w:bCs/>
          <w:kern w:val="0"/>
          <w:sz w:val="32"/>
        </w:rPr>
      </w:pPr>
      <w:r>
        <w:rPr>
          <w:rFonts w:hint="eastAsia" w:ascii="仿宋" w:hAnsi="宋体" w:eastAsia="仿宋" w:cs="Arial"/>
          <w:b/>
          <w:bCs/>
          <w:kern w:val="0"/>
          <w:sz w:val="32"/>
        </w:rPr>
        <w:t>4.财政部门组织开展的绩效评价结果。</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2018年度本部门由财政部门组织开展的绩效评价项目1个，预算金额共计45万元。其中：评价结果等次为优秀的项目0个。评价等次为良好的项目1个，分别是①公积金政策推广费项目, 预算金额45万元，执行数为44.76万元，完成预算的99.47%。项目资金主要用于公积金政策的宣传推广。评价结果等次为一般的项目0个。评价结果等次为较差的项目0个。</w:t>
      </w:r>
    </w:p>
    <w:p>
      <w:pPr>
        <w:widowControl/>
        <w:spacing w:line="600" w:lineRule="atLeast"/>
        <w:ind w:firstLine="640"/>
        <w:rPr>
          <w:rFonts w:ascii="宋体" w:hAnsi="宋体" w:eastAsia="宋体" w:cs="宋体"/>
          <w:kern w:val="0"/>
          <w:sz w:val="24"/>
          <w:szCs w:val="24"/>
        </w:rPr>
      </w:pPr>
      <w:r>
        <w:rPr>
          <w:rFonts w:hint="eastAsia" w:ascii="楷体" w:hAnsi="宋体" w:eastAsia="楷体" w:cs="Arial"/>
          <w:b/>
          <w:bCs/>
          <w:kern w:val="0"/>
          <w:sz w:val="32"/>
        </w:rPr>
        <w:t>（十）其他重要事项的情况说明</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1.机关运行经费支出情况。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2018年度机关运行经费支出207.38万元，比年初预算数减少7.31万元，下降3.40%，主要原因是节约支出。</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2.政府采购支出情况。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2018年度政府采购支出总额284.55万元，其中：政府采购货物支出155.41万元、政府采购工程支出0万元、政府采购服务支出129.14万元。授予中小企业合同金额284.55万元，占政府采购支出总额的100%。其中，授予小微企业合同金额0万元，占政府采购支出总额的0%。</w:t>
      </w:r>
    </w:p>
    <w:p>
      <w:pPr>
        <w:widowControl/>
        <w:spacing w:line="600" w:lineRule="atLeast"/>
        <w:ind w:firstLine="640"/>
        <w:rPr>
          <w:rFonts w:ascii="宋体" w:hAnsi="宋体" w:eastAsia="宋体" w:cs="宋体"/>
          <w:kern w:val="0"/>
          <w:sz w:val="24"/>
          <w:szCs w:val="24"/>
        </w:rPr>
      </w:pPr>
      <w:r>
        <w:rPr>
          <w:rFonts w:hint="eastAsia" w:ascii="仿宋" w:hAnsi="宋体" w:eastAsia="仿宋" w:cs="Arial"/>
          <w:b/>
          <w:bCs/>
          <w:kern w:val="0"/>
          <w:sz w:val="32"/>
        </w:rPr>
        <w:t>3.国有资产占有使用情况。</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 xml:space="preserve">截至2018年12月31日，温州市住房公积金管理中心本级及所属各单位共有车辆0辆，其中，副部（省）级及以上领导用车0辆、主要领导干部用车0辆、机要通信用车0辆、应急保障用车0辆、执法执勤用车0辆、特种专业技术用车0辆、离退休干部用车0辆、其他用车0辆,其他用车主要是……。单价50万元以上通用设备0台（套），单价100万元以上专用设备0台（套）。 </w:t>
      </w:r>
    </w:p>
    <w:p>
      <w:pPr>
        <w:widowControl/>
        <w:spacing w:line="600" w:lineRule="atLeast"/>
        <w:ind w:firstLine="640"/>
        <w:rPr>
          <w:rFonts w:ascii="宋体" w:hAnsi="宋体" w:eastAsia="宋体" w:cs="宋体"/>
          <w:kern w:val="0"/>
          <w:sz w:val="24"/>
          <w:szCs w:val="24"/>
        </w:rPr>
      </w:pPr>
      <w:r>
        <w:rPr>
          <w:rFonts w:hint="eastAsia" w:ascii="黑体" w:hAnsi="宋体" w:eastAsia="黑体" w:cs="Arial"/>
          <w:b/>
          <w:bCs/>
          <w:kern w:val="0"/>
          <w:sz w:val="32"/>
        </w:rPr>
        <w:t>四、名词解释</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1.财政拨款收入：指本级财政部门当年拨付的财政预算资金，包括一般公共预算财政拨款和政府性基金预算财政拨款。</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2.事业收入：指事业单位开展专业业务活动及辅助活动所取得的收入。</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3.经营收入：指事业单位在专业业务活动及辅助活动之外开展非独立核算经营活动取得的收入。</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4.其他收入：指预算单位在“财政拨款”、“事业收入”、“经营收入”、“上级补助收入”、“附属单位上缴收入”等之外取得的各项收入。</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5.用事业基金弥补收支差额：指事业单位当年的“财政拨款收入”“事业收入”“其他收入”等不足以安排当年支出的情况下，使用以前年度积累的事业基金弥补本年收支缺口的资金。</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6.年初结转和结余：指预算单位以前年度尚未完成、结转到本年仍按原规定用途继续使用的资金。</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7.年末结转和结余：指单位按有关规定结转到下年或以后年度继续使用的资金。</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8.基本支出：指预算单位为保障其正常运转，完成日常工作任务所发生的支出，包括人员经费支出和日常公用经费支出。</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9.项目支出：指预算单位为完成其特定的行政工作任务或事业发展目标所发生的支出。</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10.经营支出：指事业单位在专业业务活动及其辅助活动之外开展非独立核算经营活动发生的支出。</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widowControl/>
        <w:spacing w:line="600" w:lineRule="atLeast"/>
        <w:ind w:firstLine="640"/>
        <w:rPr>
          <w:rFonts w:ascii="仿宋_GB2312" w:hAnsi="宋体" w:eastAsia="仿宋_GB2312" w:cs="宋体"/>
          <w:kern w:val="0"/>
          <w:sz w:val="24"/>
          <w:szCs w:val="24"/>
        </w:rPr>
      </w:pPr>
      <w:r>
        <w:rPr>
          <w:rFonts w:hint="eastAsia" w:ascii="仿宋_GB2312" w:hAnsi="宋体" w:eastAsia="仿宋_GB2312" w:cs="Arial"/>
          <w:kern w:val="0"/>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仿宋_GB2312" w:eastAsia="仿宋_GB2312"/>
          <w:sz w:val="32"/>
          <w:szCs w:val="32"/>
        </w:rPr>
      </w:pPr>
      <w:r>
        <w:rPr>
          <w:rFonts w:hint="eastAsia" w:ascii="仿宋_GB2312" w:hAnsi="宋体" w:eastAsia="仿宋_GB2312" w:cs="Arial"/>
          <w:kern w:val="0"/>
          <w:sz w:val="32"/>
          <w:szCs w:val="32"/>
        </w:rPr>
        <w:t>13.</w:t>
      </w:r>
      <w:r>
        <w:rPr>
          <w:rFonts w:hint="eastAsia" w:ascii="仿宋_GB2312" w:eastAsia="仿宋_GB2312"/>
          <w:sz w:val="32"/>
          <w:szCs w:val="32"/>
        </w:rPr>
        <w:t xml:space="preserve"> 医疗卫生与计划生育支出（类）行政事业单位医疗（款）行政单位医疗（项）：反映财政部门集中安排的行政单位基本医疗保险缴费经费，按国家规定享受离休人员、红军老战士待遇人员的医疗经费。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14. 住房保障支出（类）住房改革支出（款）住房公积金（项）：反映行政事业单位按人力资源和社会保障部、财政部规定的基本工资和津贴补贴以及规定比例为职工缴纳的住房公积金。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15. 住房保障支出（类）住房改革支出（款）购房补贴（项）：反映按房改政策规定，行政事业单位向符合条件职工（含离退休人员）、军队（含武警）向转役复员离退休人员发放的用于购买住房的补贴。</w:t>
      </w:r>
    </w:p>
    <w:p>
      <w:pPr>
        <w:spacing w:line="540" w:lineRule="exact"/>
        <w:ind w:firstLine="640" w:firstLineChars="200"/>
        <w:rPr>
          <w:rFonts w:ascii="仿宋_GB2312" w:eastAsia="仿宋_GB2312"/>
          <w:sz w:val="24"/>
          <w:szCs w:val="24"/>
        </w:rPr>
      </w:pPr>
      <w:r>
        <w:rPr>
          <w:rFonts w:hint="eastAsia" w:ascii="仿宋_GB2312" w:eastAsia="仿宋_GB2312"/>
          <w:sz w:val="32"/>
          <w:szCs w:val="32"/>
        </w:rPr>
        <w:t>16.住房保障支出（类）城乡社区住宅（款）住房公积金管理（项）：反映经财政部门批准用于住房公积金管理机构的管理费用支出。</w:t>
      </w:r>
    </w:p>
    <w:p>
      <w:pPr>
        <w:widowControl/>
        <w:spacing w:line="600" w:lineRule="atLeast"/>
        <w:ind w:firstLine="640"/>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EwNDIxMDQ4YjliZjBkMmE1ZGY4NTQ1Y2FmYTU1OTkifQ=="/>
  </w:docVars>
  <w:rsids>
    <w:rsidRoot w:val="001B7BB6"/>
    <w:rsid w:val="00000975"/>
    <w:rsid w:val="00000C84"/>
    <w:rsid w:val="00002908"/>
    <w:rsid w:val="0000354A"/>
    <w:rsid w:val="000036B4"/>
    <w:rsid w:val="00003D7B"/>
    <w:rsid w:val="000047D8"/>
    <w:rsid w:val="00004DEE"/>
    <w:rsid w:val="00004E38"/>
    <w:rsid w:val="000053A5"/>
    <w:rsid w:val="00005492"/>
    <w:rsid w:val="0000799F"/>
    <w:rsid w:val="00007CCF"/>
    <w:rsid w:val="00010CDE"/>
    <w:rsid w:val="00011A25"/>
    <w:rsid w:val="00012400"/>
    <w:rsid w:val="0001262F"/>
    <w:rsid w:val="0001310A"/>
    <w:rsid w:val="00013F60"/>
    <w:rsid w:val="0001417B"/>
    <w:rsid w:val="00014B3E"/>
    <w:rsid w:val="00015D2B"/>
    <w:rsid w:val="00016A74"/>
    <w:rsid w:val="00017CF7"/>
    <w:rsid w:val="00020052"/>
    <w:rsid w:val="000201BF"/>
    <w:rsid w:val="00020501"/>
    <w:rsid w:val="00020812"/>
    <w:rsid w:val="00020FFF"/>
    <w:rsid w:val="00021A82"/>
    <w:rsid w:val="00022534"/>
    <w:rsid w:val="00022829"/>
    <w:rsid w:val="00022F60"/>
    <w:rsid w:val="00024687"/>
    <w:rsid w:val="000269B3"/>
    <w:rsid w:val="0002754B"/>
    <w:rsid w:val="00031470"/>
    <w:rsid w:val="00032470"/>
    <w:rsid w:val="0003262A"/>
    <w:rsid w:val="000328A4"/>
    <w:rsid w:val="00033361"/>
    <w:rsid w:val="00037CA4"/>
    <w:rsid w:val="00037D47"/>
    <w:rsid w:val="00040A41"/>
    <w:rsid w:val="00040D45"/>
    <w:rsid w:val="0004126E"/>
    <w:rsid w:val="0004288C"/>
    <w:rsid w:val="00044008"/>
    <w:rsid w:val="00044A23"/>
    <w:rsid w:val="00050DEE"/>
    <w:rsid w:val="0005227E"/>
    <w:rsid w:val="00053E4B"/>
    <w:rsid w:val="00054030"/>
    <w:rsid w:val="000602D7"/>
    <w:rsid w:val="00060A7D"/>
    <w:rsid w:val="0006187F"/>
    <w:rsid w:val="00061CCB"/>
    <w:rsid w:val="00061FF1"/>
    <w:rsid w:val="00064374"/>
    <w:rsid w:val="000649FA"/>
    <w:rsid w:val="00065355"/>
    <w:rsid w:val="000655FB"/>
    <w:rsid w:val="00065A3F"/>
    <w:rsid w:val="000660D6"/>
    <w:rsid w:val="000670F2"/>
    <w:rsid w:val="00067668"/>
    <w:rsid w:val="00070273"/>
    <w:rsid w:val="000751A2"/>
    <w:rsid w:val="00075BC3"/>
    <w:rsid w:val="00075ED0"/>
    <w:rsid w:val="00076A40"/>
    <w:rsid w:val="0007755E"/>
    <w:rsid w:val="00077E96"/>
    <w:rsid w:val="00080F1E"/>
    <w:rsid w:val="00081C9D"/>
    <w:rsid w:val="00082A76"/>
    <w:rsid w:val="00082F87"/>
    <w:rsid w:val="00083789"/>
    <w:rsid w:val="00083983"/>
    <w:rsid w:val="00083DB9"/>
    <w:rsid w:val="000852EB"/>
    <w:rsid w:val="00086168"/>
    <w:rsid w:val="000871AA"/>
    <w:rsid w:val="0009262D"/>
    <w:rsid w:val="00092904"/>
    <w:rsid w:val="0009302C"/>
    <w:rsid w:val="00093573"/>
    <w:rsid w:val="0009425F"/>
    <w:rsid w:val="000947D9"/>
    <w:rsid w:val="00095B66"/>
    <w:rsid w:val="00097145"/>
    <w:rsid w:val="000A0D06"/>
    <w:rsid w:val="000A129D"/>
    <w:rsid w:val="000A2A4D"/>
    <w:rsid w:val="000A3354"/>
    <w:rsid w:val="000A4755"/>
    <w:rsid w:val="000A523B"/>
    <w:rsid w:val="000B21C7"/>
    <w:rsid w:val="000B24EE"/>
    <w:rsid w:val="000B3F28"/>
    <w:rsid w:val="000B44E5"/>
    <w:rsid w:val="000B539F"/>
    <w:rsid w:val="000B6651"/>
    <w:rsid w:val="000B69E2"/>
    <w:rsid w:val="000B7773"/>
    <w:rsid w:val="000B7889"/>
    <w:rsid w:val="000C2ABE"/>
    <w:rsid w:val="000C3E81"/>
    <w:rsid w:val="000C4F1F"/>
    <w:rsid w:val="000C6A2C"/>
    <w:rsid w:val="000C71B3"/>
    <w:rsid w:val="000D454D"/>
    <w:rsid w:val="000D67BA"/>
    <w:rsid w:val="000D7395"/>
    <w:rsid w:val="000D73D3"/>
    <w:rsid w:val="000E05AA"/>
    <w:rsid w:val="000E15CE"/>
    <w:rsid w:val="000E17B9"/>
    <w:rsid w:val="000E1FB8"/>
    <w:rsid w:val="000E23A6"/>
    <w:rsid w:val="000E5622"/>
    <w:rsid w:val="000E61B8"/>
    <w:rsid w:val="000E629A"/>
    <w:rsid w:val="000E6A4A"/>
    <w:rsid w:val="000F08AD"/>
    <w:rsid w:val="000F0A23"/>
    <w:rsid w:val="000F3713"/>
    <w:rsid w:val="000F38FA"/>
    <w:rsid w:val="000F3E99"/>
    <w:rsid w:val="000F605E"/>
    <w:rsid w:val="000F6BDC"/>
    <w:rsid w:val="000F7275"/>
    <w:rsid w:val="000F779D"/>
    <w:rsid w:val="001000C2"/>
    <w:rsid w:val="00100C9D"/>
    <w:rsid w:val="00100D5F"/>
    <w:rsid w:val="0010226B"/>
    <w:rsid w:val="0010243A"/>
    <w:rsid w:val="001031B0"/>
    <w:rsid w:val="001045EE"/>
    <w:rsid w:val="00105B0C"/>
    <w:rsid w:val="001064B4"/>
    <w:rsid w:val="00106730"/>
    <w:rsid w:val="00106DB5"/>
    <w:rsid w:val="0011089E"/>
    <w:rsid w:val="00111408"/>
    <w:rsid w:val="001126D9"/>
    <w:rsid w:val="001137F4"/>
    <w:rsid w:val="00113D89"/>
    <w:rsid w:val="001145B4"/>
    <w:rsid w:val="001154F4"/>
    <w:rsid w:val="00115D2A"/>
    <w:rsid w:val="00116C94"/>
    <w:rsid w:val="001214D9"/>
    <w:rsid w:val="001216F2"/>
    <w:rsid w:val="001246DB"/>
    <w:rsid w:val="00124944"/>
    <w:rsid w:val="00124E28"/>
    <w:rsid w:val="00127F69"/>
    <w:rsid w:val="00130A00"/>
    <w:rsid w:val="00131B69"/>
    <w:rsid w:val="001323B7"/>
    <w:rsid w:val="00133119"/>
    <w:rsid w:val="00133F83"/>
    <w:rsid w:val="001354E7"/>
    <w:rsid w:val="001355FF"/>
    <w:rsid w:val="00135831"/>
    <w:rsid w:val="00136200"/>
    <w:rsid w:val="001367B0"/>
    <w:rsid w:val="00136A67"/>
    <w:rsid w:val="00136F67"/>
    <w:rsid w:val="0013733E"/>
    <w:rsid w:val="00137E74"/>
    <w:rsid w:val="0014025D"/>
    <w:rsid w:val="00140886"/>
    <w:rsid w:val="00140E38"/>
    <w:rsid w:val="00142349"/>
    <w:rsid w:val="00143880"/>
    <w:rsid w:val="00144C6A"/>
    <w:rsid w:val="00145051"/>
    <w:rsid w:val="0014531C"/>
    <w:rsid w:val="00146E33"/>
    <w:rsid w:val="00147145"/>
    <w:rsid w:val="00150BC7"/>
    <w:rsid w:val="00152713"/>
    <w:rsid w:val="00154111"/>
    <w:rsid w:val="001543A8"/>
    <w:rsid w:val="00154B08"/>
    <w:rsid w:val="00157BF6"/>
    <w:rsid w:val="00160624"/>
    <w:rsid w:val="00162D60"/>
    <w:rsid w:val="00164A37"/>
    <w:rsid w:val="00165968"/>
    <w:rsid w:val="00166134"/>
    <w:rsid w:val="0016777F"/>
    <w:rsid w:val="0017177D"/>
    <w:rsid w:val="00171A95"/>
    <w:rsid w:val="00171B80"/>
    <w:rsid w:val="00172379"/>
    <w:rsid w:val="00173A25"/>
    <w:rsid w:val="0018094F"/>
    <w:rsid w:val="00180B36"/>
    <w:rsid w:val="0018210E"/>
    <w:rsid w:val="00182789"/>
    <w:rsid w:val="001836D2"/>
    <w:rsid w:val="0018477E"/>
    <w:rsid w:val="0018677A"/>
    <w:rsid w:val="00190750"/>
    <w:rsid w:val="001911FF"/>
    <w:rsid w:val="001914A5"/>
    <w:rsid w:val="001917AD"/>
    <w:rsid w:val="00192127"/>
    <w:rsid w:val="0019252E"/>
    <w:rsid w:val="00194157"/>
    <w:rsid w:val="001947EF"/>
    <w:rsid w:val="001955E0"/>
    <w:rsid w:val="001971DE"/>
    <w:rsid w:val="001A08D6"/>
    <w:rsid w:val="001A0F92"/>
    <w:rsid w:val="001A17E6"/>
    <w:rsid w:val="001A2409"/>
    <w:rsid w:val="001A2462"/>
    <w:rsid w:val="001A342B"/>
    <w:rsid w:val="001A3ABD"/>
    <w:rsid w:val="001A54DF"/>
    <w:rsid w:val="001A5688"/>
    <w:rsid w:val="001A602C"/>
    <w:rsid w:val="001A6215"/>
    <w:rsid w:val="001A7AD2"/>
    <w:rsid w:val="001B19C6"/>
    <w:rsid w:val="001B2C3C"/>
    <w:rsid w:val="001B3D8D"/>
    <w:rsid w:val="001B4F5D"/>
    <w:rsid w:val="001B519D"/>
    <w:rsid w:val="001B51B7"/>
    <w:rsid w:val="001B547A"/>
    <w:rsid w:val="001B5CE4"/>
    <w:rsid w:val="001B7805"/>
    <w:rsid w:val="001B7BB6"/>
    <w:rsid w:val="001C0720"/>
    <w:rsid w:val="001C094F"/>
    <w:rsid w:val="001C1488"/>
    <w:rsid w:val="001C1B3E"/>
    <w:rsid w:val="001C1BDF"/>
    <w:rsid w:val="001C306C"/>
    <w:rsid w:val="001C7427"/>
    <w:rsid w:val="001D075D"/>
    <w:rsid w:val="001D0B0A"/>
    <w:rsid w:val="001D147C"/>
    <w:rsid w:val="001D225E"/>
    <w:rsid w:val="001D2830"/>
    <w:rsid w:val="001D28BC"/>
    <w:rsid w:val="001D4B82"/>
    <w:rsid w:val="001D5C2E"/>
    <w:rsid w:val="001D645F"/>
    <w:rsid w:val="001D6DC4"/>
    <w:rsid w:val="001D732D"/>
    <w:rsid w:val="001D7A16"/>
    <w:rsid w:val="001E0C5E"/>
    <w:rsid w:val="001E0ECB"/>
    <w:rsid w:val="001E137E"/>
    <w:rsid w:val="001E15A2"/>
    <w:rsid w:val="001E17A8"/>
    <w:rsid w:val="001E25E8"/>
    <w:rsid w:val="001E2FF4"/>
    <w:rsid w:val="001E3AAC"/>
    <w:rsid w:val="001E3DC0"/>
    <w:rsid w:val="001E46FC"/>
    <w:rsid w:val="001E527C"/>
    <w:rsid w:val="001E616C"/>
    <w:rsid w:val="001F02BF"/>
    <w:rsid w:val="001F0D26"/>
    <w:rsid w:val="001F3D60"/>
    <w:rsid w:val="001F6096"/>
    <w:rsid w:val="001F7B15"/>
    <w:rsid w:val="002002ED"/>
    <w:rsid w:val="00200534"/>
    <w:rsid w:val="002014D4"/>
    <w:rsid w:val="0020157B"/>
    <w:rsid w:val="00202D8A"/>
    <w:rsid w:val="00206FDC"/>
    <w:rsid w:val="00210D31"/>
    <w:rsid w:val="002111DB"/>
    <w:rsid w:val="002111DE"/>
    <w:rsid w:val="00212901"/>
    <w:rsid w:val="00212DDC"/>
    <w:rsid w:val="00213B26"/>
    <w:rsid w:val="00213B2E"/>
    <w:rsid w:val="00213C13"/>
    <w:rsid w:val="00215ECD"/>
    <w:rsid w:val="00216850"/>
    <w:rsid w:val="00217B03"/>
    <w:rsid w:val="002208E0"/>
    <w:rsid w:val="00223CD6"/>
    <w:rsid w:val="00223DC9"/>
    <w:rsid w:val="00224363"/>
    <w:rsid w:val="00224BC3"/>
    <w:rsid w:val="0022601D"/>
    <w:rsid w:val="002270BC"/>
    <w:rsid w:val="0022723F"/>
    <w:rsid w:val="00230FCB"/>
    <w:rsid w:val="00231297"/>
    <w:rsid w:val="002317E3"/>
    <w:rsid w:val="00231BB5"/>
    <w:rsid w:val="00231FFF"/>
    <w:rsid w:val="00232552"/>
    <w:rsid w:val="00232D84"/>
    <w:rsid w:val="00234094"/>
    <w:rsid w:val="00234B9A"/>
    <w:rsid w:val="0023517E"/>
    <w:rsid w:val="0023640A"/>
    <w:rsid w:val="00236D9F"/>
    <w:rsid w:val="00237603"/>
    <w:rsid w:val="00237707"/>
    <w:rsid w:val="002410B3"/>
    <w:rsid w:val="00244C9B"/>
    <w:rsid w:val="0024506B"/>
    <w:rsid w:val="0024776C"/>
    <w:rsid w:val="00251547"/>
    <w:rsid w:val="0025173E"/>
    <w:rsid w:val="00252F0A"/>
    <w:rsid w:val="00252F41"/>
    <w:rsid w:val="002549D0"/>
    <w:rsid w:val="002557C8"/>
    <w:rsid w:val="00255804"/>
    <w:rsid w:val="00255C3F"/>
    <w:rsid w:val="00255E53"/>
    <w:rsid w:val="00256403"/>
    <w:rsid w:val="00256EF8"/>
    <w:rsid w:val="002578D8"/>
    <w:rsid w:val="00262010"/>
    <w:rsid w:val="002646F9"/>
    <w:rsid w:val="002649DB"/>
    <w:rsid w:val="00265CB7"/>
    <w:rsid w:val="0027055B"/>
    <w:rsid w:val="0027207A"/>
    <w:rsid w:val="00272CE0"/>
    <w:rsid w:val="00273615"/>
    <w:rsid w:val="002739B3"/>
    <w:rsid w:val="002742F3"/>
    <w:rsid w:val="0027751A"/>
    <w:rsid w:val="002776ED"/>
    <w:rsid w:val="00280B1C"/>
    <w:rsid w:val="0028167B"/>
    <w:rsid w:val="002825A9"/>
    <w:rsid w:val="00284002"/>
    <w:rsid w:val="00284791"/>
    <w:rsid w:val="002848D5"/>
    <w:rsid w:val="00285840"/>
    <w:rsid w:val="002864EF"/>
    <w:rsid w:val="00287635"/>
    <w:rsid w:val="00287B85"/>
    <w:rsid w:val="00290AA7"/>
    <w:rsid w:val="00291DDE"/>
    <w:rsid w:val="00291F43"/>
    <w:rsid w:val="00292421"/>
    <w:rsid w:val="00293FF4"/>
    <w:rsid w:val="0029444D"/>
    <w:rsid w:val="0029466C"/>
    <w:rsid w:val="00295109"/>
    <w:rsid w:val="00295F7B"/>
    <w:rsid w:val="00297E5A"/>
    <w:rsid w:val="002A084F"/>
    <w:rsid w:val="002A0ED4"/>
    <w:rsid w:val="002A34D4"/>
    <w:rsid w:val="002A3F31"/>
    <w:rsid w:val="002A43F4"/>
    <w:rsid w:val="002A62FB"/>
    <w:rsid w:val="002A6F99"/>
    <w:rsid w:val="002A7780"/>
    <w:rsid w:val="002B048B"/>
    <w:rsid w:val="002B5483"/>
    <w:rsid w:val="002B7A1E"/>
    <w:rsid w:val="002B7A5A"/>
    <w:rsid w:val="002B7A6F"/>
    <w:rsid w:val="002C02BA"/>
    <w:rsid w:val="002C1268"/>
    <w:rsid w:val="002C2D20"/>
    <w:rsid w:val="002C3E0A"/>
    <w:rsid w:val="002C4281"/>
    <w:rsid w:val="002C4489"/>
    <w:rsid w:val="002C4491"/>
    <w:rsid w:val="002C4684"/>
    <w:rsid w:val="002C4C61"/>
    <w:rsid w:val="002C53F1"/>
    <w:rsid w:val="002C7EAD"/>
    <w:rsid w:val="002C7F7A"/>
    <w:rsid w:val="002D30EC"/>
    <w:rsid w:val="002D35D4"/>
    <w:rsid w:val="002D4102"/>
    <w:rsid w:val="002D41AD"/>
    <w:rsid w:val="002D5F4D"/>
    <w:rsid w:val="002D5FBE"/>
    <w:rsid w:val="002D645C"/>
    <w:rsid w:val="002D64D6"/>
    <w:rsid w:val="002D6D63"/>
    <w:rsid w:val="002D7C4E"/>
    <w:rsid w:val="002D7F5A"/>
    <w:rsid w:val="002E0454"/>
    <w:rsid w:val="002E204A"/>
    <w:rsid w:val="002E21E2"/>
    <w:rsid w:val="002E5594"/>
    <w:rsid w:val="002F01C1"/>
    <w:rsid w:val="002F0F62"/>
    <w:rsid w:val="002F169D"/>
    <w:rsid w:val="002F226B"/>
    <w:rsid w:val="002F25E6"/>
    <w:rsid w:val="002F4E1C"/>
    <w:rsid w:val="002F5708"/>
    <w:rsid w:val="002F5A39"/>
    <w:rsid w:val="002F6032"/>
    <w:rsid w:val="003008E6"/>
    <w:rsid w:val="00300A97"/>
    <w:rsid w:val="00301B97"/>
    <w:rsid w:val="00302AD4"/>
    <w:rsid w:val="00305113"/>
    <w:rsid w:val="003064B9"/>
    <w:rsid w:val="0030778E"/>
    <w:rsid w:val="0031189F"/>
    <w:rsid w:val="00311C71"/>
    <w:rsid w:val="00314BC9"/>
    <w:rsid w:val="0031523F"/>
    <w:rsid w:val="00317BDA"/>
    <w:rsid w:val="00320045"/>
    <w:rsid w:val="00320501"/>
    <w:rsid w:val="00320F23"/>
    <w:rsid w:val="00321B60"/>
    <w:rsid w:val="00322DA4"/>
    <w:rsid w:val="00323235"/>
    <w:rsid w:val="00323E92"/>
    <w:rsid w:val="0032508B"/>
    <w:rsid w:val="00331102"/>
    <w:rsid w:val="00331560"/>
    <w:rsid w:val="00331C5C"/>
    <w:rsid w:val="00331EA7"/>
    <w:rsid w:val="003341F5"/>
    <w:rsid w:val="003348FD"/>
    <w:rsid w:val="00335996"/>
    <w:rsid w:val="00335E57"/>
    <w:rsid w:val="00336280"/>
    <w:rsid w:val="00337C2F"/>
    <w:rsid w:val="00337C71"/>
    <w:rsid w:val="00340179"/>
    <w:rsid w:val="00340203"/>
    <w:rsid w:val="003404C0"/>
    <w:rsid w:val="00340C1C"/>
    <w:rsid w:val="003418C9"/>
    <w:rsid w:val="00341D5C"/>
    <w:rsid w:val="00343860"/>
    <w:rsid w:val="003450B5"/>
    <w:rsid w:val="00345E70"/>
    <w:rsid w:val="00346A34"/>
    <w:rsid w:val="003479B6"/>
    <w:rsid w:val="00347AC6"/>
    <w:rsid w:val="00350BE0"/>
    <w:rsid w:val="00352493"/>
    <w:rsid w:val="00352984"/>
    <w:rsid w:val="003529D0"/>
    <w:rsid w:val="00352A1D"/>
    <w:rsid w:val="00352F72"/>
    <w:rsid w:val="00353C33"/>
    <w:rsid w:val="00353CE6"/>
    <w:rsid w:val="00354BC3"/>
    <w:rsid w:val="00354D46"/>
    <w:rsid w:val="00356A5F"/>
    <w:rsid w:val="00356DBE"/>
    <w:rsid w:val="00357788"/>
    <w:rsid w:val="00357FC5"/>
    <w:rsid w:val="00362404"/>
    <w:rsid w:val="00365B0E"/>
    <w:rsid w:val="00365B4D"/>
    <w:rsid w:val="003674AA"/>
    <w:rsid w:val="0037070A"/>
    <w:rsid w:val="0037124E"/>
    <w:rsid w:val="00371568"/>
    <w:rsid w:val="003735D9"/>
    <w:rsid w:val="00373A1F"/>
    <w:rsid w:val="00374612"/>
    <w:rsid w:val="003752FB"/>
    <w:rsid w:val="003760D6"/>
    <w:rsid w:val="00376B3B"/>
    <w:rsid w:val="00376C4B"/>
    <w:rsid w:val="00376DD8"/>
    <w:rsid w:val="00377527"/>
    <w:rsid w:val="00377CEB"/>
    <w:rsid w:val="00380F62"/>
    <w:rsid w:val="003840AD"/>
    <w:rsid w:val="0038456A"/>
    <w:rsid w:val="00384624"/>
    <w:rsid w:val="00384CD2"/>
    <w:rsid w:val="00385053"/>
    <w:rsid w:val="00385C80"/>
    <w:rsid w:val="00386E61"/>
    <w:rsid w:val="00386F63"/>
    <w:rsid w:val="00394547"/>
    <w:rsid w:val="00395F2C"/>
    <w:rsid w:val="0039630D"/>
    <w:rsid w:val="00396C67"/>
    <w:rsid w:val="0039730F"/>
    <w:rsid w:val="00397E9E"/>
    <w:rsid w:val="00397F14"/>
    <w:rsid w:val="003A0092"/>
    <w:rsid w:val="003A0357"/>
    <w:rsid w:val="003A0DFF"/>
    <w:rsid w:val="003A1F4C"/>
    <w:rsid w:val="003A2653"/>
    <w:rsid w:val="003A477B"/>
    <w:rsid w:val="003A57BB"/>
    <w:rsid w:val="003A6383"/>
    <w:rsid w:val="003A76FA"/>
    <w:rsid w:val="003B0369"/>
    <w:rsid w:val="003B069C"/>
    <w:rsid w:val="003B0712"/>
    <w:rsid w:val="003B2D70"/>
    <w:rsid w:val="003B31D6"/>
    <w:rsid w:val="003B3461"/>
    <w:rsid w:val="003B4F5E"/>
    <w:rsid w:val="003B5BB8"/>
    <w:rsid w:val="003B5F16"/>
    <w:rsid w:val="003C362A"/>
    <w:rsid w:val="003C3813"/>
    <w:rsid w:val="003C46CA"/>
    <w:rsid w:val="003C6033"/>
    <w:rsid w:val="003D0A77"/>
    <w:rsid w:val="003D1301"/>
    <w:rsid w:val="003D1FDD"/>
    <w:rsid w:val="003D22E6"/>
    <w:rsid w:val="003D2FC1"/>
    <w:rsid w:val="003D303B"/>
    <w:rsid w:val="003D397A"/>
    <w:rsid w:val="003D4400"/>
    <w:rsid w:val="003D6766"/>
    <w:rsid w:val="003D6D80"/>
    <w:rsid w:val="003D77A9"/>
    <w:rsid w:val="003D7DF0"/>
    <w:rsid w:val="003E03D4"/>
    <w:rsid w:val="003E0D09"/>
    <w:rsid w:val="003E0F29"/>
    <w:rsid w:val="003E2C63"/>
    <w:rsid w:val="003E4F9E"/>
    <w:rsid w:val="003E56CB"/>
    <w:rsid w:val="003E5BFE"/>
    <w:rsid w:val="003E5DAB"/>
    <w:rsid w:val="003E709C"/>
    <w:rsid w:val="003F0872"/>
    <w:rsid w:val="003F1883"/>
    <w:rsid w:val="003F1DE2"/>
    <w:rsid w:val="003F2F44"/>
    <w:rsid w:val="003F3BBF"/>
    <w:rsid w:val="003F3D1E"/>
    <w:rsid w:val="003F614D"/>
    <w:rsid w:val="003F6225"/>
    <w:rsid w:val="003F70A6"/>
    <w:rsid w:val="003F75CC"/>
    <w:rsid w:val="003F7EAF"/>
    <w:rsid w:val="00400FAC"/>
    <w:rsid w:val="00402D29"/>
    <w:rsid w:val="0040365C"/>
    <w:rsid w:val="00403B69"/>
    <w:rsid w:val="00405258"/>
    <w:rsid w:val="004053D4"/>
    <w:rsid w:val="00405649"/>
    <w:rsid w:val="00405BC0"/>
    <w:rsid w:val="00412520"/>
    <w:rsid w:val="00412E88"/>
    <w:rsid w:val="00413737"/>
    <w:rsid w:val="00413A7F"/>
    <w:rsid w:val="00413E31"/>
    <w:rsid w:val="00413FAC"/>
    <w:rsid w:val="004142B4"/>
    <w:rsid w:val="0041474A"/>
    <w:rsid w:val="004159F5"/>
    <w:rsid w:val="00417B93"/>
    <w:rsid w:val="00421DFF"/>
    <w:rsid w:val="004223A0"/>
    <w:rsid w:val="00422DE6"/>
    <w:rsid w:val="0042302D"/>
    <w:rsid w:val="004239C8"/>
    <w:rsid w:val="00426D76"/>
    <w:rsid w:val="00427112"/>
    <w:rsid w:val="00427381"/>
    <w:rsid w:val="004275F1"/>
    <w:rsid w:val="004301B4"/>
    <w:rsid w:val="00430AC2"/>
    <w:rsid w:val="00430DBD"/>
    <w:rsid w:val="00430FE3"/>
    <w:rsid w:val="004311AF"/>
    <w:rsid w:val="004326B6"/>
    <w:rsid w:val="00432979"/>
    <w:rsid w:val="0043298B"/>
    <w:rsid w:val="00433394"/>
    <w:rsid w:val="00433EF8"/>
    <w:rsid w:val="00434A71"/>
    <w:rsid w:val="004364EA"/>
    <w:rsid w:val="00436FDE"/>
    <w:rsid w:val="00440670"/>
    <w:rsid w:val="0044169F"/>
    <w:rsid w:val="004418A9"/>
    <w:rsid w:val="00441F8A"/>
    <w:rsid w:val="00442554"/>
    <w:rsid w:val="0044413E"/>
    <w:rsid w:val="00445427"/>
    <w:rsid w:val="00445471"/>
    <w:rsid w:val="00445702"/>
    <w:rsid w:val="0045038D"/>
    <w:rsid w:val="00452A5E"/>
    <w:rsid w:val="00453DED"/>
    <w:rsid w:val="00455B8A"/>
    <w:rsid w:val="00455DC2"/>
    <w:rsid w:val="00456DE4"/>
    <w:rsid w:val="00456EE0"/>
    <w:rsid w:val="0046247A"/>
    <w:rsid w:val="00462A66"/>
    <w:rsid w:val="004630A0"/>
    <w:rsid w:val="00463C5A"/>
    <w:rsid w:val="004652F2"/>
    <w:rsid w:val="004655CD"/>
    <w:rsid w:val="00466569"/>
    <w:rsid w:val="00466D6F"/>
    <w:rsid w:val="00467D36"/>
    <w:rsid w:val="0047350B"/>
    <w:rsid w:val="004736E5"/>
    <w:rsid w:val="00473D77"/>
    <w:rsid w:val="00475262"/>
    <w:rsid w:val="004758B7"/>
    <w:rsid w:val="0047725B"/>
    <w:rsid w:val="00480970"/>
    <w:rsid w:val="00480EC0"/>
    <w:rsid w:val="0048233F"/>
    <w:rsid w:val="00483287"/>
    <w:rsid w:val="0048335F"/>
    <w:rsid w:val="004840BB"/>
    <w:rsid w:val="00485D3A"/>
    <w:rsid w:val="00485DC9"/>
    <w:rsid w:val="00486C97"/>
    <w:rsid w:val="00491B27"/>
    <w:rsid w:val="00491BCF"/>
    <w:rsid w:val="00491F3E"/>
    <w:rsid w:val="00492634"/>
    <w:rsid w:val="004928C2"/>
    <w:rsid w:val="00492ED9"/>
    <w:rsid w:val="004958FC"/>
    <w:rsid w:val="0049628E"/>
    <w:rsid w:val="00496AF5"/>
    <w:rsid w:val="00496B3C"/>
    <w:rsid w:val="004A015F"/>
    <w:rsid w:val="004A107D"/>
    <w:rsid w:val="004A1A58"/>
    <w:rsid w:val="004A2379"/>
    <w:rsid w:val="004A51FF"/>
    <w:rsid w:val="004A5D56"/>
    <w:rsid w:val="004A6F75"/>
    <w:rsid w:val="004A76D0"/>
    <w:rsid w:val="004B05C3"/>
    <w:rsid w:val="004B069E"/>
    <w:rsid w:val="004B06EA"/>
    <w:rsid w:val="004B14FB"/>
    <w:rsid w:val="004B39FF"/>
    <w:rsid w:val="004B42E4"/>
    <w:rsid w:val="004B4B13"/>
    <w:rsid w:val="004B5444"/>
    <w:rsid w:val="004B5686"/>
    <w:rsid w:val="004B68EF"/>
    <w:rsid w:val="004C01A6"/>
    <w:rsid w:val="004C023D"/>
    <w:rsid w:val="004C04DE"/>
    <w:rsid w:val="004C1566"/>
    <w:rsid w:val="004C25DD"/>
    <w:rsid w:val="004C3963"/>
    <w:rsid w:val="004C5EF7"/>
    <w:rsid w:val="004D0964"/>
    <w:rsid w:val="004D1007"/>
    <w:rsid w:val="004D140C"/>
    <w:rsid w:val="004D1FD7"/>
    <w:rsid w:val="004D2139"/>
    <w:rsid w:val="004D23E8"/>
    <w:rsid w:val="004D3253"/>
    <w:rsid w:val="004D473C"/>
    <w:rsid w:val="004D4EFB"/>
    <w:rsid w:val="004D757C"/>
    <w:rsid w:val="004D7B9E"/>
    <w:rsid w:val="004E03DE"/>
    <w:rsid w:val="004E125D"/>
    <w:rsid w:val="004E148C"/>
    <w:rsid w:val="004E45C0"/>
    <w:rsid w:val="004E669C"/>
    <w:rsid w:val="004F07E2"/>
    <w:rsid w:val="004F0BEA"/>
    <w:rsid w:val="004F15DA"/>
    <w:rsid w:val="004F2BAB"/>
    <w:rsid w:val="004F323F"/>
    <w:rsid w:val="004F3CF9"/>
    <w:rsid w:val="004F6563"/>
    <w:rsid w:val="00503995"/>
    <w:rsid w:val="00505E14"/>
    <w:rsid w:val="00506DED"/>
    <w:rsid w:val="00507225"/>
    <w:rsid w:val="00507240"/>
    <w:rsid w:val="0051041A"/>
    <w:rsid w:val="00510F03"/>
    <w:rsid w:val="005122D4"/>
    <w:rsid w:val="00512523"/>
    <w:rsid w:val="005128D8"/>
    <w:rsid w:val="0051290E"/>
    <w:rsid w:val="005129B4"/>
    <w:rsid w:val="00513458"/>
    <w:rsid w:val="0051352C"/>
    <w:rsid w:val="0051373F"/>
    <w:rsid w:val="0051454A"/>
    <w:rsid w:val="00514DD8"/>
    <w:rsid w:val="005165DC"/>
    <w:rsid w:val="00516863"/>
    <w:rsid w:val="005174F1"/>
    <w:rsid w:val="00520148"/>
    <w:rsid w:val="005203E7"/>
    <w:rsid w:val="00520481"/>
    <w:rsid w:val="005210A6"/>
    <w:rsid w:val="005227A6"/>
    <w:rsid w:val="00522AEE"/>
    <w:rsid w:val="00526530"/>
    <w:rsid w:val="005266C0"/>
    <w:rsid w:val="0053064A"/>
    <w:rsid w:val="00534FB6"/>
    <w:rsid w:val="00536D2D"/>
    <w:rsid w:val="00541DB9"/>
    <w:rsid w:val="00543104"/>
    <w:rsid w:val="0054439D"/>
    <w:rsid w:val="00544B9C"/>
    <w:rsid w:val="0054510E"/>
    <w:rsid w:val="005451BC"/>
    <w:rsid w:val="00545785"/>
    <w:rsid w:val="0054666C"/>
    <w:rsid w:val="005471F8"/>
    <w:rsid w:val="005504B0"/>
    <w:rsid w:val="005504DF"/>
    <w:rsid w:val="005509A0"/>
    <w:rsid w:val="0055264F"/>
    <w:rsid w:val="0055273D"/>
    <w:rsid w:val="00552A4F"/>
    <w:rsid w:val="00553101"/>
    <w:rsid w:val="005536AA"/>
    <w:rsid w:val="00555D24"/>
    <w:rsid w:val="00556BD0"/>
    <w:rsid w:val="00557A6F"/>
    <w:rsid w:val="00560964"/>
    <w:rsid w:val="00562BB7"/>
    <w:rsid w:val="00562DED"/>
    <w:rsid w:val="005638C9"/>
    <w:rsid w:val="00563B0E"/>
    <w:rsid w:val="00566281"/>
    <w:rsid w:val="0057013B"/>
    <w:rsid w:val="0057159D"/>
    <w:rsid w:val="005720B9"/>
    <w:rsid w:val="005723BB"/>
    <w:rsid w:val="00573289"/>
    <w:rsid w:val="0057401B"/>
    <w:rsid w:val="00581C41"/>
    <w:rsid w:val="00582B2C"/>
    <w:rsid w:val="0058304E"/>
    <w:rsid w:val="00583106"/>
    <w:rsid w:val="0058509A"/>
    <w:rsid w:val="005850F0"/>
    <w:rsid w:val="00586F33"/>
    <w:rsid w:val="0058713F"/>
    <w:rsid w:val="00590104"/>
    <w:rsid w:val="005901C5"/>
    <w:rsid w:val="005927D3"/>
    <w:rsid w:val="00593CD2"/>
    <w:rsid w:val="005944C1"/>
    <w:rsid w:val="00594842"/>
    <w:rsid w:val="00595C06"/>
    <w:rsid w:val="005961BF"/>
    <w:rsid w:val="005970FA"/>
    <w:rsid w:val="00597661"/>
    <w:rsid w:val="00597959"/>
    <w:rsid w:val="005A01CA"/>
    <w:rsid w:val="005A136E"/>
    <w:rsid w:val="005A3A8E"/>
    <w:rsid w:val="005A48D6"/>
    <w:rsid w:val="005A53EA"/>
    <w:rsid w:val="005A568E"/>
    <w:rsid w:val="005A5A0A"/>
    <w:rsid w:val="005A6239"/>
    <w:rsid w:val="005A6414"/>
    <w:rsid w:val="005A67AA"/>
    <w:rsid w:val="005A71AD"/>
    <w:rsid w:val="005B0E7F"/>
    <w:rsid w:val="005B179D"/>
    <w:rsid w:val="005B2190"/>
    <w:rsid w:val="005B42B6"/>
    <w:rsid w:val="005B4FB2"/>
    <w:rsid w:val="005B7412"/>
    <w:rsid w:val="005C140C"/>
    <w:rsid w:val="005C19C5"/>
    <w:rsid w:val="005C2B22"/>
    <w:rsid w:val="005C4892"/>
    <w:rsid w:val="005C4C81"/>
    <w:rsid w:val="005C547D"/>
    <w:rsid w:val="005C63D0"/>
    <w:rsid w:val="005C7F69"/>
    <w:rsid w:val="005D0AF6"/>
    <w:rsid w:val="005D14C2"/>
    <w:rsid w:val="005D19A0"/>
    <w:rsid w:val="005D1F8C"/>
    <w:rsid w:val="005D2D5A"/>
    <w:rsid w:val="005D3E69"/>
    <w:rsid w:val="005D6162"/>
    <w:rsid w:val="005E0902"/>
    <w:rsid w:val="005E0AF4"/>
    <w:rsid w:val="005E1F72"/>
    <w:rsid w:val="005E24DB"/>
    <w:rsid w:val="005E424C"/>
    <w:rsid w:val="005E6869"/>
    <w:rsid w:val="005E6DAA"/>
    <w:rsid w:val="005E710E"/>
    <w:rsid w:val="005F15B0"/>
    <w:rsid w:val="005F1883"/>
    <w:rsid w:val="005F1CD8"/>
    <w:rsid w:val="005F5A81"/>
    <w:rsid w:val="005F6146"/>
    <w:rsid w:val="005F6C4F"/>
    <w:rsid w:val="005F6F95"/>
    <w:rsid w:val="0060381B"/>
    <w:rsid w:val="00606E90"/>
    <w:rsid w:val="00607848"/>
    <w:rsid w:val="00607C8A"/>
    <w:rsid w:val="00610ADB"/>
    <w:rsid w:val="00611177"/>
    <w:rsid w:val="00612B51"/>
    <w:rsid w:val="0061596F"/>
    <w:rsid w:val="006163BF"/>
    <w:rsid w:val="006176E4"/>
    <w:rsid w:val="00620FD8"/>
    <w:rsid w:val="006210D5"/>
    <w:rsid w:val="00621D5C"/>
    <w:rsid w:val="00622304"/>
    <w:rsid w:val="00622DAE"/>
    <w:rsid w:val="0062493B"/>
    <w:rsid w:val="00624C8C"/>
    <w:rsid w:val="00625450"/>
    <w:rsid w:val="006267E8"/>
    <w:rsid w:val="00627D1B"/>
    <w:rsid w:val="00632CD6"/>
    <w:rsid w:val="00633483"/>
    <w:rsid w:val="0063446D"/>
    <w:rsid w:val="00634933"/>
    <w:rsid w:val="0063574D"/>
    <w:rsid w:val="006363E4"/>
    <w:rsid w:val="006364D5"/>
    <w:rsid w:val="006437FB"/>
    <w:rsid w:val="00643A91"/>
    <w:rsid w:val="00643F0C"/>
    <w:rsid w:val="00644CD1"/>
    <w:rsid w:val="00646FF7"/>
    <w:rsid w:val="00647618"/>
    <w:rsid w:val="00647753"/>
    <w:rsid w:val="00650329"/>
    <w:rsid w:val="00651080"/>
    <w:rsid w:val="0065205A"/>
    <w:rsid w:val="0065274B"/>
    <w:rsid w:val="00653965"/>
    <w:rsid w:val="00653D5E"/>
    <w:rsid w:val="00654A43"/>
    <w:rsid w:val="00654E72"/>
    <w:rsid w:val="0065697F"/>
    <w:rsid w:val="00656BA7"/>
    <w:rsid w:val="00657441"/>
    <w:rsid w:val="0065798D"/>
    <w:rsid w:val="00660222"/>
    <w:rsid w:val="00660DB5"/>
    <w:rsid w:val="00662440"/>
    <w:rsid w:val="00662619"/>
    <w:rsid w:val="00666062"/>
    <w:rsid w:val="00666499"/>
    <w:rsid w:val="006664D8"/>
    <w:rsid w:val="00667B6B"/>
    <w:rsid w:val="00667D0F"/>
    <w:rsid w:val="00667D6D"/>
    <w:rsid w:val="00670C5F"/>
    <w:rsid w:val="00671B0D"/>
    <w:rsid w:val="00673BCB"/>
    <w:rsid w:val="00677F6D"/>
    <w:rsid w:val="00681A76"/>
    <w:rsid w:val="00681FA9"/>
    <w:rsid w:val="00682027"/>
    <w:rsid w:val="006846F1"/>
    <w:rsid w:val="00684E2E"/>
    <w:rsid w:val="00685134"/>
    <w:rsid w:val="006854E0"/>
    <w:rsid w:val="006864FC"/>
    <w:rsid w:val="00686E5D"/>
    <w:rsid w:val="00687DE4"/>
    <w:rsid w:val="00690D61"/>
    <w:rsid w:val="00691710"/>
    <w:rsid w:val="00691FA7"/>
    <w:rsid w:val="00692F9F"/>
    <w:rsid w:val="0069379E"/>
    <w:rsid w:val="00695605"/>
    <w:rsid w:val="00696516"/>
    <w:rsid w:val="0069665C"/>
    <w:rsid w:val="006973E2"/>
    <w:rsid w:val="00697CC2"/>
    <w:rsid w:val="00697F16"/>
    <w:rsid w:val="006A08AB"/>
    <w:rsid w:val="006A25DC"/>
    <w:rsid w:val="006A303D"/>
    <w:rsid w:val="006A33F6"/>
    <w:rsid w:val="006A41E3"/>
    <w:rsid w:val="006A4225"/>
    <w:rsid w:val="006B0326"/>
    <w:rsid w:val="006B0601"/>
    <w:rsid w:val="006B06BE"/>
    <w:rsid w:val="006B190E"/>
    <w:rsid w:val="006B2138"/>
    <w:rsid w:val="006B24B3"/>
    <w:rsid w:val="006B3162"/>
    <w:rsid w:val="006B32F3"/>
    <w:rsid w:val="006B334D"/>
    <w:rsid w:val="006B4C5D"/>
    <w:rsid w:val="006B4F72"/>
    <w:rsid w:val="006B5F17"/>
    <w:rsid w:val="006B64B5"/>
    <w:rsid w:val="006B6F8E"/>
    <w:rsid w:val="006B7F8C"/>
    <w:rsid w:val="006C168A"/>
    <w:rsid w:val="006C6628"/>
    <w:rsid w:val="006C7889"/>
    <w:rsid w:val="006C7BF0"/>
    <w:rsid w:val="006D01B0"/>
    <w:rsid w:val="006D0B95"/>
    <w:rsid w:val="006D1F4B"/>
    <w:rsid w:val="006D2A3D"/>
    <w:rsid w:val="006D4082"/>
    <w:rsid w:val="006D43CB"/>
    <w:rsid w:val="006D5DA5"/>
    <w:rsid w:val="006D693F"/>
    <w:rsid w:val="006E0139"/>
    <w:rsid w:val="006E0718"/>
    <w:rsid w:val="006E0A8A"/>
    <w:rsid w:val="006E1931"/>
    <w:rsid w:val="006E2B74"/>
    <w:rsid w:val="006E445C"/>
    <w:rsid w:val="006E4713"/>
    <w:rsid w:val="006E6B5B"/>
    <w:rsid w:val="006E6F69"/>
    <w:rsid w:val="006F0B48"/>
    <w:rsid w:val="006F24E2"/>
    <w:rsid w:val="006F2A4F"/>
    <w:rsid w:val="006F5851"/>
    <w:rsid w:val="006F75B1"/>
    <w:rsid w:val="006F75ED"/>
    <w:rsid w:val="006F7E59"/>
    <w:rsid w:val="006F7ED4"/>
    <w:rsid w:val="007006D1"/>
    <w:rsid w:val="007023F2"/>
    <w:rsid w:val="00704000"/>
    <w:rsid w:val="00706B05"/>
    <w:rsid w:val="00707F2A"/>
    <w:rsid w:val="0071082A"/>
    <w:rsid w:val="0071091D"/>
    <w:rsid w:val="00711323"/>
    <w:rsid w:val="0071160C"/>
    <w:rsid w:val="007126BD"/>
    <w:rsid w:val="007161A2"/>
    <w:rsid w:val="007205B5"/>
    <w:rsid w:val="007212BC"/>
    <w:rsid w:val="00721961"/>
    <w:rsid w:val="00722554"/>
    <w:rsid w:val="007225E7"/>
    <w:rsid w:val="007226F1"/>
    <w:rsid w:val="0072302A"/>
    <w:rsid w:val="00724270"/>
    <w:rsid w:val="007242F0"/>
    <w:rsid w:val="00727724"/>
    <w:rsid w:val="007277C6"/>
    <w:rsid w:val="007300A4"/>
    <w:rsid w:val="00731C09"/>
    <w:rsid w:val="00732021"/>
    <w:rsid w:val="007321C4"/>
    <w:rsid w:val="007331AA"/>
    <w:rsid w:val="007337E8"/>
    <w:rsid w:val="00733BF9"/>
    <w:rsid w:val="007350F8"/>
    <w:rsid w:val="0073601B"/>
    <w:rsid w:val="0073625E"/>
    <w:rsid w:val="00737895"/>
    <w:rsid w:val="00737AAC"/>
    <w:rsid w:val="00740ED6"/>
    <w:rsid w:val="00741D23"/>
    <w:rsid w:val="00742D24"/>
    <w:rsid w:val="00742D68"/>
    <w:rsid w:val="00744DD5"/>
    <w:rsid w:val="00745664"/>
    <w:rsid w:val="00745C0B"/>
    <w:rsid w:val="00746E3E"/>
    <w:rsid w:val="00747A2D"/>
    <w:rsid w:val="00747C73"/>
    <w:rsid w:val="00751EC8"/>
    <w:rsid w:val="00751FEF"/>
    <w:rsid w:val="007533EE"/>
    <w:rsid w:val="00755FC7"/>
    <w:rsid w:val="0075642D"/>
    <w:rsid w:val="00756D2F"/>
    <w:rsid w:val="00760412"/>
    <w:rsid w:val="007622FE"/>
    <w:rsid w:val="00763228"/>
    <w:rsid w:val="007647F1"/>
    <w:rsid w:val="007649B7"/>
    <w:rsid w:val="00764B29"/>
    <w:rsid w:val="007653EB"/>
    <w:rsid w:val="007660A7"/>
    <w:rsid w:val="007661DC"/>
    <w:rsid w:val="00770AB0"/>
    <w:rsid w:val="0077228C"/>
    <w:rsid w:val="00772F66"/>
    <w:rsid w:val="00773145"/>
    <w:rsid w:val="007741F5"/>
    <w:rsid w:val="00782AA6"/>
    <w:rsid w:val="00783E92"/>
    <w:rsid w:val="007845EB"/>
    <w:rsid w:val="007850EC"/>
    <w:rsid w:val="00785589"/>
    <w:rsid w:val="00786834"/>
    <w:rsid w:val="007926BC"/>
    <w:rsid w:val="00792878"/>
    <w:rsid w:val="00792951"/>
    <w:rsid w:val="0079378E"/>
    <w:rsid w:val="00793A54"/>
    <w:rsid w:val="00793B0F"/>
    <w:rsid w:val="00794916"/>
    <w:rsid w:val="007950D2"/>
    <w:rsid w:val="007956B1"/>
    <w:rsid w:val="007963FB"/>
    <w:rsid w:val="00796837"/>
    <w:rsid w:val="00796D63"/>
    <w:rsid w:val="007A22A9"/>
    <w:rsid w:val="007A3BFD"/>
    <w:rsid w:val="007A4CF8"/>
    <w:rsid w:val="007A515B"/>
    <w:rsid w:val="007B0033"/>
    <w:rsid w:val="007B0890"/>
    <w:rsid w:val="007B142D"/>
    <w:rsid w:val="007B28CE"/>
    <w:rsid w:val="007B2EF6"/>
    <w:rsid w:val="007B555A"/>
    <w:rsid w:val="007B59BD"/>
    <w:rsid w:val="007B67B6"/>
    <w:rsid w:val="007B69E1"/>
    <w:rsid w:val="007C0F33"/>
    <w:rsid w:val="007C351A"/>
    <w:rsid w:val="007C3CF8"/>
    <w:rsid w:val="007C63A3"/>
    <w:rsid w:val="007C6BA2"/>
    <w:rsid w:val="007C7F05"/>
    <w:rsid w:val="007D0D74"/>
    <w:rsid w:val="007D1F83"/>
    <w:rsid w:val="007D22BD"/>
    <w:rsid w:val="007D33A2"/>
    <w:rsid w:val="007D4135"/>
    <w:rsid w:val="007D6F9C"/>
    <w:rsid w:val="007D76EC"/>
    <w:rsid w:val="007D77BE"/>
    <w:rsid w:val="007E05DF"/>
    <w:rsid w:val="007E2832"/>
    <w:rsid w:val="007E4D7E"/>
    <w:rsid w:val="007E55DA"/>
    <w:rsid w:val="007E621D"/>
    <w:rsid w:val="007E74DA"/>
    <w:rsid w:val="007F1409"/>
    <w:rsid w:val="007F2C0C"/>
    <w:rsid w:val="007F3E2F"/>
    <w:rsid w:val="007F42FE"/>
    <w:rsid w:val="007F45C0"/>
    <w:rsid w:val="007F5809"/>
    <w:rsid w:val="00801B53"/>
    <w:rsid w:val="008021AD"/>
    <w:rsid w:val="00803A9D"/>
    <w:rsid w:val="00803C75"/>
    <w:rsid w:val="00804010"/>
    <w:rsid w:val="008052AF"/>
    <w:rsid w:val="00805F6E"/>
    <w:rsid w:val="00806AA2"/>
    <w:rsid w:val="008071E2"/>
    <w:rsid w:val="0080748F"/>
    <w:rsid w:val="00807EFF"/>
    <w:rsid w:val="00807FD9"/>
    <w:rsid w:val="008103D9"/>
    <w:rsid w:val="00810FCB"/>
    <w:rsid w:val="00811DB3"/>
    <w:rsid w:val="008136C5"/>
    <w:rsid w:val="00814E83"/>
    <w:rsid w:val="00816D54"/>
    <w:rsid w:val="008177B1"/>
    <w:rsid w:val="00820A21"/>
    <w:rsid w:val="008217E9"/>
    <w:rsid w:val="00821DED"/>
    <w:rsid w:val="008225A2"/>
    <w:rsid w:val="008225DE"/>
    <w:rsid w:val="008230EB"/>
    <w:rsid w:val="00823C23"/>
    <w:rsid w:val="00824157"/>
    <w:rsid w:val="0082496C"/>
    <w:rsid w:val="0082514A"/>
    <w:rsid w:val="008277BF"/>
    <w:rsid w:val="00827F57"/>
    <w:rsid w:val="0083020C"/>
    <w:rsid w:val="00830BDC"/>
    <w:rsid w:val="00831A57"/>
    <w:rsid w:val="008323ED"/>
    <w:rsid w:val="00833E1B"/>
    <w:rsid w:val="00835118"/>
    <w:rsid w:val="00837327"/>
    <w:rsid w:val="0083777C"/>
    <w:rsid w:val="00841686"/>
    <w:rsid w:val="00841FEF"/>
    <w:rsid w:val="00842161"/>
    <w:rsid w:val="00842606"/>
    <w:rsid w:val="0084273C"/>
    <w:rsid w:val="0084684B"/>
    <w:rsid w:val="00846EDA"/>
    <w:rsid w:val="00850070"/>
    <w:rsid w:val="008514BD"/>
    <w:rsid w:val="00851C17"/>
    <w:rsid w:val="00853AB3"/>
    <w:rsid w:val="00860CCA"/>
    <w:rsid w:val="0086126B"/>
    <w:rsid w:val="00863D28"/>
    <w:rsid w:val="00863F77"/>
    <w:rsid w:val="00865833"/>
    <w:rsid w:val="008662F1"/>
    <w:rsid w:val="008707A3"/>
    <w:rsid w:val="008708CF"/>
    <w:rsid w:val="00870A85"/>
    <w:rsid w:val="00871F98"/>
    <w:rsid w:val="00873D7A"/>
    <w:rsid w:val="00874A02"/>
    <w:rsid w:val="00874C99"/>
    <w:rsid w:val="00874F35"/>
    <w:rsid w:val="00875DFA"/>
    <w:rsid w:val="008807EA"/>
    <w:rsid w:val="008820E4"/>
    <w:rsid w:val="008822C2"/>
    <w:rsid w:val="00882A5D"/>
    <w:rsid w:val="00883208"/>
    <w:rsid w:val="00884807"/>
    <w:rsid w:val="008865E3"/>
    <w:rsid w:val="008876AC"/>
    <w:rsid w:val="008910F0"/>
    <w:rsid w:val="0089169B"/>
    <w:rsid w:val="008929D6"/>
    <w:rsid w:val="00892F04"/>
    <w:rsid w:val="00893344"/>
    <w:rsid w:val="00893C98"/>
    <w:rsid w:val="00893D00"/>
    <w:rsid w:val="00894B6B"/>
    <w:rsid w:val="00896C76"/>
    <w:rsid w:val="008971C7"/>
    <w:rsid w:val="00897C6C"/>
    <w:rsid w:val="008A0302"/>
    <w:rsid w:val="008A0C51"/>
    <w:rsid w:val="008A10E0"/>
    <w:rsid w:val="008A14CD"/>
    <w:rsid w:val="008A1CA7"/>
    <w:rsid w:val="008A2DDF"/>
    <w:rsid w:val="008A3FE2"/>
    <w:rsid w:val="008A4C75"/>
    <w:rsid w:val="008A602C"/>
    <w:rsid w:val="008A65BA"/>
    <w:rsid w:val="008A6B42"/>
    <w:rsid w:val="008A7A32"/>
    <w:rsid w:val="008B15CF"/>
    <w:rsid w:val="008B229F"/>
    <w:rsid w:val="008B35D7"/>
    <w:rsid w:val="008B3E66"/>
    <w:rsid w:val="008B4566"/>
    <w:rsid w:val="008B4ABC"/>
    <w:rsid w:val="008B4AEE"/>
    <w:rsid w:val="008B4DF0"/>
    <w:rsid w:val="008B4E74"/>
    <w:rsid w:val="008B578E"/>
    <w:rsid w:val="008B6EEE"/>
    <w:rsid w:val="008B75BC"/>
    <w:rsid w:val="008B7B9F"/>
    <w:rsid w:val="008C10B2"/>
    <w:rsid w:val="008C166B"/>
    <w:rsid w:val="008C2881"/>
    <w:rsid w:val="008C3913"/>
    <w:rsid w:val="008C47EB"/>
    <w:rsid w:val="008C4CEB"/>
    <w:rsid w:val="008C52F5"/>
    <w:rsid w:val="008C7402"/>
    <w:rsid w:val="008D0781"/>
    <w:rsid w:val="008D0C07"/>
    <w:rsid w:val="008D1EBD"/>
    <w:rsid w:val="008D26B2"/>
    <w:rsid w:val="008D2B40"/>
    <w:rsid w:val="008D3647"/>
    <w:rsid w:val="008D3B01"/>
    <w:rsid w:val="008D3CB5"/>
    <w:rsid w:val="008D40D1"/>
    <w:rsid w:val="008D4BFB"/>
    <w:rsid w:val="008D53C4"/>
    <w:rsid w:val="008D6160"/>
    <w:rsid w:val="008E00CB"/>
    <w:rsid w:val="008E0338"/>
    <w:rsid w:val="008E03B6"/>
    <w:rsid w:val="008E1D2B"/>
    <w:rsid w:val="008E1D2C"/>
    <w:rsid w:val="008E20AC"/>
    <w:rsid w:val="008E238F"/>
    <w:rsid w:val="008E33EE"/>
    <w:rsid w:val="008E58E7"/>
    <w:rsid w:val="008E5D1E"/>
    <w:rsid w:val="008E60F0"/>
    <w:rsid w:val="008E727E"/>
    <w:rsid w:val="008E7E31"/>
    <w:rsid w:val="008F2672"/>
    <w:rsid w:val="008F37CF"/>
    <w:rsid w:val="008F4D9D"/>
    <w:rsid w:val="008F6A4E"/>
    <w:rsid w:val="00901110"/>
    <w:rsid w:val="0090138D"/>
    <w:rsid w:val="00902367"/>
    <w:rsid w:val="00902C32"/>
    <w:rsid w:val="009035D0"/>
    <w:rsid w:val="00903E4C"/>
    <w:rsid w:val="00903EB2"/>
    <w:rsid w:val="00903F38"/>
    <w:rsid w:val="009045D5"/>
    <w:rsid w:val="0090489D"/>
    <w:rsid w:val="00904E27"/>
    <w:rsid w:val="00905901"/>
    <w:rsid w:val="00905E24"/>
    <w:rsid w:val="009075DB"/>
    <w:rsid w:val="00910D26"/>
    <w:rsid w:val="009114E4"/>
    <w:rsid w:val="009115AD"/>
    <w:rsid w:val="00912038"/>
    <w:rsid w:val="00913204"/>
    <w:rsid w:val="00913413"/>
    <w:rsid w:val="00913942"/>
    <w:rsid w:val="00913F28"/>
    <w:rsid w:val="009168B1"/>
    <w:rsid w:val="00917843"/>
    <w:rsid w:val="0092063A"/>
    <w:rsid w:val="00921237"/>
    <w:rsid w:val="0092174B"/>
    <w:rsid w:val="009260EF"/>
    <w:rsid w:val="009273CD"/>
    <w:rsid w:val="00927493"/>
    <w:rsid w:val="00927A03"/>
    <w:rsid w:val="00930439"/>
    <w:rsid w:val="00931FC3"/>
    <w:rsid w:val="00935089"/>
    <w:rsid w:val="00937380"/>
    <w:rsid w:val="0093765B"/>
    <w:rsid w:val="0094139B"/>
    <w:rsid w:val="009425E5"/>
    <w:rsid w:val="00943067"/>
    <w:rsid w:val="009432BE"/>
    <w:rsid w:val="00943B51"/>
    <w:rsid w:val="00944CB5"/>
    <w:rsid w:val="009453AD"/>
    <w:rsid w:val="00945DE7"/>
    <w:rsid w:val="00947207"/>
    <w:rsid w:val="0094797B"/>
    <w:rsid w:val="00950189"/>
    <w:rsid w:val="00952016"/>
    <w:rsid w:val="009521B6"/>
    <w:rsid w:val="0095221D"/>
    <w:rsid w:val="0095240D"/>
    <w:rsid w:val="00955028"/>
    <w:rsid w:val="009551F1"/>
    <w:rsid w:val="00955507"/>
    <w:rsid w:val="009566B3"/>
    <w:rsid w:val="00956F86"/>
    <w:rsid w:val="00957394"/>
    <w:rsid w:val="009601FB"/>
    <w:rsid w:val="00960871"/>
    <w:rsid w:val="00960CEE"/>
    <w:rsid w:val="00961D6B"/>
    <w:rsid w:val="009620E2"/>
    <w:rsid w:val="009621E8"/>
    <w:rsid w:val="00964AF5"/>
    <w:rsid w:val="00965C14"/>
    <w:rsid w:val="00966405"/>
    <w:rsid w:val="009664FF"/>
    <w:rsid w:val="00966ADD"/>
    <w:rsid w:val="009713FB"/>
    <w:rsid w:val="00971935"/>
    <w:rsid w:val="00972FC9"/>
    <w:rsid w:val="0097318A"/>
    <w:rsid w:val="009732EA"/>
    <w:rsid w:val="00974534"/>
    <w:rsid w:val="00975579"/>
    <w:rsid w:val="009764DB"/>
    <w:rsid w:val="00981FEC"/>
    <w:rsid w:val="00982279"/>
    <w:rsid w:val="009825DB"/>
    <w:rsid w:val="0098762B"/>
    <w:rsid w:val="009877BA"/>
    <w:rsid w:val="00987FE3"/>
    <w:rsid w:val="0099030B"/>
    <w:rsid w:val="00990617"/>
    <w:rsid w:val="0099070E"/>
    <w:rsid w:val="0099106A"/>
    <w:rsid w:val="00992041"/>
    <w:rsid w:val="009920BC"/>
    <w:rsid w:val="00992C1C"/>
    <w:rsid w:val="00993571"/>
    <w:rsid w:val="00993CE4"/>
    <w:rsid w:val="009965D8"/>
    <w:rsid w:val="009A0798"/>
    <w:rsid w:val="009A0B88"/>
    <w:rsid w:val="009A272D"/>
    <w:rsid w:val="009A2E0A"/>
    <w:rsid w:val="009A3443"/>
    <w:rsid w:val="009A388D"/>
    <w:rsid w:val="009A41C3"/>
    <w:rsid w:val="009A4622"/>
    <w:rsid w:val="009A557B"/>
    <w:rsid w:val="009A5727"/>
    <w:rsid w:val="009A6321"/>
    <w:rsid w:val="009A6A0D"/>
    <w:rsid w:val="009A716A"/>
    <w:rsid w:val="009A75CF"/>
    <w:rsid w:val="009B0733"/>
    <w:rsid w:val="009B22B8"/>
    <w:rsid w:val="009B4FC8"/>
    <w:rsid w:val="009B5661"/>
    <w:rsid w:val="009B60FD"/>
    <w:rsid w:val="009B63F5"/>
    <w:rsid w:val="009B7392"/>
    <w:rsid w:val="009B769F"/>
    <w:rsid w:val="009C142C"/>
    <w:rsid w:val="009C1B50"/>
    <w:rsid w:val="009C3A1A"/>
    <w:rsid w:val="009C6A26"/>
    <w:rsid w:val="009D03D8"/>
    <w:rsid w:val="009D0BA6"/>
    <w:rsid w:val="009D0DDF"/>
    <w:rsid w:val="009D10FE"/>
    <w:rsid w:val="009D2058"/>
    <w:rsid w:val="009D2940"/>
    <w:rsid w:val="009D2D2D"/>
    <w:rsid w:val="009D3095"/>
    <w:rsid w:val="009D32F6"/>
    <w:rsid w:val="009D419C"/>
    <w:rsid w:val="009D464A"/>
    <w:rsid w:val="009D4C66"/>
    <w:rsid w:val="009D6C58"/>
    <w:rsid w:val="009E1440"/>
    <w:rsid w:val="009E2D3A"/>
    <w:rsid w:val="009E2E69"/>
    <w:rsid w:val="009E3195"/>
    <w:rsid w:val="009E34CE"/>
    <w:rsid w:val="009E3EDE"/>
    <w:rsid w:val="009E4566"/>
    <w:rsid w:val="009E501C"/>
    <w:rsid w:val="009E7D81"/>
    <w:rsid w:val="009F1EC9"/>
    <w:rsid w:val="009F2010"/>
    <w:rsid w:val="009F2994"/>
    <w:rsid w:val="009F43E3"/>
    <w:rsid w:val="009F4AAD"/>
    <w:rsid w:val="009F4F8D"/>
    <w:rsid w:val="009F63EB"/>
    <w:rsid w:val="00A016DA"/>
    <w:rsid w:val="00A0340B"/>
    <w:rsid w:val="00A038BC"/>
    <w:rsid w:val="00A042AB"/>
    <w:rsid w:val="00A063C8"/>
    <w:rsid w:val="00A06E5F"/>
    <w:rsid w:val="00A07223"/>
    <w:rsid w:val="00A07260"/>
    <w:rsid w:val="00A0726B"/>
    <w:rsid w:val="00A113E5"/>
    <w:rsid w:val="00A117CC"/>
    <w:rsid w:val="00A118DD"/>
    <w:rsid w:val="00A12586"/>
    <w:rsid w:val="00A1328B"/>
    <w:rsid w:val="00A146A1"/>
    <w:rsid w:val="00A157ED"/>
    <w:rsid w:val="00A162E7"/>
    <w:rsid w:val="00A176D3"/>
    <w:rsid w:val="00A203C6"/>
    <w:rsid w:val="00A22E24"/>
    <w:rsid w:val="00A23265"/>
    <w:rsid w:val="00A23778"/>
    <w:rsid w:val="00A23B5E"/>
    <w:rsid w:val="00A25ACD"/>
    <w:rsid w:val="00A277ED"/>
    <w:rsid w:val="00A27E34"/>
    <w:rsid w:val="00A310EC"/>
    <w:rsid w:val="00A315C2"/>
    <w:rsid w:val="00A33D65"/>
    <w:rsid w:val="00A34353"/>
    <w:rsid w:val="00A34882"/>
    <w:rsid w:val="00A35788"/>
    <w:rsid w:val="00A3617E"/>
    <w:rsid w:val="00A3632A"/>
    <w:rsid w:val="00A37694"/>
    <w:rsid w:val="00A40A75"/>
    <w:rsid w:val="00A40C3E"/>
    <w:rsid w:val="00A4175C"/>
    <w:rsid w:val="00A4181E"/>
    <w:rsid w:val="00A41FEF"/>
    <w:rsid w:val="00A423D3"/>
    <w:rsid w:val="00A4479C"/>
    <w:rsid w:val="00A449DC"/>
    <w:rsid w:val="00A4683A"/>
    <w:rsid w:val="00A46E61"/>
    <w:rsid w:val="00A4764F"/>
    <w:rsid w:val="00A476CE"/>
    <w:rsid w:val="00A479B9"/>
    <w:rsid w:val="00A501E5"/>
    <w:rsid w:val="00A50A2E"/>
    <w:rsid w:val="00A51523"/>
    <w:rsid w:val="00A51DFF"/>
    <w:rsid w:val="00A51E95"/>
    <w:rsid w:val="00A528C2"/>
    <w:rsid w:val="00A52BD7"/>
    <w:rsid w:val="00A5302B"/>
    <w:rsid w:val="00A53B65"/>
    <w:rsid w:val="00A53D24"/>
    <w:rsid w:val="00A55076"/>
    <w:rsid w:val="00A55143"/>
    <w:rsid w:val="00A55B21"/>
    <w:rsid w:val="00A55B70"/>
    <w:rsid w:val="00A55D54"/>
    <w:rsid w:val="00A56CB8"/>
    <w:rsid w:val="00A5731D"/>
    <w:rsid w:val="00A57A38"/>
    <w:rsid w:val="00A57D1C"/>
    <w:rsid w:val="00A609C9"/>
    <w:rsid w:val="00A60A7D"/>
    <w:rsid w:val="00A622E3"/>
    <w:rsid w:val="00A62949"/>
    <w:rsid w:val="00A6299B"/>
    <w:rsid w:val="00A62B24"/>
    <w:rsid w:val="00A65870"/>
    <w:rsid w:val="00A66571"/>
    <w:rsid w:val="00A67DCB"/>
    <w:rsid w:val="00A67E59"/>
    <w:rsid w:val="00A705B1"/>
    <w:rsid w:val="00A71964"/>
    <w:rsid w:val="00A723FF"/>
    <w:rsid w:val="00A7272E"/>
    <w:rsid w:val="00A735AB"/>
    <w:rsid w:val="00A75599"/>
    <w:rsid w:val="00A75B18"/>
    <w:rsid w:val="00A76B0A"/>
    <w:rsid w:val="00A807C2"/>
    <w:rsid w:val="00A80910"/>
    <w:rsid w:val="00A80D98"/>
    <w:rsid w:val="00A85E3D"/>
    <w:rsid w:val="00A86365"/>
    <w:rsid w:val="00A90069"/>
    <w:rsid w:val="00A904B5"/>
    <w:rsid w:val="00A90E43"/>
    <w:rsid w:val="00A9102C"/>
    <w:rsid w:val="00A928CA"/>
    <w:rsid w:val="00A93305"/>
    <w:rsid w:val="00A93475"/>
    <w:rsid w:val="00A95089"/>
    <w:rsid w:val="00A9643F"/>
    <w:rsid w:val="00A9644D"/>
    <w:rsid w:val="00A964EC"/>
    <w:rsid w:val="00A966F2"/>
    <w:rsid w:val="00A969CA"/>
    <w:rsid w:val="00A97297"/>
    <w:rsid w:val="00A97F61"/>
    <w:rsid w:val="00AA17D8"/>
    <w:rsid w:val="00AA350E"/>
    <w:rsid w:val="00AA3AD8"/>
    <w:rsid w:val="00AA4015"/>
    <w:rsid w:val="00AA60E2"/>
    <w:rsid w:val="00AA6456"/>
    <w:rsid w:val="00AA686D"/>
    <w:rsid w:val="00AB06A1"/>
    <w:rsid w:val="00AB2EC1"/>
    <w:rsid w:val="00AB51BA"/>
    <w:rsid w:val="00AB5855"/>
    <w:rsid w:val="00AB66B2"/>
    <w:rsid w:val="00AB6F6F"/>
    <w:rsid w:val="00AB6F8E"/>
    <w:rsid w:val="00AB7CD3"/>
    <w:rsid w:val="00AC2502"/>
    <w:rsid w:val="00AC290E"/>
    <w:rsid w:val="00AC2D9B"/>
    <w:rsid w:val="00AC2FE6"/>
    <w:rsid w:val="00AC318A"/>
    <w:rsid w:val="00AC4892"/>
    <w:rsid w:val="00AC48C5"/>
    <w:rsid w:val="00AC49A8"/>
    <w:rsid w:val="00AC63B9"/>
    <w:rsid w:val="00AC6682"/>
    <w:rsid w:val="00AC6E79"/>
    <w:rsid w:val="00AC7DAC"/>
    <w:rsid w:val="00AC7E9F"/>
    <w:rsid w:val="00AD0600"/>
    <w:rsid w:val="00AD12CD"/>
    <w:rsid w:val="00AD18F7"/>
    <w:rsid w:val="00AD399C"/>
    <w:rsid w:val="00AD48BC"/>
    <w:rsid w:val="00AD491A"/>
    <w:rsid w:val="00AD6134"/>
    <w:rsid w:val="00AD6502"/>
    <w:rsid w:val="00AD65CB"/>
    <w:rsid w:val="00AD69E0"/>
    <w:rsid w:val="00AE00EE"/>
    <w:rsid w:val="00AE0665"/>
    <w:rsid w:val="00AE0A77"/>
    <w:rsid w:val="00AE0F48"/>
    <w:rsid w:val="00AE14AB"/>
    <w:rsid w:val="00AE1982"/>
    <w:rsid w:val="00AE1F61"/>
    <w:rsid w:val="00AE33A6"/>
    <w:rsid w:val="00AE3C32"/>
    <w:rsid w:val="00AE43D2"/>
    <w:rsid w:val="00AE53AC"/>
    <w:rsid w:val="00AE619E"/>
    <w:rsid w:val="00AE6233"/>
    <w:rsid w:val="00AE683B"/>
    <w:rsid w:val="00AE6E79"/>
    <w:rsid w:val="00AF08C7"/>
    <w:rsid w:val="00AF0DC3"/>
    <w:rsid w:val="00AF0E97"/>
    <w:rsid w:val="00AF19B9"/>
    <w:rsid w:val="00AF27F6"/>
    <w:rsid w:val="00AF33E0"/>
    <w:rsid w:val="00AF34A1"/>
    <w:rsid w:val="00AF4A3B"/>
    <w:rsid w:val="00AF53F0"/>
    <w:rsid w:val="00AF57CC"/>
    <w:rsid w:val="00AF6368"/>
    <w:rsid w:val="00AF64D3"/>
    <w:rsid w:val="00AF6959"/>
    <w:rsid w:val="00AF6B4A"/>
    <w:rsid w:val="00AF7830"/>
    <w:rsid w:val="00AF7950"/>
    <w:rsid w:val="00B008B7"/>
    <w:rsid w:val="00B029CC"/>
    <w:rsid w:val="00B03FF7"/>
    <w:rsid w:val="00B0430B"/>
    <w:rsid w:val="00B054BE"/>
    <w:rsid w:val="00B054E6"/>
    <w:rsid w:val="00B05BD8"/>
    <w:rsid w:val="00B05D34"/>
    <w:rsid w:val="00B07BBF"/>
    <w:rsid w:val="00B1009F"/>
    <w:rsid w:val="00B101CF"/>
    <w:rsid w:val="00B10FA3"/>
    <w:rsid w:val="00B118F3"/>
    <w:rsid w:val="00B123EF"/>
    <w:rsid w:val="00B12AB8"/>
    <w:rsid w:val="00B13BF2"/>
    <w:rsid w:val="00B144C9"/>
    <w:rsid w:val="00B15649"/>
    <w:rsid w:val="00B15B41"/>
    <w:rsid w:val="00B20B8D"/>
    <w:rsid w:val="00B218FF"/>
    <w:rsid w:val="00B24207"/>
    <w:rsid w:val="00B249F6"/>
    <w:rsid w:val="00B25938"/>
    <w:rsid w:val="00B261C4"/>
    <w:rsid w:val="00B26214"/>
    <w:rsid w:val="00B26759"/>
    <w:rsid w:val="00B2776E"/>
    <w:rsid w:val="00B27827"/>
    <w:rsid w:val="00B27B35"/>
    <w:rsid w:val="00B327C5"/>
    <w:rsid w:val="00B327F2"/>
    <w:rsid w:val="00B343AA"/>
    <w:rsid w:val="00B34824"/>
    <w:rsid w:val="00B349CA"/>
    <w:rsid w:val="00B34EDE"/>
    <w:rsid w:val="00B34F5D"/>
    <w:rsid w:val="00B356CD"/>
    <w:rsid w:val="00B35EFF"/>
    <w:rsid w:val="00B41A70"/>
    <w:rsid w:val="00B41F3A"/>
    <w:rsid w:val="00B42426"/>
    <w:rsid w:val="00B42CB4"/>
    <w:rsid w:val="00B435C6"/>
    <w:rsid w:val="00B450A2"/>
    <w:rsid w:val="00B47E51"/>
    <w:rsid w:val="00B47F3C"/>
    <w:rsid w:val="00B502DF"/>
    <w:rsid w:val="00B505DF"/>
    <w:rsid w:val="00B514A7"/>
    <w:rsid w:val="00B53C5E"/>
    <w:rsid w:val="00B55B16"/>
    <w:rsid w:val="00B55CA9"/>
    <w:rsid w:val="00B57B04"/>
    <w:rsid w:val="00B57EC0"/>
    <w:rsid w:val="00B600A3"/>
    <w:rsid w:val="00B6167E"/>
    <w:rsid w:val="00B61E02"/>
    <w:rsid w:val="00B62449"/>
    <w:rsid w:val="00B6341E"/>
    <w:rsid w:val="00B646E4"/>
    <w:rsid w:val="00B66501"/>
    <w:rsid w:val="00B7174E"/>
    <w:rsid w:val="00B71A22"/>
    <w:rsid w:val="00B72637"/>
    <w:rsid w:val="00B72E28"/>
    <w:rsid w:val="00B737D0"/>
    <w:rsid w:val="00B73BE5"/>
    <w:rsid w:val="00B74865"/>
    <w:rsid w:val="00B74A13"/>
    <w:rsid w:val="00B75CAB"/>
    <w:rsid w:val="00B769F5"/>
    <w:rsid w:val="00B76F67"/>
    <w:rsid w:val="00B774CC"/>
    <w:rsid w:val="00B77530"/>
    <w:rsid w:val="00B77542"/>
    <w:rsid w:val="00B806C9"/>
    <w:rsid w:val="00B8621C"/>
    <w:rsid w:val="00B900A3"/>
    <w:rsid w:val="00B90E08"/>
    <w:rsid w:val="00B91153"/>
    <w:rsid w:val="00B93620"/>
    <w:rsid w:val="00B9453E"/>
    <w:rsid w:val="00B94D84"/>
    <w:rsid w:val="00B955D4"/>
    <w:rsid w:val="00B962B6"/>
    <w:rsid w:val="00B974FF"/>
    <w:rsid w:val="00B97A98"/>
    <w:rsid w:val="00BA00AE"/>
    <w:rsid w:val="00BA0CDC"/>
    <w:rsid w:val="00BA0E9C"/>
    <w:rsid w:val="00BA10F0"/>
    <w:rsid w:val="00BA149C"/>
    <w:rsid w:val="00BA1812"/>
    <w:rsid w:val="00BA1BC7"/>
    <w:rsid w:val="00BA1DFD"/>
    <w:rsid w:val="00BA255B"/>
    <w:rsid w:val="00BA487A"/>
    <w:rsid w:val="00BA4F0A"/>
    <w:rsid w:val="00BA5857"/>
    <w:rsid w:val="00BA67F8"/>
    <w:rsid w:val="00BA69DD"/>
    <w:rsid w:val="00BB00C7"/>
    <w:rsid w:val="00BB1FE5"/>
    <w:rsid w:val="00BB3292"/>
    <w:rsid w:val="00BB3567"/>
    <w:rsid w:val="00BB4125"/>
    <w:rsid w:val="00BB510E"/>
    <w:rsid w:val="00BB5752"/>
    <w:rsid w:val="00BB7417"/>
    <w:rsid w:val="00BB7C06"/>
    <w:rsid w:val="00BC01B4"/>
    <w:rsid w:val="00BC1AC6"/>
    <w:rsid w:val="00BC1BB8"/>
    <w:rsid w:val="00BC2441"/>
    <w:rsid w:val="00BC2647"/>
    <w:rsid w:val="00BC3ACB"/>
    <w:rsid w:val="00BC47D9"/>
    <w:rsid w:val="00BC5B19"/>
    <w:rsid w:val="00BC62B9"/>
    <w:rsid w:val="00BD0FD0"/>
    <w:rsid w:val="00BD16B2"/>
    <w:rsid w:val="00BD39FA"/>
    <w:rsid w:val="00BD6A1A"/>
    <w:rsid w:val="00BD70BE"/>
    <w:rsid w:val="00BE0351"/>
    <w:rsid w:val="00BE0D26"/>
    <w:rsid w:val="00BE1888"/>
    <w:rsid w:val="00BE38D7"/>
    <w:rsid w:val="00BE4995"/>
    <w:rsid w:val="00BE4AE6"/>
    <w:rsid w:val="00BE5843"/>
    <w:rsid w:val="00BE5D62"/>
    <w:rsid w:val="00BE7E16"/>
    <w:rsid w:val="00BE7FF9"/>
    <w:rsid w:val="00BF04BD"/>
    <w:rsid w:val="00BF137B"/>
    <w:rsid w:val="00BF1D3B"/>
    <w:rsid w:val="00BF2002"/>
    <w:rsid w:val="00BF21B6"/>
    <w:rsid w:val="00BF238B"/>
    <w:rsid w:val="00BF284E"/>
    <w:rsid w:val="00BF41BD"/>
    <w:rsid w:val="00BF4B19"/>
    <w:rsid w:val="00BF5827"/>
    <w:rsid w:val="00BF5D6C"/>
    <w:rsid w:val="00C006FA"/>
    <w:rsid w:val="00C009F7"/>
    <w:rsid w:val="00C00B46"/>
    <w:rsid w:val="00C01508"/>
    <w:rsid w:val="00C0169F"/>
    <w:rsid w:val="00C02189"/>
    <w:rsid w:val="00C02B63"/>
    <w:rsid w:val="00C02E36"/>
    <w:rsid w:val="00C02EDC"/>
    <w:rsid w:val="00C02FF1"/>
    <w:rsid w:val="00C033C5"/>
    <w:rsid w:val="00C03826"/>
    <w:rsid w:val="00C05087"/>
    <w:rsid w:val="00C05881"/>
    <w:rsid w:val="00C072CF"/>
    <w:rsid w:val="00C076B6"/>
    <w:rsid w:val="00C11ED4"/>
    <w:rsid w:val="00C134EF"/>
    <w:rsid w:val="00C153E2"/>
    <w:rsid w:val="00C15503"/>
    <w:rsid w:val="00C15607"/>
    <w:rsid w:val="00C15679"/>
    <w:rsid w:val="00C174CB"/>
    <w:rsid w:val="00C21B31"/>
    <w:rsid w:val="00C231B1"/>
    <w:rsid w:val="00C239E8"/>
    <w:rsid w:val="00C25490"/>
    <w:rsid w:val="00C260C6"/>
    <w:rsid w:val="00C26442"/>
    <w:rsid w:val="00C31D6B"/>
    <w:rsid w:val="00C31E94"/>
    <w:rsid w:val="00C31FC9"/>
    <w:rsid w:val="00C32025"/>
    <w:rsid w:val="00C346A9"/>
    <w:rsid w:val="00C34F83"/>
    <w:rsid w:val="00C3667A"/>
    <w:rsid w:val="00C41CE7"/>
    <w:rsid w:val="00C43854"/>
    <w:rsid w:val="00C442CB"/>
    <w:rsid w:val="00C44B04"/>
    <w:rsid w:val="00C45EBB"/>
    <w:rsid w:val="00C46E99"/>
    <w:rsid w:val="00C471B9"/>
    <w:rsid w:val="00C501FA"/>
    <w:rsid w:val="00C51007"/>
    <w:rsid w:val="00C53595"/>
    <w:rsid w:val="00C57000"/>
    <w:rsid w:val="00C57A6E"/>
    <w:rsid w:val="00C57FDD"/>
    <w:rsid w:val="00C610B6"/>
    <w:rsid w:val="00C61E04"/>
    <w:rsid w:val="00C6213E"/>
    <w:rsid w:val="00C62505"/>
    <w:rsid w:val="00C62C39"/>
    <w:rsid w:val="00C651E7"/>
    <w:rsid w:val="00C65549"/>
    <w:rsid w:val="00C661D5"/>
    <w:rsid w:val="00C673C1"/>
    <w:rsid w:val="00C70F03"/>
    <w:rsid w:val="00C7228D"/>
    <w:rsid w:val="00C72491"/>
    <w:rsid w:val="00C74326"/>
    <w:rsid w:val="00C754C0"/>
    <w:rsid w:val="00C7579A"/>
    <w:rsid w:val="00C779DE"/>
    <w:rsid w:val="00C81A0E"/>
    <w:rsid w:val="00C81BC7"/>
    <w:rsid w:val="00C84AB2"/>
    <w:rsid w:val="00C84AC4"/>
    <w:rsid w:val="00C851B7"/>
    <w:rsid w:val="00C86480"/>
    <w:rsid w:val="00C8713D"/>
    <w:rsid w:val="00C87C7D"/>
    <w:rsid w:val="00C87DDA"/>
    <w:rsid w:val="00C900F9"/>
    <w:rsid w:val="00C91EAC"/>
    <w:rsid w:val="00C9315B"/>
    <w:rsid w:val="00C93E70"/>
    <w:rsid w:val="00C9435D"/>
    <w:rsid w:val="00C96F76"/>
    <w:rsid w:val="00C972EB"/>
    <w:rsid w:val="00C97C20"/>
    <w:rsid w:val="00CA036A"/>
    <w:rsid w:val="00CA2E18"/>
    <w:rsid w:val="00CA3B01"/>
    <w:rsid w:val="00CA4268"/>
    <w:rsid w:val="00CA50FC"/>
    <w:rsid w:val="00CA5213"/>
    <w:rsid w:val="00CA77AF"/>
    <w:rsid w:val="00CB0BEC"/>
    <w:rsid w:val="00CB140D"/>
    <w:rsid w:val="00CB292F"/>
    <w:rsid w:val="00CB3F0D"/>
    <w:rsid w:val="00CB73E9"/>
    <w:rsid w:val="00CC011E"/>
    <w:rsid w:val="00CC12C6"/>
    <w:rsid w:val="00CC1783"/>
    <w:rsid w:val="00CC2A70"/>
    <w:rsid w:val="00CC336F"/>
    <w:rsid w:val="00CC5FC8"/>
    <w:rsid w:val="00CC6635"/>
    <w:rsid w:val="00CC7512"/>
    <w:rsid w:val="00CD149A"/>
    <w:rsid w:val="00CD1A41"/>
    <w:rsid w:val="00CD25EC"/>
    <w:rsid w:val="00CD31E9"/>
    <w:rsid w:val="00CD4582"/>
    <w:rsid w:val="00CD51AF"/>
    <w:rsid w:val="00CD7BC9"/>
    <w:rsid w:val="00CE0A6A"/>
    <w:rsid w:val="00CE1A5C"/>
    <w:rsid w:val="00CE2DC6"/>
    <w:rsid w:val="00CE313A"/>
    <w:rsid w:val="00CE4263"/>
    <w:rsid w:val="00CE67DC"/>
    <w:rsid w:val="00CE6C60"/>
    <w:rsid w:val="00CF20E4"/>
    <w:rsid w:val="00CF23D3"/>
    <w:rsid w:val="00CF2A46"/>
    <w:rsid w:val="00CF3990"/>
    <w:rsid w:val="00CF39C9"/>
    <w:rsid w:val="00CF3BBE"/>
    <w:rsid w:val="00CF475D"/>
    <w:rsid w:val="00CF5629"/>
    <w:rsid w:val="00CF5B52"/>
    <w:rsid w:val="00CF5D75"/>
    <w:rsid w:val="00CF62DE"/>
    <w:rsid w:val="00CF76B0"/>
    <w:rsid w:val="00CF7C99"/>
    <w:rsid w:val="00CF7EBE"/>
    <w:rsid w:val="00D0013E"/>
    <w:rsid w:val="00D0286F"/>
    <w:rsid w:val="00D0297C"/>
    <w:rsid w:val="00D029D7"/>
    <w:rsid w:val="00D06144"/>
    <w:rsid w:val="00D075BC"/>
    <w:rsid w:val="00D076DF"/>
    <w:rsid w:val="00D07B54"/>
    <w:rsid w:val="00D109AC"/>
    <w:rsid w:val="00D14FE1"/>
    <w:rsid w:val="00D154B6"/>
    <w:rsid w:val="00D15E35"/>
    <w:rsid w:val="00D162A6"/>
    <w:rsid w:val="00D17A4F"/>
    <w:rsid w:val="00D204FA"/>
    <w:rsid w:val="00D205E7"/>
    <w:rsid w:val="00D228A0"/>
    <w:rsid w:val="00D23200"/>
    <w:rsid w:val="00D2516B"/>
    <w:rsid w:val="00D25E66"/>
    <w:rsid w:val="00D25EA8"/>
    <w:rsid w:val="00D263EE"/>
    <w:rsid w:val="00D26DB5"/>
    <w:rsid w:val="00D273C0"/>
    <w:rsid w:val="00D27AD5"/>
    <w:rsid w:val="00D31294"/>
    <w:rsid w:val="00D31A66"/>
    <w:rsid w:val="00D32A9E"/>
    <w:rsid w:val="00D32DFE"/>
    <w:rsid w:val="00D3408A"/>
    <w:rsid w:val="00D36460"/>
    <w:rsid w:val="00D368EF"/>
    <w:rsid w:val="00D3701E"/>
    <w:rsid w:val="00D37C4D"/>
    <w:rsid w:val="00D40DD5"/>
    <w:rsid w:val="00D41031"/>
    <w:rsid w:val="00D4148D"/>
    <w:rsid w:val="00D4262F"/>
    <w:rsid w:val="00D4347B"/>
    <w:rsid w:val="00D4386C"/>
    <w:rsid w:val="00D46DF2"/>
    <w:rsid w:val="00D473FC"/>
    <w:rsid w:val="00D47787"/>
    <w:rsid w:val="00D47828"/>
    <w:rsid w:val="00D50070"/>
    <w:rsid w:val="00D517ED"/>
    <w:rsid w:val="00D52A19"/>
    <w:rsid w:val="00D53A3A"/>
    <w:rsid w:val="00D5474B"/>
    <w:rsid w:val="00D56A96"/>
    <w:rsid w:val="00D56BB9"/>
    <w:rsid w:val="00D56C8C"/>
    <w:rsid w:val="00D60024"/>
    <w:rsid w:val="00D61556"/>
    <w:rsid w:val="00D61ED1"/>
    <w:rsid w:val="00D6212E"/>
    <w:rsid w:val="00D623A4"/>
    <w:rsid w:val="00D62C5A"/>
    <w:rsid w:val="00D63FD6"/>
    <w:rsid w:val="00D7042B"/>
    <w:rsid w:val="00D71584"/>
    <w:rsid w:val="00D71CB2"/>
    <w:rsid w:val="00D73A17"/>
    <w:rsid w:val="00D73ED5"/>
    <w:rsid w:val="00D7460D"/>
    <w:rsid w:val="00D7521D"/>
    <w:rsid w:val="00D76BFE"/>
    <w:rsid w:val="00D76DBC"/>
    <w:rsid w:val="00D77C58"/>
    <w:rsid w:val="00D8201A"/>
    <w:rsid w:val="00D82867"/>
    <w:rsid w:val="00D84153"/>
    <w:rsid w:val="00D84229"/>
    <w:rsid w:val="00D84B85"/>
    <w:rsid w:val="00D85249"/>
    <w:rsid w:val="00D85A54"/>
    <w:rsid w:val="00D86200"/>
    <w:rsid w:val="00D8620A"/>
    <w:rsid w:val="00D86BD8"/>
    <w:rsid w:val="00D86EC5"/>
    <w:rsid w:val="00D87F08"/>
    <w:rsid w:val="00D9003A"/>
    <w:rsid w:val="00D90D72"/>
    <w:rsid w:val="00D90EC9"/>
    <w:rsid w:val="00D91709"/>
    <w:rsid w:val="00D91FD0"/>
    <w:rsid w:val="00D92BFE"/>
    <w:rsid w:val="00D93397"/>
    <w:rsid w:val="00D9374D"/>
    <w:rsid w:val="00DA01AA"/>
    <w:rsid w:val="00DA0AD3"/>
    <w:rsid w:val="00DA1504"/>
    <w:rsid w:val="00DA4580"/>
    <w:rsid w:val="00DA50EE"/>
    <w:rsid w:val="00DA5D4B"/>
    <w:rsid w:val="00DA64D7"/>
    <w:rsid w:val="00DB06B0"/>
    <w:rsid w:val="00DB21C1"/>
    <w:rsid w:val="00DB2727"/>
    <w:rsid w:val="00DB2E0E"/>
    <w:rsid w:val="00DB3424"/>
    <w:rsid w:val="00DB474C"/>
    <w:rsid w:val="00DB72B4"/>
    <w:rsid w:val="00DB736C"/>
    <w:rsid w:val="00DB7FE4"/>
    <w:rsid w:val="00DC1FF3"/>
    <w:rsid w:val="00DC2043"/>
    <w:rsid w:val="00DC37E9"/>
    <w:rsid w:val="00DC3C4C"/>
    <w:rsid w:val="00DC4409"/>
    <w:rsid w:val="00DC4E6D"/>
    <w:rsid w:val="00DC58E5"/>
    <w:rsid w:val="00DC7221"/>
    <w:rsid w:val="00DC77C6"/>
    <w:rsid w:val="00DC7F58"/>
    <w:rsid w:val="00DD0923"/>
    <w:rsid w:val="00DD1724"/>
    <w:rsid w:val="00DD1882"/>
    <w:rsid w:val="00DD3370"/>
    <w:rsid w:val="00DD4996"/>
    <w:rsid w:val="00DD6080"/>
    <w:rsid w:val="00DE03FB"/>
    <w:rsid w:val="00DE08A1"/>
    <w:rsid w:val="00DE1633"/>
    <w:rsid w:val="00DE21F6"/>
    <w:rsid w:val="00DE3793"/>
    <w:rsid w:val="00DE488B"/>
    <w:rsid w:val="00DE5B0D"/>
    <w:rsid w:val="00DE6B07"/>
    <w:rsid w:val="00DE725E"/>
    <w:rsid w:val="00DE740F"/>
    <w:rsid w:val="00DE7ED3"/>
    <w:rsid w:val="00DF00DC"/>
    <w:rsid w:val="00DF13A1"/>
    <w:rsid w:val="00DF14A9"/>
    <w:rsid w:val="00DF2E9A"/>
    <w:rsid w:val="00DF3104"/>
    <w:rsid w:val="00DF33F2"/>
    <w:rsid w:val="00DF3D2D"/>
    <w:rsid w:val="00DF46FA"/>
    <w:rsid w:val="00DF5829"/>
    <w:rsid w:val="00DF704D"/>
    <w:rsid w:val="00DF72B3"/>
    <w:rsid w:val="00E01F44"/>
    <w:rsid w:val="00E034A3"/>
    <w:rsid w:val="00E03865"/>
    <w:rsid w:val="00E039DD"/>
    <w:rsid w:val="00E050C8"/>
    <w:rsid w:val="00E10527"/>
    <w:rsid w:val="00E10804"/>
    <w:rsid w:val="00E11A36"/>
    <w:rsid w:val="00E1244A"/>
    <w:rsid w:val="00E125EB"/>
    <w:rsid w:val="00E16218"/>
    <w:rsid w:val="00E16A67"/>
    <w:rsid w:val="00E17C2F"/>
    <w:rsid w:val="00E20061"/>
    <w:rsid w:val="00E2008C"/>
    <w:rsid w:val="00E206AF"/>
    <w:rsid w:val="00E20D0D"/>
    <w:rsid w:val="00E22606"/>
    <w:rsid w:val="00E22C6F"/>
    <w:rsid w:val="00E22DF9"/>
    <w:rsid w:val="00E23DBF"/>
    <w:rsid w:val="00E24857"/>
    <w:rsid w:val="00E25159"/>
    <w:rsid w:val="00E25BE2"/>
    <w:rsid w:val="00E266DB"/>
    <w:rsid w:val="00E270DD"/>
    <w:rsid w:val="00E319AB"/>
    <w:rsid w:val="00E31BEB"/>
    <w:rsid w:val="00E31E97"/>
    <w:rsid w:val="00E3522C"/>
    <w:rsid w:val="00E352C0"/>
    <w:rsid w:val="00E3609B"/>
    <w:rsid w:val="00E36CB9"/>
    <w:rsid w:val="00E37CA6"/>
    <w:rsid w:val="00E41484"/>
    <w:rsid w:val="00E41C77"/>
    <w:rsid w:val="00E41D9F"/>
    <w:rsid w:val="00E4392D"/>
    <w:rsid w:val="00E44DE3"/>
    <w:rsid w:val="00E45F4F"/>
    <w:rsid w:val="00E472CE"/>
    <w:rsid w:val="00E47E0F"/>
    <w:rsid w:val="00E50A7F"/>
    <w:rsid w:val="00E5187E"/>
    <w:rsid w:val="00E52D7A"/>
    <w:rsid w:val="00E54A92"/>
    <w:rsid w:val="00E54D1D"/>
    <w:rsid w:val="00E5567C"/>
    <w:rsid w:val="00E557AE"/>
    <w:rsid w:val="00E5715E"/>
    <w:rsid w:val="00E57262"/>
    <w:rsid w:val="00E57AF7"/>
    <w:rsid w:val="00E605B7"/>
    <w:rsid w:val="00E609B5"/>
    <w:rsid w:val="00E62149"/>
    <w:rsid w:val="00E62CC9"/>
    <w:rsid w:val="00E63129"/>
    <w:rsid w:val="00E63579"/>
    <w:rsid w:val="00E6363D"/>
    <w:rsid w:val="00E636F8"/>
    <w:rsid w:val="00E63850"/>
    <w:rsid w:val="00E65486"/>
    <w:rsid w:val="00E66890"/>
    <w:rsid w:val="00E67E96"/>
    <w:rsid w:val="00E70875"/>
    <w:rsid w:val="00E70F0F"/>
    <w:rsid w:val="00E7245E"/>
    <w:rsid w:val="00E74E57"/>
    <w:rsid w:val="00E753C1"/>
    <w:rsid w:val="00E757C6"/>
    <w:rsid w:val="00E76222"/>
    <w:rsid w:val="00E77F11"/>
    <w:rsid w:val="00E808EE"/>
    <w:rsid w:val="00E8116A"/>
    <w:rsid w:val="00E81E76"/>
    <w:rsid w:val="00E824AB"/>
    <w:rsid w:val="00E82E61"/>
    <w:rsid w:val="00E8404D"/>
    <w:rsid w:val="00E84701"/>
    <w:rsid w:val="00E84AE0"/>
    <w:rsid w:val="00E850AE"/>
    <w:rsid w:val="00E90A8C"/>
    <w:rsid w:val="00E92C9E"/>
    <w:rsid w:val="00E93532"/>
    <w:rsid w:val="00E936C0"/>
    <w:rsid w:val="00E942A8"/>
    <w:rsid w:val="00E94676"/>
    <w:rsid w:val="00E94949"/>
    <w:rsid w:val="00E950BD"/>
    <w:rsid w:val="00E95CF9"/>
    <w:rsid w:val="00E9628F"/>
    <w:rsid w:val="00E9734A"/>
    <w:rsid w:val="00E97794"/>
    <w:rsid w:val="00EA25A6"/>
    <w:rsid w:val="00EA30C1"/>
    <w:rsid w:val="00EA4D8E"/>
    <w:rsid w:val="00EA6878"/>
    <w:rsid w:val="00EA747F"/>
    <w:rsid w:val="00EA7B52"/>
    <w:rsid w:val="00EB027E"/>
    <w:rsid w:val="00EB0D17"/>
    <w:rsid w:val="00EB1010"/>
    <w:rsid w:val="00EB328D"/>
    <w:rsid w:val="00EB35A3"/>
    <w:rsid w:val="00EB3C43"/>
    <w:rsid w:val="00EB4958"/>
    <w:rsid w:val="00EB51D8"/>
    <w:rsid w:val="00EB5493"/>
    <w:rsid w:val="00EB7150"/>
    <w:rsid w:val="00EB7272"/>
    <w:rsid w:val="00EC0086"/>
    <w:rsid w:val="00EC029A"/>
    <w:rsid w:val="00EC0CF2"/>
    <w:rsid w:val="00EC387C"/>
    <w:rsid w:val="00EC5047"/>
    <w:rsid w:val="00EC526D"/>
    <w:rsid w:val="00EC7D02"/>
    <w:rsid w:val="00EC7D63"/>
    <w:rsid w:val="00EC7E4E"/>
    <w:rsid w:val="00ED069C"/>
    <w:rsid w:val="00ED0AC5"/>
    <w:rsid w:val="00ED0E3B"/>
    <w:rsid w:val="00ED1166"/>
    <w:rsid w:val="00ED11C3"/>
    <w:rsid w:val="00ED1CEC"/>
    <w:rsid w:val="00ED36E3"/>
    <w:rsid w:val="00ED3A80"/>
    <w:rsid w:val="00ED3C83"/>
    <w:rsid w:val="00ED527B"/>
    <w:rsid w:val="00ED5573"/>
    <w:rsid w:val="00ED58FB"/>
    <w:rsid w:val="00ED5D7B"/>
    <w:rsid w:val="00ED7041"/>
    <w:rsid w:val="00ED7613"/>
    <w:rsid w:val="00ED79E1"/>
    <w:rsid w:val="00EE054C"/>
    <w:rsid w:val="00EE32C8"/>
    <w:rsid w:val="00EE3526"/>
    <w:rsid w:val="00EE353B"/>
    <w:rsid w:val="00EE5925"/>
    <w:rsid w:val="00EE5DAC"/>
    <w:rsid w:val="00EE63AC"/>
    <w:rsid w:val="00EE7D13"/>
    <w:rsid w:val="00EF0C52"/>
    <w:rsid w:val="00EF13D2"/>
    <w:rsid w:val="00EF20A3"/>
    <w:rsid w:val="00EF23BC"/>
    <w:rsid w:val="00EF47B9"/>
    <w:rsid w:val="00EF675C"/>
    <w:rsid w:val="00EF72BB"/>
    <w:rsid w:val="00EF7EBB"/>
    <w:rsid w:val="00F006A6"/>
    <w:rsid w:val="00F013AC"/>
    <w:rsid w:val="00F01420"/>
    <w:rsid w:val="00F01776"/>
    <w:rsid w:val="00F018D1"/>
    <w:rsid w:val="00F033D5"/>
    <w:rsid w:val="00F03C2F"/>
    <w:rsid w:val="00F03E77"/>
    <w:rsid w:val="00F044CC"/>
    <w:rsid w:val="00F04D95"/>
    <w:rsid w:val="00F06BD3"/>
    <w:rsid w:val="00F06D09"/>
    <w:rsid w:val="00F0752D"/>
    <w:rsid w:val="00F07A9C"/>
    <w:rsid w:val="00F13C3F"/>
    <w:rsid w:val="00F14676"/>
    <w:rsid w:val="00F14701"/>
    <w:rsid w:val="00F15040"/>
    <w:rsid w:val="00F169F5"/>
    <w:rsid w:val="00F17781"/>
    <w:rsid w:val="00F1783C"/>
    <w:rsid w:val="00F20FBD"/>
    <w:rsid w:val="00F2140B"/>
    <w:rsid w:val="00F217B7"/>
    <w:rsid w:val="00F27170"/>
    <w:rsid w:val="00F27709"/>
    <w:rsid w:val="00F27BEB"/>
    <w:rsid w:val="00F30026"/>
    <w:rsid w:val="00F30B4D"/>
    <w:rsid w:val="00F3126A"/>
    <w:rsid w:val="00F31CC7"/>
    <w:rsid w:val="00F328C2"/>
    <w:rsid w:val="00F34BEE"/>
    <w:rsid w:val="00F35016"/>
    <w:rsid w:val="00F35339"/>
    <w:rsid w:val="00F35DE6"/>
    <w:rsid w:val="00F36123"/>
    <w:rsid w:val="00F36146"/>
    <w:rsid w:val="00F36256"/>
    <w:rsid w:val="00F3626D"/>
    <w:rsid w:val="00F3680A"/>
    <w:rsid w:val="00F36E98"/>
    <w:rsid w:val="00F3715C"/>
    <w:rsid w:val="00F37F3F"/>
    <w:rsid w:val="00F44216"/>
    <w:rsid w:val="00F44609"/>
    <w:rsid w:val="00F44E85"/>
    <w:rsid w:val="00F4514D"/>
    <w:rsid w:val="00F45975"/>
    <w:rsid w:val="00F46C12"/>
    <w:rsid w:val="00F47480"/>
    <w:rsid w:val="00F479C4"/>
    <w:rsid w:val="00F50A5C"/>
    <w:rsid w:val="00F50FAD"/>
    <w:rsid w:val="00F52226"/>
    <w:rsid w:val="00F533C5"/>
    <w:rsid w:val="00F54192"/>
    <w:rsid w:val="00F54781"/>
    <w:rsid w:val="00F54C10"/>
    <w:rsid w:val="00F54D9A"/>
    <w:rsid w:val="00F556C5"/>
    <w:rsid w:val="00F57444"/>
    <w:rsid w:val="00F60931"/>
    <w:rsid w:val="00F61906"/>
    <w:rsid w:val="00F62928"/>
    <w:rsid w:val="00F62B60"/>
    <w:rsid w:val="00F62FE2"/>
    <w:rsid w:val="00F64A90"/>
    <w:rsid w:val="00F65575"/>
    <w:rsid w:val="00F660A9"/>
    <w:rsid w:val="00F67A96"/>
    <w:rsid w:val="00F67E29"/>
    <w:rsid w:val="00F7184E"/>
    <w:rsid w:val="00F71D68"/>
    <w:rsid w:val="00F73432"/>
    <w:rsid w:val="00F73854"/>
    <w:rsid w:val="00F75459"/>
    <w:rsid w:val="00F7559A"/>
    <w:rsid w:val="00F75793"/>
    <w:rsid w:val="00F75DD8"/>
    <w:rsid w:val="00F7688A"/>
    <w:rsid w:val="00F76C5D"/>
    <w:rsid w:val="00F76CB9"/>
    <w:rsid w:val="00F7744A"/>
    <w:rsid w:val="00F81925"/>
    <w:rsid w:val="00F81E9A"/>
    <w:rsid w:val="00F82333"/>
    <w:rsid w:val="00F82633"/>
    <w:rsid w:val="00F82C04"/>
    <w:rsid w:val="00F82FE2"/>
    <w:rsid w:val="00F83F0C"/>
    <w:rsid w:val="00F84633"/>
    <w:rsid w:val="00F848C6"/>
    <w:rsid w:val="00F87889"/>
    <w:rsid w:val="00F87AB0"/>
    <w:rsid w:val="00F87CF3"/>
    <w:rsid w:val="00F903B2"/>
    <w:rsid w:val="00F904E8"/>
    <w:rsid w:val="00F906E4"/>
    <w:rsid w:val="00F911A4"/>
    <w:rsid w:val="00F92322"/>
    <w:rsid w:val="00F93599"/>
    <w:rsid w:val="00F9391A"/>
    <w:rsid w:val="00F94962"/>
    <w:rsid w:val="00F977BD"/>
    <w:rsid w:val="00F977D5"/>
    <w:rsid w:val="00FA00F5"/>
    <w:rsid w:val="00FA2534"/>
    <w:rsid w:val="00FA2E47"/>
    <w:rsid w:val="00FA4B83"/>
    <w:rsid w:val="00FA4CF1"/>
    <w:rsid w:val="00FA52A2"/>
    <w:rsid w:val="00FA5F7D"/>
    <w:rsid w:val="00FA65DC"/>
    <w:rsid w:val="00FA712E"/>
    <w:rsid w:val="00FA770F"/>
    <w:rsid w:val="00FB2A99"/>
    <w:rsid w:val="00FB4FF5"/>
    <w:rsid w:val="00FB61D9"/>
    <w:rsid w:val="00FB65DE"/>
    <w:rsid w:val="00FC075D"/>
    <w:rsid w:val="00FC1165"/>
    <w:rsid w:val="00FC1579"/>
    <w:rsid w:val="00FC5784"/>
    <w:rsid w:val="00FC5931"/>
    <w:rsid w:val="00FC7AD4"/>
    <w:rsid w:val="00FD0BA6"/>
    <w:rsid w:val="00FD0D98"/>
    <w:rsid w:val="00FD14A3"/>
    <w:rsid w:val="00FD1893"/>
    <w:rsid w:val="00FD4536"/>
    <w:rsid w:val="00FD4F12"/>
    <w:rsid w:val="00FD54A4"/>
    <w:rsid w:val="00FD636F"/>
    <w:rsid w:val="00FD66C0"/>
    <w:rsid w:val="00FE0710"/>
    <w:rsid w:val="00FE27B5"/>
    <w:rsid w:val="00FE2B40"/>
    <w:rsid w:val="00FE2C69"/>
    <w:rsid w:val="00FE52EB"/>
    <w:rsid w:val="00FE57EA"/>
    <w:rsid w:val="00FE5CC5"/>
    <w:rsid w:val="00FE5FC2"/>
    <w:rsid w:val="00FE790A"/>
    <w:rsid w:val="00FE7E87"/>
    <w:rsid w:val="00FE7ECC"/>
    <w:rsid w:val="00FE7F24"/>
    <w:rsid w:val="00FF0281"/>
    <w:rsid w:val="00FF1229"/>
    <w:rsid w:val="00FF19B2"/>
    <w:rsid w:val="00FF2699"/>
    <w:rsid w:val="00FF2EFF"/>
    <w:rsid w:val="00FF49FB"/>
    <w:rsid w:val="00FF4A48"/>
    <w:rsid w:val="00FF4DE7"/>
    <w:rsid w:val="00FF6B69"/>
    <w:rsid w:val="3C094B08"/>
    <w:rsid w:val="69EC4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luobo</Company>
  <Pages>16</Pages>
  <Words>8026</Words>
  <Characters>9134</Characters>
  <Lines>67</Lines>
  <Paragraphs>19</Paragraphs>
  <TotalTime>0</TotalTime>
  <ScaleCrop>false</ScaleCrop>
  <LinksUpToDate>false</LinksUpToDate>
  <CharactersWithSpaces>9313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2020-01-08T08:42:00Z</dcterms:created>
  <dc:creator>林笑娴</dc:creator>
  <cp:lastModifiedBy>轩</cp:lastModifiedBy>
  <dcterms:modified xsi:type="dcterms:W3CDTF">2023-04-17T01:29:11Z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272540A5D8544ABCBC7DE4811FBEA01E</vt:lpwstr>
  </property>
</Properties>
</file>