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Times New Roman"/>
          <w:spacing w:val="15"/>
          <w:sz w:val="28"/>
          <w:szCs w:val="28"/>
        </w:rPr>
      </w:pPr>
      <w:r>
        <w:rPr>
          <w:rFonts w:hint="eastAsia" w:ascii="黑体" w:eastAsia="黑体" w:cs="Times New Roman"/>
          <w:spacing w:val="15"/>
          <w:sz w:val="28"/>
          <w:szCs w:val="28"/>
        </w:rPr>
        <w:t xml:space="preserve"> </w:t>
      </w:r>
    </w:p>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jc w:val="center"/>
        <w:rPr>
          <w:rFonts w:ascii="黑体" w:eastAsia="黑体" w:cs="Times New Roman"/>
          <w:spacing w:val="15"/>
          <w:sz w:val="44"/>
          <w:szCs w:val="44"/>
        </w:rPr>
      </w:pPr>
      <w:r>
        <w:rPr>
          <w:rFonts w:hint="eastAsia" w:ascii="黑体" w:eastAsia="黑体" w:cs="黑体"/>
          <w:spacing w:val="15"/>
          <w:sz w:val="44"/>
          <w:szCs w:val="44"/>
        </w:rPr>
        <w:t>中共温州市纪委</w:t>
      </w:r>
      <w:r>
        <w:rPr>
          <w:rFonts w:ascii="黑体" w:eastAsia="黑体" w:cs="黑体"/>
          <w:spacing w:val="15"/>
          <w:sz w:val="44"/>
          <w:szCs w:val="44"/>
        </w:rPr>
        <w:t xml:space="preserve"> </w:t>
      </w:r>
      <w:r>
        <w:rPr>
          <w:rFonts w:hint="eastAsia" w:ascii="黑体" w:eastAsia="黑体" w:cs="黑体"/>
          <w:spacing w:val="15"/>
          <w:sz w:val="44"/>
          <w:szCs w:val="44"/>
        </w:rPr>
        <w:t>温州市监委</w:t>
      </w:r>
    </w:p>
    <w:p>
      <w:pPr>
        <w:autoSpaceDE w:val="0"/>
        <w:autoSpaceDN w:val="0"/>
        <w:adjustRightInd w:val="0"/>
        <w:spacing w:line="560" w:lineRule="exact"/>
        <w:jc w:val="center"/>
        <w:rPr>
          <w:rFonts w:ascii="黑体" w:eastAsia="黑体" w:cs="Times New Roman"/>
          <w:spacing w:val="15"/>
          <w:sz w:val="44"/>
          <w:szCs w:val="44"/>
        </w:rPr>
      </w:pPr>
      <w:r>
        <w:rPr>
          <w:rFonts w:ascii="黑体" w:eastAsia="黑体" w:cs="黑体"/>
          <w:spacing w:val="15"/>
          <w:sz w:val="44"/>
          <w:szCs w:val="44"/>
        </w:rPr>
        <w:t>2017</w:t>
      </w:r>
      <w:r>
        <w:rPr>
          <w:rFonts w:hint="eastAsia" w:ascii="黑体" w:eastAsia="黑体" w:cs="黑体"/>
          <w:spacing w:val="15"/>
          <w:sz w:val="44"/>
          <w:szCs w:val="44"/>
        </w:rPr>
        <w:t>年度部门决算</w:t>
      </w:r>
    </w:p>
    <w:p>
      <w:pPr>
        <w:autoSpaceDE w:val="0"/>
        <w:autoSpaceDN w:val="0"/>
        <w:adjustRightInd w:val="0"/>
        <w:spacing w:line="560" w:lineRule="exact"/>
        <w:ind w:firstLine="590"/>
        <w:jc w:val="center"/>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Times New Roman"/>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outlineLvl w:val="0"/>
        <w:rPr>
          <w:rFonts w:ascii="仿宋" w:hAnsi="Times New Roman" w:eastAsia="仿宋" w:cs="Times New Roman"/>
          <w:sz w:val="32"/>
          <w:szCs w:val="32"/>
        </w:rPr>
      </w:pPr>
      <w:r>
        <w:rPr>
          <w:rFonts w:hint="eastAsia" w:ascii="仿宋" w:hAnsi="Times New Roman" w:eastAsia="仿宋" w:cs="仿宋"/>
          <w:sz w:val="32"/>
          <w:szCs w:val="32"/>
        </w:rPr>
        <w:t>（一）主要职能</w:t>
      </w:r>
    </w:p>
    <w:p>
      <w:pPr>
        <w:spacing w:line="640"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中共温州市纪律检查委员会、温州市监察委员会是党统一领导下的反腐败工作机构。中共温州市纪律检查委员会是党内监督专责机关，温州市监察委员会是行使国家监察职能的专责机关。中共温州市纪律检查委员会、温州市监察委员会合署办公，履行党的纪律检查、国家监察两项职责，实行一套工作机构、两个机关名称。</w:t>
      </w:r>
    </w:p>
    <w:p>
      <w:pPr>
        <w:autoSpaceDE w:val="0"/>
        <w:autoSpaceDN w:val="0"/>
        <w:adjustRightInd w:val="0"/>
        <w:spacing w:line="560" w:lineRule="exact"/>
        <w:ind w:firstLine="320" w:firstLineChars="100"/>
        <w:outlineLvl w:val="0"/>
        <w:rPr>
          <w:rFonts w:ascii="仿宋" w:hAnsi="Times New Roman" w:eastAsia="仿宋" w:cs="Times New Roman"/>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 w:hAnsi="Times New Roman" w:eastAsia="仿宋" w:cs="仿宋"/>
          <w:sz w:val="32"/>
          <w:szCs w:val="32"/>
        </w:rPr>
      </w:pPr>
      <w:r>
        <w:rPr>
          <w:rFonts w:ascii="仿宋" w:hAnsi="Times New Roman" w:eastAsia="仿宋" w:cs="仿宋"/>
          <w:sz w:val="30"/>
          <w:szCs w:val="30"/>
          <w:lang w:val="zh-CN"/>
        </w:rPr>
        <w:t>2017</w:t>
      </w:r>
      <w:r>
        <w:rPr>
          <w:rFonts w:hint="eastAsia" w:ascii="仿宋" w:hAnsi="Times New Roman" w:eastAsia="仿宋" w:cs="仿宋"/>
          <w:sz w:val="30"/>
          <w:szCs w:val="30"/>
          <w:lang w:val="zh-CN"/>
        </w:rPr>
        <w:t>年度市纪委、市监委</w:t>
      </w:r>
      <w:r>
        <w:rPr>
          <w:rFonts w:hint="eastAsia" w:ascii="仿宋" w:hAnsi="Times New Roman" w:eastAsia="仿宋" w:cs="仿宋"/>
          <w:sz w:val="32"/>
          <w:szCs w:val="32"/>
        </w:rPr>
        <w:t>决算包括：本级决算及所属</w:t>
      </w:r>
      <w:r>
        <w:rPr>
          <w:rFonts w:ascii="仿宋" w:hAnsi="Times New Roman" w:eastAsia="仿宋" w:cs="仿宋"/>
          <w:sz w:val="32"/>
          <w:szCs w:val="32"/>
        </w:rPr>
        <w:t>1</w:t>
      </w:r>
      <w:r>
        <w:rPr>
          <w:rFonts w:hint="eastAsia" w:ascii="仿宋" w:hAnsi="Times New Roman" w:eastAsia="仿宋" w:cs="仿宋"/>
          <w:sz w:val="32"/>
          <w:szCs w:val="32"/>
        </w:rPr>
        <w:t>个事业单位决算（非独立核算），具体如下：（列表</w:t>
      </w:r>
      <w:r>
        <w:rPr>
          <w:rFonts w:ascii="仿宋" w:hAnsi="Times New Roman" w:eastAsia="仿宋" w:cs="仿宋"/>
          <w:sz w:val="32"/>
          <w:szCs w:val="32"/>
        </w:rPr>
        <w:t>)</w:t>
      </w:r>
    </w:p>
    <w:tbl>
      <w:tblPr>
        <w:tblStyle w:val="7"/>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22"/>
              </w:rPr>
            </w:pPr>
            <w:r>
              <w:rPr>
                <w:rFonts w:hint="eastAsia" w:ascii="宋体" w:hAnsi="宋体" w:cs="宋体"/>
                <w:color w:val="000000"/>
                <w:kern w:val="0"/>
                <w:sz w:val="22"/>
                <w:szCs w:val="22"/>
              </w:rPr>
              <w:t>序号</w:t>
            </w:r>
          </w:p>
        </w:tc>
        <w:tc>
          <w:tcPr>
            <w:tcW w:w="5500" w:type="dxa"/>
            <w:tcBorders>
              <w:top w:val="single" w:color="auto" w:sz="4" w:space="0"/>
              <w:left w:val="nil"/>
              <w:bottom w:val="single" w:color="auto" w:sz="4" w:space="0"/>
              <w:right w:val="single" w:color="auto" w:sz="4" w:space="0"/>
            </w:tcBorders>
            <w:noWrap/>
            <w:vAlign w:val="bottom"/>
          </w:tcPr>
          <w:p>
            <w:pPr>
              <w:widowControl/>
              <w:jc w:val="center"/>
              <w:rPr>
                <w:rFonts w:ascii="宋体" w:cs="Times New Roman"/>
                <w:color w:val="000000"/>
                <w:kern w:val="0"/>
                <w:sz w:val="22"/>
              </w:rPr>
            </w:pPr>
            <w:r>
              <w:rPr>
                <w:rFonts w:hint="eastAsia" w:ascii="宋体" w:hAnsi="宋体" w:cs="宋体"/>
                <w:color w:val="000000"/>
                <w:kern w:val="0"/>
                <w:sz w:val="22"/>
                <w:szCs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1</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8"/>
                <w:szCs w:val="28"/>
              </w:rPr>
            </w:pPr>
            <w:r>
              <w:rPr>
                <w:rFonts w:hint="eastAsia" w:ascii="仿宋_GB2312" w:eastAsia="仿宋_GB2312" w:cs="仿宋_GB2312"/>
                <w:color w:val="000000"/>
                <w:sz w:val="28"/>
                <w:szCs w:val="28"/>
              </w:rPr>
              <w:t>中共温州市纪律检查委员会</w:t>
            </w:r>
            <w:r>
              <w:rPr>
                <w:rFonts w:hint="eastAsia" w:ascii="仿宋" w:hAnsi="Times New Roman" w:eastAsia="仿宋" w:cs="仿宋"/>
                <w:sz w:val="28"/>
                <w:szCs w:val="28"/>
                <w:lang w:val="zh-CN"/>
              </w:rPr>
              <w:t>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2</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8"/>
                <w:szCs w:val="28"/>
              </w:rPr>
            </w:pPr>
            <w:r>
              <w:rPr>
                <w:rFonts w:hint="eastAsia" w:ascii="仿宋_GB2312" w:eastAsia="仿宋_GB2312" w:cs="仿宋_GB2312"/>
                <w:color w:val="000000"/>
                <w:sz w:val="28"/>
                <w:szCs w:val="28"/>
              </w:rPr>
              <w:t>温州市纪委市监委案件检查后勤服务中心</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3</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4</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5</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cs="Times New Roman"/>
                <w:color w:val="000000"/>
                <w:kern w:val="0"/>
                <w:sz w:val="22"/>
              </w:rPr>
            </w:pPr>
            <w:r>
              <w:rPr>
                <w:rFonts w:ascii="宋体" w:hAnsi="宋体" w:cs="宋体"/>
                <w:color w:val="000000"/>
                <w:kern w:val="0"/>
                <w:sz w:val="22"/>
                <w:szCs w:val="22"/>
              </w:rPr>
              <w:t>6</w:t>
            </w:r>
          </w:p>
        </w:tc>
        <w:tc>
          <w:tcPr>
            <w:tcW w:w="5500" w:type="dxa"/>
            <w:tcBorders>
              <w:top w:val="nil"/>
              <w:left w:val="nil"/>
              <w:bottom w:val="single" w:color="auto" w:sz="4" w:space="0"/>
              <w:right w:val="single" w:color="auto" w:sz="4" w:space="0"/>
            </w:tcBorders>
            <w:noWrap/>
            <w:vAlign w:val="bottom"/>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bl>
    <w:p>
      <w:pPr>
        <w:autoSpaceDE w:val="0"/>
        <w:autoSpaceDN w:val="0"/>
        <w:adjustRightInd w:val="0"/>
        <w:spacing w:line="560" w:lineRule="exact"/>
        <w:rPr>
          <w:rFonts w:ascii="仿宋_GB2312" w:hAnsi="Times New Roman" w:eastAsia="仿宋_GB2312" w:cs="Times New Roman"/>
          <w:sz w:val="32"/>
          <w:szCs w:val="32"/>
        </w:rPr>
      </w:pPr>
    </w:p>
    <w:p>
      <w:pPr>
        <w:autoSpaceDE w:val="0"/>
        <w:autoSpaceDN w:val="0"/>
        <w:adjustRightInd w:val="0"/>
        <w:spacing w:line="560" w:lineRule="exact"/>
        <w:ind w:firstLine="627"/>
        <w:rPr>
          <w:rFonts w:ascii="仿宋" w:hAnsi="Times New Roman" w:eastAsia="仿宋" w:cs="Times New Roman"/>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w:t>
      </w:r>
      <w:r>
        <w:rPr>
          <w:rFonts w:hint="eastAsia" w:ascii="黑体" w:hAnsi="Times New Roman" w:eastAsia="黑体" w:cs="黑体"/>
          <w:sz w:val="32"/>
          <w:szCs w:val="32"/>
          <w:lang w:val="zh-CN"/>
        </w:rPr>
        <w:t>年度部门决算报表</w:t>
      </w:r>
    </w:p>
    <w:p>
      <w:pPr>
        <w:autoSpaceDE w:val="0"/>
        <w:autoSpaceDN w:val="0"/>
        <w:adjustRightInd w:val="0"/>
        <w:spacing w:line="560" w:lineRule="exact"/>
        <w:ind w:firstLine="627"/>
        <w:rPr>
          <w:rFonts w:ascii="仿宋" w:hAnsi="Times New Roman" w:eastAsia="仿宋" w:cs="Times New Roman"/>
          <w:sz w:val="24"/>
          <w:szCs w:val="24"/>
        </w:rPr>
      </w:pPr>
    </w:p>
    <w:tbl>
      <w:tblPr>
        <w:tblStyle w:val="7"/>
        <w:tblW w:w="8860" w:type="dxa"/>
        <w:tblInd w:w="-106"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部门：中共温州市纪委、温州市监委</w:t>
            </w:r>
          </w:p>
        </w:tc>
        <w:tc>
          <w:tcPr>
            <w:tcW w:w="8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3959.79</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67.22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4018.63</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4018.63</w:t>
            </w:r>
            <w:r>
              <w:rPr>
                <w:rFonts w:hint="eastAsia" w:ascii="宋体" w:hAnsi="宋体" w:cs="宋体"/>
                <w:color w:val="000000"/>
                <w:kern w:val="0"/>
                <w:sz w:val="18"/>
                <w:szCs w:val="18"/>
              </w:rPr>
              <w:t>　</w:t>
            </w:r>
          </w:p>
        </w:tc>
      </w:tr>
    </w:tbl>
    <w:p>
      <w:pPr>
        <w:autoSpaceDE w:val="0"/>
        <w:autoSpaceDN w:val="0"/>
        <w:adjustRightInd w:val="0"/>
        <w:spacing w:line="560" w:lineRule="exact"/>
        <w:rPr>
          <w:rFonts w:ascii="黑体" w:hAnsi="Times New Roman" w:eastAsia="黑体" w:cs="Times New Roman"/>
          <w:sz w:val="32"/>
          <w:szCs w:val="32"/>
          <w:lang w:val="zh-CN"/>
        </w:rPr>
      </w:pPr>
    </w:p>
    <w:tbl>
      <w:tblPr>
        <w:tblStyle w:val="7"/>
        <w:tblW w:w="21412" w:type="dxa"/>
        <w:tblInd w:w="-106"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blPrEx>
          <w:tblCellMar>
            <w:top w:w="0" w:type="dxa"/>
            <w:left w:w="108" w:type="dxa"/>
            <w:bottom w:w="0" w:type="dxa"/>
            <w:right w:w="108" w:type="dxa"/>
          </w:tblCellMar>
        </w:tblPrEx>
        <w:trPr>
          <w:trHeight w:val="255" w:hRule="atLeast"/>
        </w:trPr>
        <w:tc>
          <w:tcPr>
            <w:tcW w:w="15012"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分单位）</w:t>
      </w:r>
    </w:p>
    <w:tbl>
      <w:tblPr>
        <w:tblStyle w:val="7"/>
        <w:tblW w:w="27476" w:type="dxa"/>
        <w:tblInd w:w="-106" w:type="dxa"/>
        <w:tblLayout w:type="autofit"/>
        <w:tblCellMar>
          <w:top w:w="0" w:type="dxa"/>
          <w:left w:w="108" w:type="dxa"/>
          <w:bottom w:w="0" w:type="dxa"/>
          <w:right w:w="108" w:type="dxa"/>
        </w:tblCellMar>
      </w:tblPr>
      <w:tblGrid>
        <w:gridCol w:w="19796"/>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796" w:type="dxa"/>
            <w:tcBorders>
              <w:top w:val="nil"/>
              <w:left w:val="nil"/>
              <w:bottom w:val="nil"/>
              <w:right w:val="nil"/>
            </w:tcBorders>
            <w:noWrap/>
            <w:vAlign w:val="bottom"/>
          </w:tcPr>
          <w:tbl>
            <w:tblPr>
              <w:tblStyle w:val="7"/>
              <w:tblW w:w="9540" w:type="dxa"/>
              <w:tblInd w:w="0" w:type="dxa"/>
              <w:tblLayout w:type="autofit"/>
              <w:tblCellMar>
                <w:top w:w="0" w:type="dxa"/>
                <w:left w:w="108" w:type="dxa"/>
                <w:bottom w:w="0" w:type="dxa"/>
                <w:right w:w="108" w:type="dxa"/>
              </w:tblCellMar>
            </w:tblPr>
            <w:tblGrid>
              <w:gridCol w:w="2160"/>
              <w:gridCol w:w="846"/>
              <w:gridCol w:w="666"/>
              <w:gridCol w:w="846"/>
              <w:gridCol w:w="846"/>
              <w:gridCol w:w="756"/>
              <w:gridCol w:w="640"/>
              <w:gridCol w:w="440"/>
              <w:gridCol w:w="640"/>
              <w:gridCol w:w="640"/>
              <w:gridCol w:w="514"/>
              <w:gridCol w:w="546"/>
            </w:tblGrid>
            <w:tr>
              <w:tblPrEx>
                <w:tblCellMar>
                  <w:top w:w="0" w:type="dxa"/>
                  <w:left w:w="108" w:type="dxa"/>
                  <w:bottom w:w="0" w:type="dxa"/>
                  <w:right w:w="108" w:type="dxa"/>
                </w:tblCellMar>
              </w:tblPrEx>
              <w:trPr>
                <w:trHeight w:val="255" w:hRule="atLeast"/>
              </w:trPr>
              <w:tc>
                <w:tcPr>
                  <w:tcW w:w="21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0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6120" w:type="dxa"/>
                  <w:gridSpan w:val="6"/>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部门：中共温州市纪委、温州市监委</w:t>
                  </w: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70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216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84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66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44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4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51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546"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216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6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51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546"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51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546"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中共温州市纪律检查委员会</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4018.63</w:t>
                  </w: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4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14"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8"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5" w:hRule="atLeast"/>
              </w:trPr>
              <w:tc>
                <w:tcPr>
                  <w:tcW w:w="21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1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546"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02-2</w:t>
            </w:r>
            <w:r>
              <w:rPr>
                <w:rFonts w:hint="eastAsia" w:ascii="宋体" w:hAnsi="宋体" w:cs="宋体"/>
                <w:color w:val="000000"/>
                <w:kern w:val="0"/>
                <w:sz w:val="20"/>
                <w:szCs w:val="20"/>
              </w:rPr>
              <w:t>表</w:t>
            </w:r>
          </w:p>
        </w:tc>
      </w:tr>
    </w:tbl>
    <w:p>
      <w:pPr>
        <w:rPr>
          <w:rFonts w:cs="Times New Roman"/>
        </w:rPr>
        <w:sectPr>
          <w:pgSz w:w="12240" w:h="15840"/>
          <w:pgMar w:top="1440" w:right="1800" w:bottom="1440" w:left="1800" w:header="720" w:footer="720" w:gutter="0"/>
          <w:cols w:space="720" w:num="1"/>
        </w:sectPr>
      </w:pPr>
    </w:p>
    <w:p>
      <w:pPr>
        <w:spacing w:line="20" w:lineRule="exact"/>
        <w:rPr>
          <w:rFonts w:cs="Times New Roman"/>
        </w:rPr>
      </w:pPr>
    </w:p>
    <w:tbl>
      <w:tblPr>
        <w:tblStyle w:val="7"/>
        <w:tblW w:w="27476" w:type="dxa"/>
        <w:tblInd w:w="-106" w:type="dxa"/>
        <w:tblLayout w:type="autofit"/>
        <w:tblCellMar>
          <w:top w:w="0" w:type="dxa"/>
          <w:left w:w="108" w:type="dxa"/>
          <w:bottom w:w="0" w:type="dxa"/>
          <w:right w:w="108" w:type="dxa"/>
        </w:tblCellMar>
      </w:tblPr>
      <w:tblGrid>
        <w:gridCol w:w="19796"/>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70" w:hRule="atLeast"/>
        </w:trPr>
        <w:tc>
          <w:tcPr>
            <w:tcW w:w="19796" w:type="dxa"/>
            <w:tcBorders>
              <w:top w:val="nil"/>
              <w:left w:val="nil"/>
              <w:bottom w:val="nil"/>
              <w:right w:val="nil"/>
            </w:tcBorders>
            <w:noWrap/>
            <w:vAlign w:val="bottom"/>
          </w:tcPr>
          <w:p>
            <w:pPr>
              <w:autoSpaceDE w:val="0"/>
              <w:autoSpaceDN w:val="0"/>
              <w:adjustRightInd w:val="0"/>
              <w:spacing w:line="560" w:lineRule="exact"/>
              <w:ind w:firstLine="1039" w:firstLineChars="495"/>
              <w:rPr>
                <w:rFonts w:ascii="仿宋" w:hAnsi="Times New Roman" w:eastAsia="仿宋" w:cs="Times New Roman"/>
                <w:b/>
                <w:bCs/>
                <w:sz w:val="32"/>
                <w:szCs w:val="32"/>
              </w:rPr>
            </w:pPr>
            <w:r>
              <w:rPr>
                <w:rFonts w:cs="Times New Roman"/>
              </w:rPr>
              <w:br w:type="page"/>
            </w:r>
            <w:r>
              <w:rPr>
                <w:rFonts w:ascii="仿宋" w:hAnsi="Times New Roman" w:eastAsia="仿宋" w:cs="仿宋"/>
                <w:b/>
                <w:bCs/>
                <w:sz w:val="32"/>
                <w:szCs w:val="32"/>
              </w:rPr>
              <w:t>2017</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分科目）</w:t>
            </w:r>
          </w:p>
          <w:tbl>
            <w:tblPr>
              <w:tblStyle w:val="7"/>
              <w:tblW w:w="19128" w:type="dxa"/>
              <w:tblInd w:w="0" w:type="dxa"/>
              <w:tblLayout w:type="autofit"/>
              <w:tblCellMar>
                <w:top w:w="0" w:type="dxa"/>
                <w:left w:w="108" w:type="dxa"/>
                <w:bottom w:w="0" w:type="dxa"/>
                <w:right w:w="108" w:type="dxa"/>
              </w:tblCellMar>
            </w:tblPr>
            <w:tblGrid>
              <w:gridCol w:w="10188"/>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noWrap/>
                  <w:vAlign w:val="bottom"/>
                </w:tcPr>
                <w:p>
                  <w:pPr>
                    <w:rPr>
                      <w:rFonts w:cs="Times New Roman"/>
                    </w:rPr>
                  </w:pPr>
                </w:p>
                <w:tbl>
                  <w:tblPr>
                    <w:tblStyle w:val="7"/>
                    <w:tblW w:w="9972" w:type="dxa"/>
                    <w:tblInd w:w="0" w:type="dxa"/>
                    <w:tblLayout w:type="autofit"/>
                    <w:tblCellMar>
                      <w:top w:w="0" w:type="dxa"/>
                      <w:left w:w="108" w:type="dxa"/>
                      <w:bottom w:w="0" w:type="dxa"/>
                      <w:right w:w="108" w:type="dxa"/>
                    </w:tblCellMar>
                  </w:tblPr>
                  <w:tblGrid>
                    <w:gridCol w:w="900"/>
                    <w:gridCol w:w="992"/>
                    <w:gridCol w:w="340"/>
                    <w:gridCol w:w="846"/>
                    <w:gridCol w:w="666"/>
                    <w:gridCol w:w="846"/>
                    <w:gridCol w:w="846"/>
                    <w:gridCol w:w="756"/>
                    <w:gridCol w:w="640"/>
                    <w:gridCol w:w="640"/>
                    <w:gridCol w:w="640"/>
                    <w:gridCol w:w="640"/>
                    <w:gridCol w:w="640"/>
                    <w:gridCol w:w="580"/>
                  </w:tblGrid>
                  <w:tr>
                    <w:tblPrEx>
                      <w:tblCellMar>
                        <w:top w:w="0" w:type="dxa"/>
                        <w:left w:w="108" w:type="dxa"/>
                        <w:bottom w:w="0" w:type="dxa"/>
                        <w:right w:w="108" w:type="dxa"/>
                      </w:tblCellMar>
                    </w:tblPrEx>
                    <w:trPr>
                      <w:trHeight w:val="255" w:hRule="atLeast"/>
                    </w:trPr>
                    <w:tc>
                      <w:tcPr>
                        <w:tcW w:w="9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tcPr>
                      <w:p>
                        <w:pPr>
                          <w:widowControl/>
                          <w:jc w:val="left"/>
                          <w:rPr>
                            <w:rFonts w:ascii="Arial" w:hAnsi="Arial" w:cs="Arial"/>
                            <w:color w:val="000000"/>
                            <w:kern w:val="0"/>
                            <w:sz w:val="20"/>
                            <w:szCs w:val="20"/>
                          </w:rPr>
                        </w:pPr>
                      </w:p>
                    </w:tc>
                    <w:tc>
                      <w:tcPr>
                        <w:tcW w:w="118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4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02-2</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5436" w:type="dxa"/>
                        <w:gridSpan w:val="7"/>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部门：中共温州市纪委、温州市监委</w:t>
                        </w:r>
                      </w:p>
                    </w:tc>
                    <w:tc>
                      <w:tcPr>
                        <w:tcW w:w="7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33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84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666"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244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58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332"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666"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84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58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232"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846"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84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58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trHeight w:val="308" w:hRule="atLeast"/>
                    </w:trPr>
                    <w:tc>
                      <w:tcPr>
                        <w:tcW w:w="2232"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846"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4018.63</w:t>
                        </w:r>
                        <w:r>
                          <w:rPr>
                            <w:rFonts w:hint="eastAsia" w:ascii="宋体" w:hAnsi="宋体" w:cs="宋体"/>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rPr>
                            <w:rFonts w:ascii="宋体" w:cs="Times New Roman"/>
                            <w:color w:val="000000"/>
                            <w:kern w:val="0"/>
                            <w:sz w:val="18"/>
                            <w:szCs w:val="18"/>
                          </w:rPr>
                        </w:pPr>
                        <w:r>
                          <w:rPr>
                            <w:rFonts w:hint="eastAsia" w:ascii="宋体" w:cs="宋体"/>
                            <w:color w:val="000000"/>
                            <w:kern w:val="0"/>
                            <w:sz w:val="18"/>
                            <w:szCs w:val="18"/>
                          </w:rPr>
                          <w:t>一般公共服务支出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3141.55</w:t>
                        </w:r>
                        <w:r>
                          <w:rPr>
                            <w:rFonts w:hint="eastAsia" w:ascii="宋体" w:hAnsi="宋体" w:cs="宋体"/>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纪检监察事务</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3141.55</w:t>
                        </w:r>
                        <w:r>
                          <w:rPr>
                            <w:rFonts w:hint="eastAsia" w:ascii="宋体" w:hAnsi="宋体" w:cs="宋体"/>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6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2011101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r>
                          <w:rPr>
                            <w:rFonts w:hint="eastAsia" w:ascii="宋体" w:cs="宋体"/>
                            <w:color w:val="000000"/>
                            <w:kern w:val="0"/>
                            <w:sz w:val="18"/>
                            <w:szCs w:val="18"/>
                          </w:rPr>
                          <w:t>行政运行</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r>
                          <w:rPr>
                            <w:rFonts w:ascii="宋体" w:hAnsi="宋体" w:cs="宋体"/>
                            <w:color w:val="000000"/>
                            <w:kern w:val="0"/>
                            <w:sz w:val="18"/>
                            <w:szCs w:val="18"/>
                          </w:rPr>
                          <w:t>2334.07</w:t>
                        </w:r>
                      </w:p>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p>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vAlign w:val="center"/>
                      </w:tcPr>
                      <w:p>
                        <w:pPr>
                          <w:widowControl/>
                          <w:ind w:right="630"/>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2011102</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一般行政管理事务</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508.38</w:t>
                        </w:r>
                        <w:r>
                          <w:rPr>
                            <w:rFonts w:hint="eastAsia" w:ascii="宋体" w:hAnsi="宋体" w:cs="宋体"/>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58.84</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441.16</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441.16</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2011199</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其他纪检监察事务支出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社会保障和就业支出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p>
                      <w:p>
                        <w:pPr>
                          <w:widowControl/>
                          <w:jc w:val="left"/>
                          <w:rPr>
                            <w:rFonts w:ascii="宋体" w:cs="Times New Roman"/>
                            <w:color w:val="000000"/>
                            <w:kern w:val="0"/>
                            <w:sz w:val="18"/>
                            <w:szCs w:val="18"/>
                          </w:rPr>
                        </w:pPr>
                        <w:r>
                          <w:rPr>
                            <w:rFonts w:ascii="宋体" w:hAnsi="宋体" w:cs="宋体"/>
                            <w:color w:val="000000"/>
                            <w:kern w:val="0"/>
                            <w:sz w:val="18"/>
                            <w:szCs w:val="18"/>
                          </w:rPr>
                          <w:t>20805</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行政事业单位离退休</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2080505</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机关事业单位基本养老保险缴费支出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239.25</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239.25</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239.25</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2080506</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机关事业职业年金缴费支出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95.70</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95.7</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95.7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医疗卫生与计划生育支出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21011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行政事业单位医疗</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2101101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行政单位医疗</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住房保障支出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住房改革支出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2210201</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住房公积金</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171.90</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2210203</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购房补贴</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24.47</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24.47</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24.47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其他支出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219.90</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219.90</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219.09</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2290400</w:t>
                        </w:r>
                      </w:p>
                    </w:tc>
                    <w:tc>
                      <w:tcPr>
                        <w:tcW w:w="1332"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84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219.90</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84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58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bl>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80" w:type="dxa"/>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bl>
          <w:p>
            <w:pPr>
              <w:widowControl/>
              <w:jc w:val="left"/>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ind w:firstLine="1430" w:firstLineChars="445"/>
        <w:rPr>
          <w:rFonts w:ascii="仿宋" w:hAnsi="Times New Roman" w:eastAsia="仿宋" w:cs="Times New Roman"/>
          <w:b/>
          <w:bCs/>
          <w:sz w:val="32"/>
          <w:szCs w:val="32"/>
        </w:rPr>
        <w:sectPr>
          <w:pgSz w:w="12240" w:h="15840"/>
          <w:pgMar w:top="1440" w:right="1304" w:bottom="1440" w:left="1304" w:header="720" w:footer="720" w:gutter="0"/>
          <w:cols w:space="720" w:num="1"/>
        </w:sectPr>
      </w:pPr>
    </w:p>
    <w:p>
      <w:pPr>
        <w:autoSpaceDE w:val="0"/>
        <w:autoSpaceDN w:val="0"/>
        <w:adjustRightInd w:val="0"/>
        <w:spacing w:line="560" w:lineRule="exact"/>
        <w:ind w:firstLine="1430" w:firstLineChars="445"/>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年度部门支出决算总表（分单位）</w:t>
      </w:r>
    </w:p>
    <w:tbl>
      <w:tblPr>
        <w:tblStyle w:val="7"/>
        <w:tblW w:w="16336" w:type="dxa"/>
        <w:tblInd w:w="-106"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noWrap/>
            <w:vAlign w:val="bottom"/>
          </w:tcPr>
          <w:tbl>
            <w:tblPr>
              <w:tblStyle w:val="7"/>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4120" w:type="dxa"/>
                  <w:gridSpan w:val="3"/>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部门：中共温州市纪委、温州市监委</w:t>
                  </w:r>
                </w:p>
              </w:tc>
              <w:tc>
                <w:tcPr>
                  <w:tcW w:w="1000" w:type="dxa"/>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ind w:right="200"/>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2767.11</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中共温州市纪律检查委员会</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2767.11</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年度部门支出决算总表（分科目）</w:t>
      </w:r>
    </w:p>
    <w:tbl>
      <w:tblPr>
        <w:tblStyle w:val="7"/>
        <w:tblW w:w="16336" w:type="dxa"/>
        <w:tblInd w:w="-106"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noWrap/>
            <w:vAlign w:val="bottom"/>
          </w:tcPr>
          <w:tbl>
            <w:tblPr>
              <w:tblStyle w:val="7"/>
              <w:tblW w:w="9711" w:type="dxa"/>
              <w:tblInd w:w="0" w:type="dxa"/>
              <w:tblLayout w:type="autofit"/>
              <w:tblCellMar>
                <w:top w:w="0" w:type="dxa"/>
                <w:left w:w="108" w:type="dxa"/>
                <w:bottom w:w="0" w:type="dxa"/>
                <w:right w:w="108" w:type="dxa"/>
              </w:tblCellMar>
            </w:tblPr>
            <w:tblGrid>
              <w:gridCol w:w="900"/>
              <w:gridCol w:w="1440"/>
              <w:gridCol w:w="1276"/>
              <w:gridCol w:w="992"/>
              <w:gridCol w:w="535"/>
              <w:gridCol w:w="599"/>
              <w:gridCol w:w="992"/>
              <w:gridCol w:w="1134"/>
              <w:gridCol w:w="275"/>
              <w:gridCol w:w="576"/>
              <w:gridCol w:w="992"/>
            </w:tblGrid>
            <w:tr>
              <w:tblPrEx>
                <w:tblCellMar>
                  <w:top w:w="0" w:type="dxa"/>
                  <w:left w:w="108" w:type="dxa"/>
                  <w:bottom w:w="0" w:type="dxa"/>
                  <w:right w:w="108" w:type="dxa"/>
                </w:tblCellMar>
              </w:tblPrEx>
              <w:trPr>
                <w:trHeight w:val="255" w:hRule="atLeast"/>
              </w:trPr>
              <w:tc>
                <w:tcPr>
                  <w:tcW w:w="9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40"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5742" w:type="dxa"/>
                  <w:gridSpan w:val="6"/>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部门：中共温州市纪委、温州市监委</w:t>
                  </w:r>
                  <w:r>
                    <w:rPr>
                      <w:rFonts w:hint="eastAsia" w:ascii="Arial" w:hAnsi="Arial" w:cs="宋体"/>
                      <w:color w:val="000000"/>
                      <w:kern w:val="0"/>
                      <w:sz w:val="20"/>
                      <w:szCs w:val="20"/>
                    </w:rPr>
                    <w:t>　</w:t>
                  </w:r>
                  <w:r>
                    <w:rPr>
                      <w:rFonts w:hint="eastAsia" w:ascii="宋体" w:hAnsi="宋体" w:cs="宋体"/>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900"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44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90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34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340"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276"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2767.11</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1890.03</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纪检监察事务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1890.03</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2011101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1890.03</w:t>
                  </w: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444.04</w:t>
                  </w: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2011102</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441.16</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441.16</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2011199</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其他纪检监察事务支出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2080505</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239.25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239.25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2080506</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机关事业职业年金缴费支出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95.7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95.7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21011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2101101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2210201</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2210203</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24.47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24.47</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8"/>
                      <w:szCs w:val="18"/>
                    </w:rPr>
                  </w:pPr>
                  <w:r>
                    <w:rPr>
                      <w:rFonts w:hint="eastAsia" w:ascii="宋体" w:cs="宋体"/>
                      <w:color w:val="000000"/>
                      <w:kern w:val="0"/>
                      <w:sz w:val="18"/>
                      <w:szCs w:val="18"/>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8" w:space="0"/>
                    <w:bottom w:val="single" w:color="000000" w:sz="4" w:space="0"/>
                    <w:right w:val="single" w:color="auto" w:sz="4" w:space="0"/>
                  </w:tcBorders>
                  <w:shd w:val="clear" w:color="FFFFFF"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2290400</w:t>
                  </w:r>
                </w:p>
              </w:tc>
              <w:tc>
                <w:tcPr>
                  <w:tcW w:w="1440"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bl>
          <w:p>
            <w:pPr>
              <w:widowControl/>
              <w:jc w:val="left"/>
              <w:rPr>
                <w:rFonts w:ascii="Arial" w:hAnsi="Arial" w:cs="Arial"/>
                <w:color w:val="000000"/>
                <w:kern w:val="0"/>
                <w:sz w:val="20"/>
                <w:szCs w:val="20"/>
              </w:rPr>
            </w:pPr>
          </w:p>
        </w:tc>
      </w:tr>
    </w:tbl>
    <w:p>
      <w:pPr>
        <w:autoSpaceDE w:val="0"/>
        <w:autoSpaceDN w:val="0"/>
        <w:adjustRightInd w:val="0"/>
        <w:spacing w:line="560" w:lineRule="exact"/>
        <w:rPr>
          <w:rFonts w:ascii="仿宋" w:hAnsi="Times New Roman" w:eastAsia="仿宋" w:cs="Times New Roman"/>
          <w:b/>
          <w:bCs/>
          <w:sz w:val="32"/>
          <w:szCs w:val="32"/>
        </w:rPr>
      </w:pPr>
    </w:p>
    <w:tbl>
      <w:tblPr>
        <w:tblStyle w:val="7"/>
        <w:tblW w:w="19156" w:type="dxa"/>
        <w:tblInd w:w="-106" w:type="dxa"/>
        <w:tblLayout w:type="autofit"/>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20" w:type="dxa"/>
            <w:tcBorders>
              <w:top w:val="nil"/>
              <w:left w:val="nil"/>
              <w:bottom w:val="nil"/>
              <w:right w:val="nil"/>
            </w:tcBorders>
            <w:noWrap/>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03-1</w:t>
            </w:r>
            <w:r>
              <w:rPr>
                <w:rFonts w:hint="eastAsia" w:ascii="宋体" w:hAnsi="宋体" w:cs="宋体"/>
                <w:color w:val="000000"/>
                <w:kern w:val="0"/>
                <w:sz w:val="24"/>
                <w:szCs w:val="24"/>
              </w:rPr>
              <w:t>表</w:t>
            </w:r>
          </w:p>
        </w:tc>
      </w:tr>
    </w:tbl>
    <w:p>
      <w:pPr>
        <w:autoSpaceDE w:val="0"/>
        <w:autoSpaceDN w:val="0"/>
        <w:adjustRightInd w:val="0"/>
        <w:spacing w:line="560" w:lineRule="exact"/>
        <w:ind w:firstLine="1590" w:firstLineChars="495"/>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年度部门财政拨款收入支出决算总表</w:t>
      </w:r>
    </w:p>
    <w:tbl>
      <w:tblPr>
        <w:tblStyle w:val="7"/>
        <w:tblW w:w="15990" w:type="dxa"/>
        <w:tblInd w:w="-106" w:type="dxa"/>
        <w:tblLayout w:type="autofit"/>
        <w:tblCellMar>
          <w:top w:w="0" w:type="dxa"/>
          <w:left w:w="108" w:type="dxa"/>
          <w:bottom w:w="0" w:type="dxa"/>
          <w:right w:w="108" w:type="dxa"/>
        </w:tblCellMar>
      </w:tblPr>
      <w:tblGrid>
        <w:gridCol w:w="9412"/>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noWrap/>
            <w:vAlign w:val="bottom"/>
          </w:tcPr>
          <w:tbl>
            <w:tblPr>
              <w:tblStyle w:val="7"/>
              <w:tblW w:w="9017" w:type="dxa"/>
              <w:tblInd w:w="0" w:type="dxa"/>
              <w:tblLayout w:type="autofit"/>
              <w:tblCellMar>
                <w:top w:w="0" w:type="dxa"/>
                <w:left w:w="108" w:type="dxa"/>
                <w:bottom w:w="0" w:type="dxa"/>
                <w:right w:w="108" w:type="dxa"/>
              </w:tblCellMar>
            </w:tblPr>
            <w:tblGrid>
              <w:gridCol w:w="2260"/>
              <w:gridCol w:w="376"/>
              <w:gridCol w:w="880"/>
              <w:gridCol w:w="2240"/>
              <w:gridCol w:w="440"/>
              <w:gridCol w:w="846"/>
              <w:gridCol w:w="1077"/>
              <w:gridCol w:w="107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宋体" w:hAnsi="宋体" w:cs="宋体"/>
                      <w:color w:val="000000"/>
                      <w:kern w:val="0"/>
                      <w:sz w:val="15"/>
                      <w:szCs w:val="15"/>
                    </w:rPr>
                    <w:t>公开</w:t>
                  </w:r>
                  <w:r>
                    <w:rPr>
                      <w:rFonts w:ascii="Arial" w:hAnsi="Arial" w:cs="Arial"/>
                      <w:color w:val="000000"/>
                      <w:kern w:val="0"/>
                      <w:sz w:val="15"/>
                      <w:szCs w:val="15"/>
                    </w:rPr>
                    <w:t>04</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315" w:hRule="atLeast"/>
              </w:trPr>
              <w:tc>
                <w:tcPr>
                  <w:tcW w:w="5756" w:type="dxa"/>
                  <w:gridSpan w:val="4"/>
                  <w:tcBorders>
                    <w:top w:val="nil"/>
                    <w:left w:val="nil"/>
                    <w:bottom w:val="nil"/>
                    <w:right w:val="nil"/>
                  </w:tcBorders>
                  <w:shd w:val="clear" w:color="000000" w:fill="FFFFFF"/>
                  <w:noWrap/>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部门：中共温州市纪委、温州市监委</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821"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Arial" w:hAnsi="Arial"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收</w:t>
                  </w:r>
                  <w:r>
                    <w:rPr>
                      <w:rFonts w:ascii="宋体" w:hAnsi="宋体" w:cs="宋体"/>
                      <w:color w:val="000000"/>
                      <w:kern w:val="0"/>
                      <w:sz w:val="16"/>
                      <w:szCs w:val="16"/>
                    </w:rPr>
                    <w:t xml:space="preserve">     </w:t>
                  </w:r>
                  <w:r>
                    <w:rPr>
                      <w:rFonts w:hint="eastAsia" w:ascii="宋体" w:hAnsi="宋体" w:cs="宋体"/>
                      <w:color w:val="000000"/>
                      <w:kern w:val="0"/>
                      <w:sz w:val="16"/>
                      <w:szCs w:val="16"/>
                    </w:rPr>
                    <w:t>入</w:t>
                  </w:r>
                </w:p>
              </w:tc>
              <w:tc>
                <w:tcPr>
                  <w:tcW w:w="5501"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支</w:t>
                  </w:r>
                  <w:r>
                    <w:rPr>
                      <w:rFonts w:ascii="宋体" w:hAnsi="宋体" w:cs="宋体"/>
                      <w:color w:val="000000"/>
                      <w:kern w:val="0"/>
                      <w:sz w:val="16"/>
                      <w:szCs w:val="16"/>
                    </w:rPr>
                    <w:t xml:space="preserve">     </w:t>
                  </w:r>
                  <w:r>
                    <w:rPr>
                      <w:rFonts w:hint="eastAsia" w:ascii="宋体" w:hAnsi="宋体" w:cs="宋体"/>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r>
                    <w:rPr>
                      <w:rFonts w:ascii="宋体" w:hAnsi="宋体" w:cs="宋体"/>
                      <w:color w:val="000000"/>
                      <w:kern w:val="0"/>
                      <w:sz w:val="16"/>
                      <w:szCs w:val="16"/>
                    </w:rPr>
                    <w:t xml:space="preserve">    </w:t>
                  </w:r>
                  <w:r>
                    <w:rPr>
                      <w:rFonts w:hint="eastAsia" w:ascii="宋体" w:hAnsi="宋体" w:cs="宋体"/>
                      <w:color w:val="000000"/>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334.95</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125.86</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196.37</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3951.41</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28.97</w:t>
                  </w: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28.97</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28.97</w:t>
                  </w: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3980.38</w:t>
                  </w:r>
                  <w:r>
                    <w:rPr>
                      <w:rFonts w:hint="eastAsia" w:ascii="宋体" w:hAnsi="宋体" w:cs="宋体"/>
                      <w:color w:val="000000"/>
                      <w:kern w:val="0"/>
                      <w:sz w:val="18"/>
                      <w:szCs w:val="18"/>
                    </w:rPr>
                    <w:t>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3980.38</w:t>
                  </w:r>
                  <w:r>
                    <w:rPr>
                      <w:rFonts w:hint="eastAsia" w:ascii="宋体" w:hAnsi="宋体" w:cs="宋体"/>
                      <w:color w:val="000000"/>
                      <w:kern w:val="0"/>
                      <w:sz w:val="18"/>
                      <w:szCs w:val="18"/>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3760.48</w:t>
                  </w:r>
                  <w:r>
                    <w:rPr>
                      <w:rFonts w:hint="eastAsia" w:ascii="宋体" w:hAnsi="宋体" w:cs="宋体"/>
                      <w:color w:val="000000"/>
                      <w:kern w:val="0"/>
                      <w:sz w:val="18"/>
                      <w:szCs w:val="18"/>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219.90</w:t>
                  </w: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宋体" w:hAnsi="宋体" w:cs="宋体"/>
                <w:color w:val="000000"/>
                <w:kern w:val="0"/>
                <w:sz w:val="20"/>
                <w:szCs w:val="20"/>
              </w:rPr>
              <w:t>公开</w:t>
            </w:r>
            <w:r>
              <w:rPr>
                <w:rFonts w:ascii="Arial" w:hAnsi="Arial" w:cs="Arial"/>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noWrap/>
            <w:vAlign w:val="bottom"/>
          </w:tcPr>
          <w:p>
            <w:pPr>
              <w:widowControl/>
              <w:jc w:val="left"/>
              <w:rPr>
                <w:rFonts w:ascii="宋体" w:cs="Times New Roman"/>
                <w:color w:val="000000"/>
                <w:kern w:val="0"/>
                <w:sz w:val="24"/>
                <w:szCs w:val="24"/>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Arial" w:hAnsi="Arial" w:cs="宋体"/>
                <w:color w:val="000000"/>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Times New Roman"/>
          <w:sz w:val="28"/>
          <w:szCs w:val="28"/>
        </w:rPr>
      </w:pPr>
      <w:r>
        <w:rPr>
          <w:rFonts w:ascii="仿宋" w:hAnsi="Times New Roman" w:eastAsia="仿宋" w:cs="仿宋"/>
          <w:b/>
          <w:bCs/>
          <w:sz w:val="32"/>
          <w:szCs w:val="32"/>
        </w:rPr>
        <w:t>2017</w:t>
      </w:r>
      <w:r>
        <w:rPr>
          <w:rFonts w:hint="eastAsia" w:ascii="仿宋" w:hAnsi="Times New Roman" w:eastAsia="仿宋" w:cs="仿宋"/>
          <w:b/>
          <w:bCs/>
          <w:sz w:val="32"/>
          <w:szCs w:val="32"/>
        </w:rPr>
        <w:t>年度部门一般公共预算财政拨款支出决算表</w:t>
      </w:r>
    </w:p>
    <w:tbl>
      <w:tblPr>
        <w:tblStyle w:val="7"/>
        <w:tblW w:w="8748" w:type="dxa"/>
        <w:tblInd w:w="-106" w:type="dxa"/>
        <w:tblLayout w:type="autofit"/>
        <w:tblCellMar>
          <w:top w:w="0" w:type="dxa"/>
          <w:left w:w="108" w:type="dxa"/>
          <w:bottom w:w="0" w:type="dxa"/>
          <w:right w:w="108" w:type="dxa"/>
        </w:tblCellMar>
      </w:tblPr>
      <w:tblGrid>
        <w:gridCol w:w="482"/>
        <w:gridCol w:w="482"/>
        <w:gridCol w:w="6"/>
        <w:gridCol w:w="476"/>
        <w:gridCol w:w="1754"/>
        <w:gridCol w:w="383"/>
        <w:gridCol w:w="776"/>
        <w:gridCol w:w="429"/>
        <w:gridCol w:w="229"/>
        <w:gridCol w:w="387"/>
        <w:gridCol w:w="1180"/>
        <w:gridCol w:w="680"/>
        <w:gridCol w:w="840"/>
        <w:gridCol w:w="644"/>
      </w:tblGrid>
      <w:tr>
        <w:tblPrEx>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noWrap/>
            <w:vAlign w:val="bottom"/>
          </w:tcPr>
          <w:p>
            <w:pPr>
              <w:widowControl/>
              <w:jc w:val="center"/>
              <w:rPr>
                <w:rFonts w:ascii="Arial" w:hAnsi="Arial" w:cs="Arial"/>
                <w:color w:val="000000"/>
                <w:kern w:val="0"/>
                <w:sz w:val="20"/>
                <w:szCs w:val="20"/>
              </w:rPr>
            </w:pPr>
            <w:r>
              <w:rPr>
                <w:rFonts w:hint="eastAsia" w:ascii="Arial" w:hAnsi="Arial" w:cs="宋体"/>
                <w:color w:val="000000"/>
                <w:kern w:val="0"/>
                <w:sz w:val="20"/>
                <w:szCs w:val="20"/>
              </w:rPr>
              <w:t>　</w:t>
            </w:r>
          </w:p>
        </w:tc>
        <w:tc>
          <w:tcPr>
            <w:tcW w:w="1817" w:type="dxa"/>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164" w:type="dxa"/>
            <w:gridSpan w:val="3"/>
            <w:tcBorders>
              <w:top w:val="nil"/>
              <w:left w:val="nil"/>
              <w:bottom w:val="nil"/>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05</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5017" w:type="dxa"/>
            <w:gridSpan w:val="9"/>
            <w:tcBorders>
              <w:top w:val="nil"/>
              <w:left w:val="nil"/>
              <w:bottom w:val="single" w:color="000000" w:sz="8" w:space="0"/>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部门：中共温州市纪委、温州市监委　</w:t>
            </w:r>
          </w:p>
        </w:tc>
        <w:tc>
          <w:tcPr>
            <w:tcW w:w="156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164" w:type="dxa"/>
            <w:gridSpan w:val="3"/>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项目</w:t>
            </w:r>
          </w:p>
        </w:tc>
        <w:tc>
          <w:tcPr>
            <w:tcW w:w="1817" w:type="dxa"/>
            <w:gridSpan w:val="4"/>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567"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项目支出</w:t>
            </w:r>
          </w:p>
        </w:tc>
        <w:tc>
          <w:tcPr>
            <w:tcW w:w="64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科目名称</w:t>
            </w:r>
          </w:p>
        </w:tc>
        <w:tc>
          <w:tcPr>
            <w:tcW w:w="181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6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64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81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6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64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817"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6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644"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栏次</w:t>
            </w:r>
          </w:p>
        </w:tc>
        <w:tc>
          <w:tcPr>
            <w:tcW w:w="1817"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ascii="宋体" w:hAnsi="宋体" w:cs="宋体"/>
                <w:color w:val="000000"/>
                <w:kern w:val="0"/>
                <w:sz w:val="22"/>
                <w:szCs w:val="22"/>
              </w:rPr>
              <w:t>1</w:t>
            </w:r>
          </w:p>
        </w:tc>
        <w:tc>
          <w:tcPr>
            <w:tcW w:w="156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ascii="宋体" w:hAnsi="宋体" w:cs="宋体"/>
                <w:color w:val="000000"/>
                <w:kern w:val="0"/>
                <w:sz w:val="22"/>
                <w:szCs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ascii="宋体" w:hAnsi="宋体" w:cs="宋体"/>
                <w:color w:val="000000"/>
                <w:kern w:val="0"/>
                <w:sz w:val="22"/>
                <w:szCs w:val="22"/>
              </w:rPr>
              <w:t>3</w:t>
            </w:r>
          </w:p>
        </w:tc>
        <w:tc>
          <w:tcPr>
            <w:tcW w:w="64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rPr>
            </w:pPr>
            <w:r>
              <w:rPr>
                <w:rFonts w:ascii="宋体" w:hAnsi="宋体" w:cs="宋体"/>
                <w:color w:val="000000"/>
                <w:kern w:val="0"/>
                <w:sz w:val="22"/>
                <w:szCs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合计</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3731.51</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2991.25</w:t>
            </w:r>
            <w:r>
              <w:rPr>
                <w:rFonts w:hint="eastAsia" w:ascii="宋体" w:hAnsi="宋体" w:cs="宋体"/>
                <w:color w:val="000000"/>
                <w:kern w:val="0"/>
                <w:sz w:val="18"/>
                <w:szCs w:val="18"/>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一般公共服务支出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纪检监察事务</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3074.33</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740.26</w:t>
            </w: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行政运行</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2334.07</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2334.07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2011102</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一般行政管理事务</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441.16</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441.16</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2011199</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其他纪检监察事务支出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299.10</w:t>
            </w:r>
            <w:r>
              <w:rPr>
                <w:rFonts w:hint="eastAsia" w:ascii="宋体" w:hAnsi="宋体" w:cs="宋体"/>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299.10</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社会保障和就业支出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行政事业单位离退休</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334.95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2080505</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机关事业单位基本养老保险缴费支出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239.25</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239.25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2080506</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机关事业职业年金缴费支出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95.7</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95.7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医疗卫生与计划生育支出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21011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行政事业单位医疗</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2101101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行政单位医疗</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125.86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住房保障支出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196.37</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196.37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住房改革支出</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196.37</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196.37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2210201</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住房公积金</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171.9</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171.9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2210203</w:t>
            </w:r>
          </w:p>
        </w:tc>
        <w:tc>
          <w:tcPr>
            <w:tcW w:w="1754" w:type="dxa"/>
            <w:tcBorders>
              <w:top w:val="nil"/>
              <w:left w:val="nil"/>
              <w:bottom w:val="single" w:color="000000" w:sz="4" w:space="0"/>
              <w:right w:val="single" w:color="000000" w:sz="4" w:space="0"/>
            </w:tcBorders>
            <w:shd w:val="clear" w:color="000000" w:fill="FFFFFF"/>
            <w:noWrap/>
          </w:tcPr>
          <w:p>
            <w:pPr>
              <w:widowControl/>
              <w:jc w:val="right"/>
              <w:rPr>
                <w:rFonts w:ascii="宋体" w:cs="Times New Roman"/>
                <w:color w:val="000000"/>
                <w:kern w:val="0"/>
                <w:sz w:val="18"/>
                <w:szCs w:val="18"/>
              </w:rPr>
            </w:pPr>
            <w:r>
              <w:rPr>
                <w:rFonts w:hint="eastAsia" w:ascii="宋体" w:cs="宋体"/>
                <w:color w:val="000000"/>
                <w:kern w:val="0"/>
                <w:sz w:val="18"/>
                <w:szCs w:val="18"/>
              </w:rPr>
              <w:t>购房补贴</w:t>
            </w:r>
          </w:p>
        </w:tc>
        <w:tc>
          <w:tcPr>
            <w:tcW w:w="1817" w:type="dxa"/>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24.47</w:t>
            </w:r>
          </w:p>
        </w:tc>
        <w:tc>
          <w:tcPr>
            <w:tcW w:w="156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宋体"/>
                <w:color w:val="000000"/>
                <w:kern w:val="0"/>
                <w:sz w:val="18"/>
                <w:szCs w:val="18"/>
              </w:rPr>
            </w:pPr>
            <w:r>
              <w:rPr>
                <w:rFonts w:ascii="宋体" w:hAnsi="宋体" w:cs="宋体"/>
                <w:color w:val="000000"/>
                <w:kern w:val="0"/>
                <w:sz w:val="18"/>
                <w:szCs w:val="18"/>
              </w:rPr>
              <w:t>24.47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64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rPr>
            </w:pPr>
          </w:p>
        </w:tc>
      </w:tr>
      <w:tr>
        <w:tblPrEx>
          <w:tblCellMar>
            <w:top w:w="0" w:type="dxa"/>
            <w:left w:w="108" w:type="dxa"/>
            <w:bottom w:w="0" w:type="dxa"/>
            <w:right w:w="108" w:type="dxa"/>
          </w:tblCellMar>
        </w:tblPrEx>
        <w:trPr>
          <w:trHeight w:val="540" w:hRule="atLeast"/>
        </w:trPr>
        <w:tc>
          <w:tcPr>
            <w:tcW w:w="8748" w:type="dxa"/>
            <w:gridSpan w:val="14"/>
            <w:tcBorders>
              <w:top w:val="nil"/>
              <w:left w:val="nil"/>
              <w:bottom w:val="nil"/>
              <w:right w:val="nil"/>
            </w:tcBorders>
            <w:noWrap/>
            <w:vAlign w:val="bottom"/>
          </w:tcPr>
          <w:p>
            <w:pPr>
              <w:widowControl/>
              <w:jc w:val="center"/>
              <w:rPr>
                <w:rFonts w:ascii="仿宋" w:hAnsi="Times New Roman" w:eastAsia="仿宋" w:cs="Times New Roman"/>
                <w:b/>
                <w:bCs/>
                <w:sz w:val="32"/>
                <w:szCs w:val="32"/>
              </w:rPr>
            </w:pPr>
          </w:p>
          <w:p>
            <w:pPr>
              <w:widowControl/>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13"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7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45"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84" w:type="dxa"/>
            <w:gridSpan w:val="2"/>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06</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55" w:hRule="atLeast"/>
        </w:trPr>
        <w:tc>
          <w:tcPr>
            <w:tcW w:w="7264" w:type="dxa"/>
            <w:gridSpan w:val="1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部门：中共温州市纪委、温州市监委</w:t>
            </w:r>
          </w:p>
        </w:tc>
        <w:tc>
          <w:tcPr>
            <w:tcW w:w="1484" w:type="dxa"/>
            <w:gridSpan w:val="2"/>
            <w:tcBorders>
              <w:top w:val="nil"/>
              <w:left w:val="nil"/>
              <w:bottom w:val="single" w:color="auto" w:sz="4"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788" w:type="dxa"/>
            <w:gridSpan w:val="8"/>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w:t>
            </w:r>
          </w:p>
        </w:tc>
        <w:tc>
          <w:tcPr>
            <w:tcW w:w="3960"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20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c>
          <w:tcPr>
            <w:tcW w:w="616"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484"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工资福利支出</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2163.83</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商品和服务支出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405.12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基本工资</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392.49</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28.74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津贴补贴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571.48</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印刷费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4.96</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奖金</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573.57</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咨询费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其他社会保障缴费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16.07</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手续费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0.02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伙食补助费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52.33</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水费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绩效工资</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74.46</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电费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机关事业单位基本养老保险缴费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239.25</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邮电费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7.28</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职业年金缴费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95.60</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取暖费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其他工资福利支出</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148.49</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物业管理费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5.54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对个人和家庭的补助</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383.38</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差旅费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7.79</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离休费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18.95</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因公出国（境）费用</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退休费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退职（役）费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租赁费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抚恤金</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14.72</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会议费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9.04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生活补助</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培训费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52.63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救济费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公务接待费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5.74</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医疗费</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127.66</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专用材料费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助学金</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被装购置费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奖励金</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专用燃料费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生产补贴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劳务费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56.48</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住房公积金</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171.90</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委托业务费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26.69</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提租补贴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工会经费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购房补贴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24.47</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福利费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41.53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采暖补贴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公务用车运行维护费</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19.33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物业服务补贴</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其他交通费用</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112.62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其他对个人和家庭的补助支出</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25.69</w:t>
            </w: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税金及附加费用</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其他商品和服务支出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26.75</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对事业单位的补贴</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企业政策性补贴</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事业单位补贴</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财政贴息</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其他对企事业单位的补贴</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其他资本性支出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38.92</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房屋建筑物购建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办公设备购置</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9.93</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专用设备购置</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基础设施建设</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大型修缮</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信息网络及软件购置更新</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物资储备</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土地补偿</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安置补助</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地上附着物和青苗补偿</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拆迁补偿</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公务用车购置</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27.19</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其他交通工具购置</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其他资本性支出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1.80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其他支出</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20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61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赠与</w:t>
            </w:r>
          </w:p>
        </w:tc>
        <w:tc>
          <w:tcPr>
            <w:tcW w:w="1484"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人员经费合计</w:t>
            </w:r>
          </w:p>
        </w:tc>
        <w:tc>
          <w:tcPr>
            <w:tcW w:w="1205"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16"/>
                <w:szCs w:val="16"/>
              </w:rPr>
              <w:t>　</w:t>
            </w:r>
            <w:r>
              <w:rPr>
                <w:rFonts w:ascii="Arial" w:hAnsi="Arial" w:cs="Arial"/>
                <w:color w:val="000000"/>
                <w:kern w:val="0"/>
                <w:sz w:val="16"/>
                <w:szCs w:val="16"/>
              </w:rPr>
              <w:t>2547.21</w:t>
            </w:r>
          </w:p>
        </w:tc>
        <w:tc>
          <w:tcPr>
            <w:tcW w:w="2476" w:type="dxa"/>
            <w:gridSpan w:val="4"/>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公用经费合计</w:t>
            </w:r>
          </w:p>
        </w:tc>
        <w:tc>
          <w:tcPr>
            <w:tcW w:w="1484"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16"/>
                <w:szCs w:val="16"/>
              </w:rPr>
              <w:t>　</w:t>
            </w:r>
            <w:r>
              <w:rPr>
                <w:rFonts w:ascii="Arial" w:hAnsi="Arial" w:cs="Arial"/>
                <w:color w:val="000000"/>
                <w:kern w:val="0"/>
                <w:sz w:val="16"/>
                <w:szCs w:val="16"/>
              </w:rPr>
              <w:t>444.04</w:t>
            </w:r>
          </w:p>
        </w:tc>
      </w:tr>
    </w:tbl>
    <w:p>
      <w:pPr>
        <w:autoSpaceDE w:val="0"/>
        <w:autoSpaceDN w:val="0"/>
        <w:adjustRightInd w:val="0"/>
        <w:spacing w:line="560" w:lineRule="exact"/>
        <w:rPr>
          <w:rFonts w:ascii="仿宋" w:hAnsi="Times New Roman" w:eastAsia="仿宋" w:cs="Times New Roman"/>
          <w:b/>
          <w:bCs/>
          <w:sz w:val="32"/>
          <w:szCs w:val="32"/>
        </w:rPr>
      </w:pPr>
    </w:p>
    <w:tbl>
      <w:tblPr>
        <w:tblStyle w:val="7"/>
        <w:tblW w:w="18916" w:type="dxa"/>
        <w:tblInd w:w="-106" w:type="dxa"/>
        <w:tblLayout w:type="autofit"/>
        <w:tblCellMar>
          <w:top w:w="0" w:type="dxa"/>
          <w:left w:w="108" w:type="dxa"/>
          <w:bottom w:w="0" w:type="dxa"/>
          <w:right w:w="108" w:type="dxa"/>
        </w:tblCellMar>
      </w:tblPr>
      <w:tblGrid>
        <w:gridCol w:w="9784"/>
        <w:gridCol w:w="436"/>
        <w:gridCol w:w="436"/>
        <w:gridCol w:w="2180"/>
        <w:gridCol w:w="1520"/>
        <w:gridCol w:w="1520"/>
        <w:gridCol w:w="3040"/>
      </w:tblGrid>
      <w:tr>
        <w:tblPrEx>
          <w:tblCellMar>
            <w:top w:w="0" w:type="dxa"/>
            <w:left w:w="108" w:type="dxa"/>
            <w:bottom w:w="0" w:type="dxa"/>
            <w:right w:w="108" w:type="dxa"/>
          </w:tblCellMar>
        </w:tblPrEx>
        <w:trPr>
          <w:trHeight w:val="255" w:hRule="atLeast"/>
        </w:trPr>
        <w:tc>
          <w:tcPr>
            <w:tcW w:w="978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9784" w:type="dxa"/>
            <w:tcBorders>
              <w:top w:val="nil"/>
              <w:left w:val="nil"/>
              <w:bottom w:val="nil"/>
              <w:right w:val="nil"/>
            </w:tcBorders>
            <w:noWrap/>
            <w:vAlign w:val="bottom"/>
          </w:tcPr>
          <w:p>
            <w:pPr>
              <w:widowControl/>
              <w:jc w:val="left"/>
              <w:rPr>
                <w:rFonts w:ascii="宋体" w:cs="Times New Roman"/>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noWrap/>
            <w:vAlign w:val="bottom"/>
          </w:tcPr>
          <w:p>
            <w:pPr>
              <w:widowControl/>
              <w:jc w:val="center"/>
              <w:rPr>
                <w:rFonts w:ascii="宋体" w:cs="Times New Roman"/>
                <w:color w:val="000000"/>
                <w:kern w:val="0"/>
                <w:sz w:val="20"/>
                <w:szCs w:val="20"/>
              </w:rPr>
            </w:pPr>
          </w:p>
        </w:tc>
        <w:tc>
          <w:tcPr>
            <w:tcW w:w="15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3040" w:type="dxa"/>
            <w:tcBorders>
              <w:top w:val="nil"/>
              <w:left w:val="nil"/>
              <w:bottom w:val="single" w:color="000000" w:sz="8" w:space="0"/>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年度部门政府性基金收入支出决算表</w:t>
      </w:r>
    </w:p>
    <w:tbl>
      <w:tblPr>
        <w:tblStyle w:val="7"/>
        <w:tblW w:w="9428" w:type="dxa"/>
        <w:tblInd w:w="-106" w:type="dxa"/>
        <w:tblLayout w:type="autofit"/>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6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CellMar>
            <w:top w:w="0" w:type="dxa"/>
            <w:left w:w="108" w:type="dxa"/>
            <w:bottom w:w="0" w:type="dxa"/>
            <w:right w:w="108" w:type="dxa"/>
          </w:tblCellMar>
        </w:tblPrEx>
        <w:trPr>
          <w:trHeight w:val="255" w:hRule="atLeast"/>
        </w:trPr>
        <w:tc>
          <w:tcPr>
            <w:tcW w:w="6028" w:type="dxa"/>
            <w:gridSpan w:val="7"/>
            <w:tcBorders>
              <w:top w:val="nil"/>
              <w:left w:val="nil"/>
              <w:bottom w:val="nil"/>
              <w:right w:val="nil"/>
            </w:tcBorders>
            <w:noWrap/>
            <w:vAlign w:val="bottom"/>
          </w:tcPr>
          <w:p>
            <w:pPr>
              <w:widowControl/>
              <w:jc w:val="left"/>
              <w:rPr>
                <w:rFonts w:ascii="Arial" w:hAnsi="Arial" w:cs="Arial"/>
                <w:color w:val="000000"/>
                <w:kern w:val="0"/>
                <w:sz w:val="18"/>
                <w:szCs w:val="18"/>
              </w:rPr>
            </w:pPr>
            <w:r>
              <w:rPr>
                <w:rFonts w:hint="eastAsia" w:ascii="宋体" w:hAnsi="宋体" w:cs="宋体"/>
                <w:color w:val="000000"/>
                <w:kern w:val="0"/>
                <w:sz w:val="18"/>
                <w:szCs w:val="18"/>
              </w:rPr>
              <w:t>部门：中共温州市纪委、温州市监委</w:t>
            </w:r>
          </w:p>
        </w:tc>
        <w:tc>
          <w:tcPr>
            <w:tcW w:w="110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2300" w:type="dxa"/>
            <w:gridSpan w:val="2"/>
            <w:tcBorders>
              <w:top w:val="nil"/>
              <w:left w:val="nil"/>
              <w:bottom w:val="nil"/>
              <w:right w:val="nil"/>
            </w:tcBorders>
            <w:noWrap/>
            <w:vAlign w:val="bottom"/>
          </w:tcPr>
          <w:p>
            <w:pPr>
              <w:widowControl/>
              <w:ind w:right="80"/>
              <w:jc w:val="right"/>
              <w:rPr>
                <w:rFonts w:ascii="宋体" w:cs="Times New Roman"/>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22"/>
                <w:szCs w:val="22"/>
              </w:rPr>
              <w:t>219.90</w:t>
            </w:r>
            <w:r>
              <w:rPr>
                <w:rFonts w:hint="eastAsia" w:ascii="宋体" w:hAnsi="宋体" w:cs="宋体"/>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22"/>
                <w:szCs w:val="22"/>
              </w:rPr>
              <w:t>219.90</w:t>
            </w:r>
            <w:r>
              <w:rPr>
                <w:rFonts w:hint="eastAsia" w:ascii="宋体" w:hAnsi="宋体" w:cs="宋体"/>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ascii="宋体" w:hAnsi="宋体" w:cs="宋体"/>
                <w:color w:val="000000"/>
                <w:kern w:val="0"/>
                <w:sz w:val="22"/>
                <w:szCs w:val="22"/>
              </w:rPr>
              <w:t>219.90</w:t>
            </w:r>
            <w:r>
              <w:rPr>
                <w:rFonts w:hint="eastAsia" w:ascii="宋体" w:hAnsi="宋体" w:cs="宋体"/>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w:t>
            </w:r>
          </w:p>
        </w:tc>
        <w:tc>
          <w:tcPr>
            <w:tcW w:w="1460" w:type="dxa"/>
            <w:tcBorders>
              <w:top w:val="nil"/>
              <w:left w:val="nil"/>
              <w:bottom w:val="single" w:color="000000" w:sz="4" w:space="0"/>
              <w:right w:val="single" w:color="000000" w:sz="4" w:space="0"/>
            </w:tcBorders>
            <w:noWrap/>
          </w:tcPr>
          <w:p>
            <w:pPr>
              <w:widowControl/>
              <w:jc w:val="right"/>
              <w:rPr>
                <w:rFonts w:ascii="宋体" w:cs="Times New Roman"/>
                <w:color w:val="000000"/>
                <w:kern w:val="0"/>
                <w:sz w:val="18"/>
                <w:szCs w:val="18"/>
              </w:rPr>
            </w:pPr>
            <w:r>
              <w:rPr>
                <w:rFonts w:hint="eastAsia" w:ascii="宋体" w:cs="宋体"/>
                <w:color w:val="000000"/>
                <w:kern w:val="0"/>
                <w:sz w:val="18"/>
                <w:szCs w:val="18"/>
              </w:rPr>
              <w:t>其他支出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w:t>
            </w:r>
          </w:p>
        </w:tc>
        <w:tc>
          <w:tcPr>
            <w:tcW w:w="1460" w:type="dxa"/>
            <w:tcBorders>
              <w:top w:val="nil"/>
              <w:left w:val="nil"/>
              <w:bottom w:val="single" w:color="000000" w:sz="4" w:space="0"/>
              <w:right w:val="single" w:color="000000" w:sz="4" w:space="0"/>
            </w:tcBorders>
            <w:noWrap/>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2290400</w:t>
            </w:r>
          </w:p>
        </w:tc>
        <w:tc>
          <w:tcPr>
            <w:tcW w:w="1460" w:type="dxa"/>
            <w:tcBorders>
              <w:top w:val="nil"/>
              <w:left w:val="nil"/>
              <w:bottom w:val="single" w:color="000000" w:sz="4" w:space="0"/>
              <w:right w:val="single" w:color="000000" w:sz="4" w:space="0"/>
            </w:tcBorders>
            <w:noWrap/>
          </w:tcPr>
          <w:p>
            <w:pPr>
              <w:widowControl/>
              <w:jc w:val="right"/>
              <w:rPr>
                <w:rFonts w:ascii="宋体" w:cs="Times New Roman"/>
                <w:color w:val="000000"/>
                <w:kern w:val="0"/>
                <w:sz w:val="15"/>
                <w:szCs w:val="15"/>
              </w:rPr>
            </w:pPr>
            <w:r>
              <w:rPr>
                <w:rFonts w:hint="eastAsia" w:ascii="宋体" w:cs="宋体"/>
                <w:color w:val="000000"/>
                <w:kern w:val="0"/>
                <w:sz w:val="15"/>
                <w:szCs w:val="15"/>
              </w:rPr>
              <w:t>其他政府性基金及对应专项债务收入安排支出</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ascii="宋体" w:hAnsi="宋体" w:cs="宋体"/>
                <w:color w:val="000000"/>
                <w:kern w:val="0"/>
                <w:sz w:val="22"/>
                <w:szCs w:val="22"/>
              </w:rPr>
              <w:t>219.90</w:t>
            </w:r>
            <w:r>
              <w:rPr>
                <w:rFonts w:hint="eastAsia" w:ascii="宋体" w:hAnsi="宋体" w:cs="宋体"/>
                <w:color w:val="000000"/>
                <w:kern w:val="0"/>
                <w:sz w:val="22"/>
                <w:szCs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rPr>
            </w:pPr>
            <w:r>
              <w:rPr>
                <w:rFonts w:hint="eastAsia" w:ascii="宋体" w:hAnsi="宋体" w:cs="宋体"/>
                <w:color w:val="000000"/>
                <w:kern w:val="0"/>
                <w:sz w:val="22"/>
                <w:szCs w:val="22"/>
              </w:rPr>
              <w:t>　</w:t>
            </w:r>
          </w:p>
        </w:tc>
      </w:tr>
    </w:tbl>
    <w:p>
      <w:pPr>
        <w:autoSpaceDE w:val="0"/>
        <w:autoSpaceDN w:val="0"/>
        <w:adjustRightInd w:val="0"/>
        <w:spacing w:line="560" w:lineRule="exact"/>
        <w:rPr>
          <w:rFonts w:ascii="仿宋" w:hAnsi="Times New Roman" w:eastAsia="仿宋" w:cs="Times New Roman"/>
          <w:b/>
          <w:bCs/>
          <w:sz w:val="32"/>
          <w:szCs w:val="32"/>
        </w:rPr>
      </w:pPr>
    </w:p>
    <w:p>
      <w:pPr>
        <w:tabs>
          <w:tab w:val="left" w:pos="6720"/>
        </w:tabs>
        <w:autoSpaceDE w:val="0"/>
        <w:autoSpaceDN w:val="0"/>
        <w:adjustRightInd w:val="0"/>
        <w:spacing w:line="560" w:lineRule="exact"/>
        <w:rPr>
          <w:rFonts w:ascii="仿宋" w:hAnsi="Times New Roman" w:eastAsia="仿宋" w:cs="Times New Roman"/>
          <w:b/>
          <w:bCs/>
          <w:sz w:val="32"/>
          <w:szCs w:val="32"/>
        </w:rPr>
      </w:pPr>
      <w:r>
        <w:rPr>
          <w:rFonts w:ascii="仿宋" w:hAnsi="Times New Roman" w:eastAsia="仿宋" w:cs="Times New Roman"/>
          <w:b/>
          <w:bCs/>
          <w:sz w:val="32"/>
          <w:szCs w:val="32"/>
        </w:rPr>
        <w:tab/>
      </w: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2017</w:t>
      </w:r>
      <w:r>
        <w:rPr>
          <w:rFonts w:hint="eastAsia" w:ascii="仿宋" w:hAnsi="Times New Roman" w:eastAsia="仿宋" w:cs="仿宋"/>
          <w:b/>
          <w:bCs/>
          <w:sz w:val="32"/>
          <w:szCs w:val="32"/>
        </w:rPr>
        <w:t>年度一般公共预算“三公”经费支出决算表</w:t>
      </w:r>
    </w:p>
    <w:p>
      <w:pPr>
        <w:ind w:right="300"/>
        <w:jc w:val="right"/>
        <w:rPr>
          <w:rFonts w:cs="Times New Roman"/>
          <w:color w:val="000000"/>
          <w:sz w:val="15"/>
          <w:szCs w:val="15"/>
        </w:rPr>
      </w:pPr>
      <w:r>
        <w:rPr>
          <w:rFonts w:hint="eastAsia" w:cs="宋体"/>
          <w:color w:val="000000"/>
          <w:sz w:val="15"/>
          <w:szCs w:val="15"/>
        </w:rPr>
        <w:t>公开</w:t>
      </w:r>
      <w:r>
        <w:rPr>
          <w:color w:val="000000"/>
          <w:sz w:val="15"/>
          <w:szCs w:val="15"/>
        </w:rPr>
        <w:t>08</w:t>
      </w:r>
      <w:r>
        <w:rPr>
          <w:rFonts w:hint="eastAsia" w:cs="宋体"/>
          <w:color w:val="000000"/>
          <w:sz w:val="15"/>
          <w:szCs w:val="15"/>
        </w:rPr>
        <w:t>表</w:t>
      </w:r>
    </w:p>
    <w:p>
      <w:pPr>
        <w:wordWrap w:val="0"/>
        <w:jc w:val="right"/>
        <w:rPr>
          <w:rFonts w:cs="Times New Roman"/>
          <w:color w:val="000000"/>
          <w:sz w:val="15"/>
          <w:szCs w:val="15"/>
        </w:rPr>
      </w:pPr>
      <w:r>
        <w:rPr>
          <w:color w:val="000000"/>
          <w:sz w:val="15"/>
          <w:szCs w:val="15"/>
        </w:rPr>
        <w:t xml:space="preserve">  </w:t>
      </w:r>
      <w:r>
        <w:rPr>
          <w:rFonts w:hint="eastAsia" w:cs="宋体"/>
          <w:color w:val="000000"/>
          <w:sz w:val="15"/>
          <w:szCs w:val="15"/>
        </w:rPr>
        <w:t>金额单位：万元</w:t>
      </w:r>
    </w:p>
    <w:p>
      <w:pPr>
        <w:jc w:val="left"/>
        <w:rPr>
          <w:rFonts w:cs="Times New Roman"/>
          <w:color w:val="000000"/>
          <w:sz w:val="20"/>
          <w:szCs w:val="20"/>
        </w:rPr>
      </w:pPr>
      <w:r>
        <w:rPr>
          <w:rFonts w:hint="eastAsia" w:cs="宋体"/>
          <w:color w:val="000000"/>
          <w:sz w:val="20"/>
          <w:szCs w:val="20"/>
        </w:rPr>
        <w:t>部门：中共温州市纪委、温州市监委</w:t>
      </w:r>
    </w:p>
    <w:tbl>
      <w:tblPr>
        <w:tblStyle w:val="7"/>
        <w:tblW w:w="9389" w:type="dxa"/>
        <w:tblInd w:w="-106" w:type="dxa"/>
        <w:tblLayout w:type="autofit"/>
        <w:tblCellMar>
          <w:top w:w="0" w:type="dxa"/>
          <w:left w:w="108" w:type="dxa"/>
          <w:bottom w:w="0" w:type="dxa"/>
          <w:right w:w="108" w:type="dxa"/>
        </w:tblCellMar>
      </w:tblPr>
      <w:tblGrid>
        <w:gridCol w:w="648"/>
        <w:gridCol w:w="877"/>
        <w:gridCol w:w="820"/>
        <w:gridCol w:w="900"/>
        <w:gridCol w:w="823"/>
        <w:gridCol w:w="760"/>
        <w:gridCol w:w="680"/>
        <w:gridCol w:w="800"/>
        <w:gridCol w:w="666"/>
        <w:gridCol w:w="900"/>
        <w:gridCol w:w="720"/>
        <w:gridCol w:w="821"/>
      </w:tblGrid>
      <w:tr>
        <w:tblPrEx>
          <w:tblCellMar>
            <w:top w:w="0" w:type="dxa"/>
            <w:left w:w="108" w:type="dxa"/>
            <w:bottom w:w="0" w:type="dxa"/>
            <w:right w:w="108" w:type="dxa"/>
          </w:tblCellMar>
        </w:tblPrEx>
        <w:trPr>
          <w:trHeight w:val="675" w:hRule="atLeast"/>
        </w:trPr>
        <w:tc>
          <w:tcPr>
            <w:tcW w:w="4828"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预算数</w:t>
            </w:r>
          </w:p>
        </w:tc>
        <w:tc>
          <w:tcPr>
            <w:tcW w:w="456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240" w:hRule="atLeast"/>
        </w:trPr>
        <w:tc>
          <w:tcPr>
            <w:tcW w:w="64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合计</w:t>
            </w:r>
          </w:p>
        </w:tc>
        <w:tc>
          <w:tcPr>
            <w:tcW w:w="877"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因公出国（境）费</w:t>
            </w:r>
          </w:p>
        </w:tc>
        <w:tc>
          <w:tcPr>
            <w:tcW w:w="2543"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公务接待费</w:t>
            </w:r>
          </w:p>
        </w:tc>
        <w:tc>
          <w:tcPr>
            <w:tcW w:w="68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因公出国（境）费</w:t>
            </w:r>
          </w:p>
        </w:tc>
        <w:tc>
          <w:tcPr>
            <w:tcW w:w="22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公务接待费</w:t>
            </w:r>
          </w:p>
        </w:tc>
      </w:tr>
      <w:tr>
        <w:tblPrEx>
          <w:tblCellMar>
            <w:top w:w="0" w:type="dxa"/>
            <w:left w:w="108" w:type="dxa"/>
            <w:bottom w:w="0" w:type="dxa"/>
            <w:right w:w="108" w:type="dxa"/>
          </w:tblCellMar>
        </w:tblPrEx>
        <w:trPr>
          <w:trHeight w:val="930" w:hRule="atLeast"/>
        </w:trPr>
        <w:tc>
          <w:tcPr>
            <w:tcW w:w="6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c>
          <w:tcPr>
            <w:tcW w:w="8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公务用车购置费</w:t>
            </w:r>
          </w:p>
        </w:tc>
        <w:tc>
          <w:tcPr>
            <w:tcW w:w="823"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c>
          <w:tcPr>
            <w:tcW w:w="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c>
          <w:tcPr>
            <w:tcW w:w="64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公务用车购置费</w:t>
            </w:r>
          </w:p>
        </w:tc>
        <w:tc>
          <w:tcPr>
            <w:tcW w:w="72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p>
        </w:tc>
      </w:tr>
      <w:tr>
        <w:tblPrEx>
          <w:tblCellMar>
            <w:top w:w="0" w:type="dxa"/>
            <w:left w:w="108" w:type="dxa"/>
            <w:bottom w:w="0" w:type="dxa"/>
            <w:right w:w="108" w:type="dxa"/>
          </w:tblCellMar>
        </w:tblPrEx>
        <w:trPr>
          <w:trHeight w:val="240" w:hRule="atLeast"/>
        </w:trPr>
        <w:tc>
          <w:tcPr>
            <w:tcW w:w="648"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877"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823"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c>
          <w:tcPr>
            <w:tcW w:w="68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w:t>
            </w:r>
          </w:p>
        </w:tc>
        <w:tc>
          <w:tcPr>
            <w:tcW w:w="64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9</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10</w:t>
            </w:r>
          </w:p>
        </w:tc>
        <w:tc>
          <w:tcPr>
            <w:tcW w:w="720"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12</w:t>
            </w:r>
          </w:p>
        </w:tc>
      </w:tr>
      <w:tr>
        <w:tblPrEx>
          <w:tblCellMar>
            <w:top w:w="0" w:type="dxa"/>
            <w:left w:w="108" w:type="dxa"/>
            <w:bottom w:w="0" w:type="dxa"/>
            <w:right w:w="108" w:type="dxa"/>
          </w:tblCellMar>
        </w:tblPrEx>
        <w:trPr>
          <w:trHeight w:val="451" w:hRule="atLeast"/>
        </w:trPr>
        <w:tc>
          <w:tcPr>
            <w:tcW w:w="648" w:type="dxa"/>
            <w:tcBorders>
              <w:top w:val="nil"/>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77</w:t>
            </w:r>
            <w:r>
              <w:rPr>
                <w:rFonts w:hint="eastAsia" w:ascii="宋体" w:hAnsi="宋体" w:cs="宋体"/>
                <w:color w:val="000000"/>
                <w:kern w:val="0"/>
                <w:sz w:val="18"/>
                <w:szCs w:val="18"/>
              </w:rPr>
              <w:t>　</w:t>
            </w:r>
          </w:p>
        </w:tc>
        <w:tc>
          <w:tcPr>
            <w:tcW w:w="877"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7</w:t>
            </w:r>
            <w:r>
              <w:rPr>
                <w:rFonts w:hint="eastAsia" w:ascii="宋体" w:hAnsi="宋体" w:cs="宋体"/>
                <w:color w:val="000000"/>
                <w:kern w:val="0"/>
                <w:sz w:val="18"/>
                <w:szCs w:val="18"/>
              </w:rPr>
              <w:t>　</w:t>
            </w:r>
          </w:p>
        </w:tc>
        <w:tc>
          <w:tcPr>
            <w:tcW w:w="82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60</w:t>
            </w:r>
            <w:r>
              <w:rPr>
                <w:rFonts w:hint="eastAsia" w:ascii="宋体" w:hAnsi="宋体" w:cs="宋体"/>
                <w:color w:val="000000"/>
                <w:kern w:val="0"/>
                <w:sz w:val="18"/>
                <w:szCs w:val="18"/>
              </w:rPr>
              <w:t>　</w:t>
            </w:r>
          </w:p>
        </w:tc>
        <w:tc>
          <w:tcPr>
            <w:tcW w:w="90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33</w:t>
            </w:r>
            <w:r>
              <w:rPr>
                <w:rFonts w:hint="eastAsia" w:ascii="宋体" w:hAnsi="宋体" w:cs="宋体"/>
                <w:color w:val="000000"/>
                <w:kern w:val="0"/>
                <w:sz w:val="18"/>
                <w:szCs w:val="18"/>
              </w:rPr>
              <w:t>　</w:t>
            </w:r>
          </w:p>
        </w:tc>
        <w:tc>
          <w:tcPr>
            <w:tcW w:w="823"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w:t>
            </w:r>
            <w:r>
              <w:rPr>
                <w:rFonts w:hint="eastAsia" w:ascii="宋体" w:hAnsi="宋体" w:cs="宋体"/>
                <w:color w:val="000000"/>
                <w:kern w:val="0"/>
                <w:sz w:val="18"/>
                <w:szCs w:val="18"/>
              </w:rPr>
              <w:t>　</w:t>
            </w:r>
          </w:p>
        </w:tc>
        <w:tc>
          <w:tcPr>
            <w:tcW w:w="76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　</w:t>
            </w:r>
          </w:p>
        </w:tc>
        <w:tc>
          <w:tcPr>
            <w:tcW w:w="68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52.25</w:t>
            </w:r>
            <w:r>
              <w:rPr>
                <w:rFonts w:hint="eastAsia" w:ascii="宋体" w:hAnsi="宋体" w:cs="宋体"/>
                <w:color w:val="000000"/>
                <w:kern w:val="0"/>
                <w:sz w:val="18"/>
                <w:szCs w:val="18"/>
              </w:rPr>
              <w:t>　</w:t>
            </w:r>
          </w:p>
        </w:tc>
        <w:tc>
          <w:tcPr>
            <w:tcW w:w="80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cs="宋体"/>
                <w:color w:val="000000"/>
                <w:kern w:val="0"/>
                <w:sz w:val="18"/>
                <w:szCs w:val="18"/>
              </w:rPr>
              <w:t>0</w:t>
            </w:r>
            <w:r>
              <w:rPr>
                <w:rFonts w:hint="eastAsia" w:ascii="宋体" w:hAnsi="宋体" w:cs="宋体"/>
                <w:color w:val="000000"/>
                <w:kern w:val="0"/>
                <w:sz w:val="18"/>
                <w:szCs w:val="18"/>
              </w:rPr>
              <w:t>　</w:t>
            </w:r>
          </w:p>
        </w:tc>
        <w:tc>
          <w:tcPr>
            <w:tcW w:w="64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46.52</w:t>
            </w:r>
            <w:r>
              <w:rPr>
                <w:rFonts w:hint="eastAsia" w:ascii="宋体" w:hAnsi="宋体" w:cs="宋体"/>
                <w:color w:val="000000"/>
                <w:kern w:val="0"/>
                <w:sz w:val="18"/>
                <w:szCs w:val="18"/>
              </w:rPr>
              <w:t>　</w:t>
            </w:r>
          </w:p>
        </w:tc>
        <w:tc>
          <w:tcPr>
            <w:tcW w:w="90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27.19</w:t>
            </w: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19.33</w:t>
            </w:r>
            <w:r>
              <w:rPr>
                <w:rFonts w:hint="eastAsia" w:ascii="宋体" w:hAnsi="宋体" w:cs="宋体"/>
                <w:color w:val="000000"/>
                <w:kern w:val="0"/>
                <w:sz w:val="18"/>
                <w:szCs w:val="18"/>
              </w:rPr>
              <w:t>　</w:t>
            </w:r>
          </w:p>
        </w:tc>
        <w:tc>
          <w:tcPr>
            <w:tcW w:w="821" w:type="dxa"/>
            <w:tcBorders>
              <w:top w:val="nil"/>
              <w:left w:val="nil"/>
              <w:bottom w:val="single" w:color="auto" w:sz="4" w:space="0"/>
              <w:right w:val="single" w:color="auto" w:sz="4" w:space="0"/>
            </w:tcBorders>
            <w:noWrap/>
            <w:vAlign w:val="center"/>
          </w:tcPr>
          <w:p>
            <w:pPr>
              <w:widowControl/>
              <w:jc w:val="right"/>
              <w:rPr>
                <w:rFonts w:ascii="宋体" w:cs="Times New Roman"/>
                <w:color w:val="000000"/>
                <w:kern w:val="0"/>
                <w:sz w:val="18"/>
                <w:szCs w:val="18"/>
              </w:rPr>
            </w:pPr>
            <w:r>
              <w:rPr>
                <w:rFonts w:ascii="宋体" w:hAnsi="宋体" w:cs="宋体"/>
                <w:color w:val="000000"/>
                <w:kern w:val="0"/>
                <w:sz w:val="18"/>
                <w:szCs w:val="18"/>
              </w:rPr>
              <w:t>5.74</w:t>
            </w:r>
            <w:r>
              <w:rPr>
                <w:rFonts w:hint="eastAsia" w:ascii="宋体" w:hAnsi="宋体" w:cs="宋体"/>
                <w:color w:val="000000"/>
                <w:kern w:val="0"/>
                <w:sz w:val="18"/>
                <w:szCs w:val="18"/>
              </w:rPr>
              <w:t>　</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年度收入总计</w:t>
      </w:r>
      <w:r>
        <w:rPr>
          <w:rFonts w:ascii="仿宋" w:hAnsi="Times New Roman" w:eastAsia="仿宋" w:cs="仿宋"/>
          <w:color w:val="000000"/>
          <w:sz w:val="32"/>
          <w:szCs w:val="32"/>
        </w:rPr>
        <w:t>4018.63</w:t>
      </w:r>
      <w:r>
        <w:rPr>
          <w:rFonts w:hint="eastAsia" w:ascii="仿宋" w:hAnsi="Times New Roman" w:eastAsia="仿宋" w:cs="仿宋"/>
          <w:color w:val="000000"/>
          <w:sz w:val="32"/>
          <w:szCs w:val="32"/>
        </w:rPr>
        <w:t>万元</w:t>
      </w:r>
      <w:r>
        <w:rPr>
          <w:rFonts w:ascii="仿宋" w:hAnsi="Times New Roman" w:eastAsia="仿宋" w:cs="仿宋"/>
          <w:color w:val="000000"/>
          <w:sz w:val="32"/>
          <w:szCs w:val="32"/>
        </w:rPr>
        <w:t>,</w:t>
      </w:r>
      <w:r>
        <w:rPr>
          <w:rFonts w:hint="eastAsia" w:ascii="仿宋" w:hAnsi="Times New Roman" w:eastAsia="仿宋" w:cs="仿宋"/>
          <w:color w:val="000000"/>
          <w:sz w:val="32"/>
          <w:szCs w:val="32"/>
        </w:rPr>
        <w:t>较上年增加280.2万元，增长7.49%，主要原因是本部门机构改革人员增加。具体情况如下：</w:t>
      </w:r>
    </w:p>
    <w:p>
      <w:pPr>
        <w:adjustRightInd w:val="0"/>
        <w:snapToGrid w:val="0"/>
        <w:spacing w:line="560" w:lineRule="exact"/>
        <w:ind w:firstLine="640" w:firstLineChars="200"/>
        <w:rPr>
          <w:rFonts w:eastAsia="仿宋_GB2312" w:cs="Times New Roman"/>
          <w:snapToGrid w:val="0"/>
          <w:kern w:val="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）财政拨款收入</w:t>
      </w:r>
      <w:r>
        <w:rPr>
          <w:rFonts w:ascii="仿宋" w:hAnsi="Times New Roman" w:eastAsia="仿宋" w:cs="仿宋"/>
          <w:color w:val="000000"/>
          <w:sz w:val="32"/>
          <w:szCs w:val="32"/>
        </w:rPr>
        <w:t>3951.41</w:t>
      </w:r>
      <w:r>
        <w:rPr>
          <w:rFonts w:hint="eastAsia" w:ascii="仿宋" w:hAnsi="Times New Roman" w:eastAsia="仿宋" w:cs="仿宋"/>
          <w:color w:val="000000"/>
          <w:sz w:val="32"/>
          <w:szCs w:val="32"/>
        </w:rPr>
        <w:t>万元，较上年增加</w:t>
      </w:r>
      <w:r>
        <w:rPr>
          <w:rFonts w:ascii="仿宋" w:hAnsi="Times New Roman" w:eastAsia="仿宋" w:cs="仿宋"/>
          <w:color w:val="000000"/>
          <w:sz w:val="32"/>
          <w:szCs w:val="32"/>
        </w:rPr>
        <w:t>521.42</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15.20%</w:t>
      </w:r>
      <w:r>
        <w:rPr>
          <w:rFonts w:hint="eastAsia" w:ascii="仿宋" w:hAnsi="Times New Roman" w:eastAsia="仿宋" w:cs="仿宋"/>
          <w:color w:val="000000"/>
          <w:sz w:val="32"/>
          <w:szCs w:val="32"/>
        </w:rPr>
        <w:t>，主要原因是机构改革</w:t>
      </w:r>
      <w:r>
        <w:rPr>
          <w:rFonts w:hint="eastAsia" w:eastAsia="仿宋_GB2312" w:cs="仿宋_GB2312"/>
          <w:snapToGrid w:val="0"/>
          <w:kern w:val="0"/>
          <w:sz w:val="32"/>
          <w:szCs w:val="32"/>
        </w:rPr>
        <w:t>检察院转隶人员增加、工资及社保政策改革调整增加等。</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）其他收入</w:t>
      </w:r>
      <w:r>
        <w:rPr>
          <w:rFonts w:ascii="仿宋" w:hAnsi="Times New Roman" w:eastAsia="仿宋" w:cs="仿宋"/>
          <w:color w:val="000000"/>
          <w:sz w:val="32"/>
          <w:szCs w:val="32"/>
        </w:rPr>
        <w:t>8.38</w:t>
      </w:r>
      <w:r>
        <w:rPr>
          <w:rFonts w:hint="eastAsia" w:ascii="仿宋" w:hAnsi="Times New Roman" w:eastAsia="仿宋" w:cs="仿宋"/>
          <w:color w:val="000000"/>
          <w:sz w:val="32"/>
          <w:szCs w:val="32"/>
        </w:rPr>
        <w:t>万元，较上年减少</w:t>
      </w:r>
      <w:r>
        <w:rPr>
          <w:rFonts w:ascii="仿宋" w:hAnsi="Times New Roman" w:eastAsia="仿宋" w:cs="仿宋"/>
          <w:color w:val="000000"/>
          <w:sz w:val="32"/>
          <w:szCs w:val="32"/>
        </w:rPr>
        <w:t>33.89</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80.17%</w:t>
      </w:r>
      <w:r>
        <w:rPr>
          <w:rFonts w:hint="eastAsia" w:ascii="仿宋" w:hAnsi="Times New Roman" w:eastAsia="仿宋" w:cs="仿宋"/>
          <w:color w:val="000000"/>
          <w:sz w:val="32"/>
          <w:szCs w:val="32"/>
        </w:rPr>
        <w:t>，主要原因是收各县市区纪委集中办案费用减少。</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）年初结转和结余</w:t>
      </w:r>
      <w:r>
        <w:rPr>
          <w:rFonts w:ascii="仿宋" w:hAnsi="Times New Roman" w:eastAsia="仿宋" w:cs="仿宋"/>
          <w:color w:val="000000"/>
          <w:sz w:val="32"/>
          <w:szCs w:val="32"/>
        </w:rPr>
        <w:t>58.84</w:t>
      </w:r>
      <w:r>
        <w:rPr>
          <w:rFonts w:hint="eastAsia" w:ascii="仿宋" w:hAnsi="Times New Roman" w:eastAsia="仿宋" w:cs="仿宋"/>
          <w:color w:val="000000"/>
          <w:sz w:val="32"/>
          <w:szCs w:val="32"/>
        </w:rPr>
        <w:t>万元，较上年减少</w:t>
      </w:r>
      <w:r>
        <w:rPr>
          <w:rFonts w:ascii="仿宋" w:hAnsi="Times New Roman" w:eastAsia="仿宋" w:cs="仿宋"/>
          <w:color w:val="000000"/>
          <w:sz w:val="32"/>
          <w:szCs w:val="32"/>
        </w:rPr>
        <w:t>207.33</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77.89%</w:t>
      </w:r>
      <w:r>
        <w:rPr>
          <w:rFonts w:hint="eastAsia" w:ascii="仿宋" w:hAnsi="Times New Roman" w:eastAsia="仿宋" w:cs="仿宋"/>
          <w:color w:val="000000"/>
          <w:sz w:val="32"/>
          <w:szCs w:val="32"/>
        </w:rPr>
        <w:t>，主要原因是上年其他收入基本使用完成，结转下年减少。</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年度支出总计</w:t>
      </w:r>
      <w:r>
        <w:rPr>
          <w:rFonts w:ascii="仿宋" w:hAnsi="Times New Roman" w:eastAsia="仿宋" w:cs="仿宋"/>
          <w:sz w:val="30"/>
          <w:szCs w:val="30"/>
          <w:lang w:val="zh-CN"/>
        </w:rPr>
        <w:t>4018.63</w:t>
      </w:r>
      <w:r>
        <w:rPr>
          <w:rFonts w:hint="eastAsia" w:ascii="仿宋" w:hAnsi="Times New Roman" w:eastAsia="仿宋" w:cs="仿宋"/>
          <w:color w:val="000000"/>
          <w:sz w:val="32"/>
          <w:szCs w:val="32"/>
        </w:rPr>
        <w:t>万元，较上年增加280.2万元，增长7.49%，主要原因是人员经费支出增加。具体情况如下：</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）一般公共服务支出（类）</w:t>
      </w:r>
      <w:r>
        <w:rPr>
          <w:rFonts w:ascii="仿宋" w:hAnsi="Times New Roman" w:eastAsia="仿宋" w:cs="仿宋"/>
          <w:color w:val="000000"/>
          <w:sz w:val="32"/>
          <w:szCs w:val="32"/>
        </w:rPr>
        <w:t>3074.33</w:t>
      </w:r>
      <w:r>
        <w:rPr>
          <w:rFonts w:hint="eastAsia" w:ascii="仿宋" w:hAnsi="Times New Roman" w:eastAsia="仿宋" w:cs="仿宋"/>
          <w:color w:val="000000"/>
          <w:sz w:val="32"/>
          <w:szCs w:val="32"/>
        </w:rPr>
        <w:t>万元，主要用于机关及所属事业单位人员工资福利、伙食补助、其他社会保障缴费等支出</w:t>
      </w:r>
      <w:r>
        <w:rPr>
          <w:rFonts w:ascii="仿宋" w:hAnsi="Times New Roman" w:eastAsia="仿宋" w:cs="仿宋"/>
          <w:color w:val="000000"/>
          <w:sz w:val="32"/>
          <w:szCs w:val="32"/>
        </w:rPr>
        <w:t>;</w:t>
      </w:r>
      <w:r>
        <w:rPr>
          <w:rFonts w:hint="eastAsia" w:ascii="仿宋" w:hAnsi="Times New Roman" w:eastAsia="仿宋" w:cs="仿宋"/>
          <w:color w:val="000000"/>
          <w:sz w:val="32"/>
          <w:szCs w:val="32"/>
        </w:rPr>
        <w:t>办公费、印刷费、邮电费、差旅费、维修（护）费、培训费、接待费、劳务费、公务用车运行费、其他交通费用等日常公用支出；纪检监察业务工作，办案工作等发生的费用支出；后勤中心办案大楼和设备日常维护及运行支出，以及农村基层作风巡察工作经费支出。较上年减少</w:t>
      </w:r>
      <w:r>
        <w:rPr>
          <w:rFonts w:ascii="仿宋" w:hAnsi="Times New Roman" w:eastAsia="仿宋" w:cs="仿宋"/>
          <w:color w:val="000000"/>
          <w:sz w:val="32"/>
          <w:szCs w:val="32"/>
        </w:rPr>
        <w:t>339.92</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9.95%</w:t>
      </w:r>
      <w:r>
        <w:rPr>
          <w:rFonts w:hint="eastAsia" w:ascii="仿宋" w:hAnsi="Times New Roman" w:eastAsia="仿宋" w:cs="仿宋"/>
          <w:color w:val="000000"/>
          <w:sz w:val="32"/>
          <w:szCs w:val="32"/>
        </w:rPr>
        <w:t>，主要原因是一般公共服务支出不再包含机关事业单位养老保险缴费和职业年金缴费，以及项目支出减少。</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）社会保障和就业支出（类）</w:t>
      </w:r>
      <w:r>
        <w:rPr>
          <w:rFonts w:ascii="仿宋" w:hAnsi="Times New Roman" w:eastAsia="仿宋" w:cs="仿宋"/>
          <w:color w:val="000000"/>
          <w:sz w:val="32"/>
          <w:szCs w:val="32"/>
        </w:rPr>
        <w:t>334.95</w:t>
      </w:r>
      <w:r>
        <w:rPr>
          <w:rFonts w:hint="eastAsia" w:ascii="仿宋" w:hAnsi="Times New Roman" w:eastAsia="仿宋" w:cs="仿宋"/>
          <w:color w:val="000000"/>
          <w:sz w:val="32"/>
          <w:szCs w:val="32"/>
        </w:rPr>
        <w:t>万元，主要用于机关事业单位基本养老保险缴费支出和机关事业单位职业年金缴费支出</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334.95</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100 %</w:t>
      </w:r>
      <w:r>
        <w:rPr>
          <w:rFonts w:hint="eastAsia" w:ascii="仿宋" w:hAnsi="Times New Roman" w:eastAsia="仿宋" w:cs="仿宋"/>
          <w:color w:val="000000"/>
          <w:sz w:val="32"/>
          <w:szCs w:val="32"/>
        </w:rPr>
        <w:t>，主要原因是上年养老保险缴费和职业年金缴费包含在一般公共服务支出。</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3</w:t>
      </w:r>
      <w:r>
        <w:rPr>
          <w:rFonts w:hint="eastAsia" w:ascii="仿宋" w:hAnsi="Times New Roman" w:eastAsia="仿宋" w:cs="仿宋"/>
          <w:color w:val="000000"/>
          <w:sz w:val="32"/>
          <w:szCs w:val="32"/>
        </w:rPr>
        <w:t>）医疗卫生与计划生育支出（类）</w:t>
      </w:r>
      <w:r>
        <w:rPr>
          <w:rFonts w:ascii="仿宋" w:hAnsi="Times New Roman" w:eastAsia="仿宋" w:cs="仿宋"/>
          <w:color w:val="000000"/>
          <w:sz w:val="32"/>
          <w:szCs w:val="32"/>
        </w:rPr>
        <w:t>125.86</w:t>
      </w:r>
      <w:r>
        <w:rPr>
          <w:rFonts w:hint="eastAsia" w:ascii="仿宋" w:hAnsi="Times New Roman" w:eastAsia="仿宋" w:cs="仿宋"/>
          <w:color w:val="000000"/>
          <w:sz w:val="32"/>
          <w:szCs w:val="32"/>
        </w:rPr>
        <w:t>万元，主要用于机关及所属事业单位人员基本医疗保障的支出</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24.7</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24.42 %</w:t>
      </w:r>
      <w:r>
        <w:rPr>
          <w:rFonts w:hint="eastAsia" w:ascii="仿宋" w:hAnsi="Times New Roman" w:eastAsia="仿宋" w:cs="仿宋"/>
          <w:color w:val="000000"/>
          <w:sz w:val="32"/>
          <w:szCs w:val="32"/>
        </w:rPr>
        <w:t>，主要原因是人员增加及医疗保障基数调整增加。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4</w:t>
      </w:r>
      <w:r>
        <w:rPr>
          <w:rFonts w:hint="eastAsia" w:ascii="仿宋" w:hAnsi="Times New Roman" w:eastAsia="仿宋" w:cs="仿宋"/>
          <w:color w:val="000000"/>
          <w:sz w:val="32"/>
          <w:szCs w:val="32"/>
        </w:rPr>
        <w:t>）住房保障支出（类）</w:t>
      </w:r>
      <w:r>
        <w:rPr>
          <w:rFonts w:ascii="仿宋" w:hAnsi="Times New Roman" w:eastAsia="仿宋" w:cs="仿宋"/>
          <w:color w:val="000000"/>
          <w:sz w:val="32"/>
          <w:szCs w:val="32"/>
        </w:rPr>
        <w:t>196.37</w:t>
      </w:r>
      <w:r>
        <w:rPr>
          <w:rFonts w:hint="eastAsia" w:ascii="仿宋" w:hAnsi="Times New Roman" w:eastAsia="仿宋" w:cs="仿宋"/>
          <w:color w:val="000000"/>
          <w:sz w:val="32"/>
          <w:szCs w:val="32"/>
        </w:rPr>
        <w:t>万元，主要用于机关及所属事业单位按国家规定为职工缴纳的住房公积金等支出。较上年增加</w:t>
      </w:r>
      <w:r>
        <w:rPr>
          <w:rFonts w:ascii="仿宋" w:hAnsi="Times New Roman" w:eastAsia="仿宋" w:cs="仿宋"/>
          <w:color w:val="000000"/>
          <w:sz w:val="32"/>
          <w:szCs w:val="32"/>
        </w:rPr>
        <w:t>32.19</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19.61%</w:t>
      </w:r>
      <w:r>
        <w:rPr>
          <w:rFonts w:hint="eastAsia" w:ascii="仿宋" w:hAnsi="Times New Roman" w:eastAsia="仿宋" w:cs="仿宋"/>
          <w:color w:val="000000"/>
          <w:sz w:val="32"/>
          <w:szCs w:val="32"/>
        </w:rPr>
        <w:t>，主要原因是人员增加及公积金缴费基数调整增加。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5</w:t>
      </w:r>
      <w:r>
        <w:rPr>
          <w:rFonts w:hint="eastAsia" w:ascii="仿宋" w:hAnsi="Times New Roman" w:eastAsia="仿宋" w:cs="仿宋"/>
          <w:color w:val="000000"/>
          <w:sz w:val="32"/>
          <w:szCs w:val="32"/>
        </w:rPr>
        <w:t>）其他支出（类）</w:t>
      </w:r>
      <w:r>
        <w:rPr>
          <w:rFonts w:ascii="仿宋" w:hAnsi="Times New Roman" w:eastAsia="仿宋" w:cs="仿宋"/>
          <w:color w:val="000000"/>
          <w:sz w:val="32"/>
          <w:szCs w:val="32"/>
        </w:rPr>
        <w:t>219.90</w:t>
      </w:r>
      <w:r>
        <w:rPr>
          <w:rFonts w:hint="eastAsia" w:ascii="仿宋" w:hAnsi="Times New Roman" w:eastAsia="仿宋" w:cs="仿宋"/>
          <w:color w:val="000000"/>
          <w:sz w:val="32"/>
          <w:szCs w:val="32"/>
        </w:rPr>
        <w:t>万元，主要用于机关及所属事业单位人员工资福利支出。较上年增加</w:t>
      </w:r>
      <w:r>
        <w:rPr>
          <w:rFonts w:ascii="仿宋" w:hAnsi="Times New Roman" w:eastAsia="仿宋" w:cs="仿宋"/>
          <w:color w:val="000000"/>
          <w:sz w:val="32"/>
          <w:szCs w:val="32"/>
        </w:rPr>
        <w:t>219.9</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100 %</w:t>
      </w:r>
      <w:r>
        <w:rPr>
          <w:rFonts w:hint="eastAsia" w:ascii="仿宋" w:hAnsi="Times New Roman" w:eastAsia="仿宋" w:cs="仿宋"/>
          <w:color w:val="000000"/>
          <w:sz w:val="32"/>
          <w:szCs w:val="32"/>
        </w:rPr>
        <w:t>，主要原因人员工资福利增加。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6</w:t>
      </w:r>
      <w:r>
        <w:rPr>
          <w:rFonts w:hint="eastAsia" w:ascii="仿宋" w:hAnsi="Times New Roman" w:eastAsia="仿宋" w:cs="仿宋"/>
          <w:color w:val="000000"/>
          <w:sz w:val="32"/>
          <w:szCs w:val="32"/>
        </w:rPr>
        <w:t>）结余分配</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7</w:t>
      </w:r>
      <w:r>
        <w:rPr>
          <w:rFonts w:hint="eastAsia" w:ascii="仿宋" w:hAnsi="Times New Roman" w:eastAsia="仿宋" w:cs="仿宋"/>
          <w:color w:val="000000"/>
          <w:sz w:val="32"/>
          <w:szCs w:val="32"/>
        </w:rPr>
        <w:t>）年末结转和结余</w:t>
      </w:r>
      <w:r>
        <w:rPr>
          <w:rFonts w:ascii="仿宋" w:hAnsi="Times New Roman" w:eastAsia="仿宋" w:cs="仿宋"/>
          <w:color w:val="000000"/>
          <w:sz w:val="32"/>
          <w:szCs w:val="32"/>
        </w:rPr>
        <w:t>67.22</w:t>
      </w:r>
      <w:r>
        <w:rPr>
          <w:rFonts w:hint="eastAsia" w:ascii="仿宋" w:hAnsi="Times New Roman" w:eastAsia="仿宋" w:cs="仿宋"/>
          <w:color w:val="000000"/>
          <w:sz w:val="32"/>
          <w:szCs w:val="32"/>
        </w:rPr>
        <w:t>万元，主要是项目支出结转和结余</w:t>
      </w:r>
      <w:r>
        <w:rPr>
          <w:rFonts w:hint="eastAsia" w:ascii="仿宋" w:hAnsi="Times New Roman" w:eastAsia="仿宋" w:cs="仿宋"/>
          <w:b/>
          <w:bCs/>
          <w:color w:val="000000"/>
          <w:sz w:val="32"/>
          <w:szCs w:val="32"/>
        </w:rPr>
        <w:t>。</w:t>
      </w:r>
      <w:r>
        <w:rPr>
          <w:rFonts w:hint="eastAsia" w:ascii="仿宋" w:hAnsi="Times New Roman" w:eastAsia="仿宋" w:cs="仿宋"/>
          <w:color w:val="000000"/>
          <w:sz w:val="32"/>
          <w:szCs w:val="32"/>
        </w:rPr>
        <w:t>较上年增加</w:t>
      </w:r>
      <w:r>
        <w:rPr>
          <w:rFonts w:ascii="仿宋" w:hAnsi="Times New Roman" w:eastAsia="仿宋" w:cs="仿宋"/>
          <w:color w:val="000000"/>
          <w:sz w:val="32"/>
          <w:szCs w:val="32"/>
        </w:rPr>
        <w:t>8.38</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14.24%</w:t>
      </w:r>
      <w:r>
        <w:rPr>
          <w:rFonts w:hint="eastAsia" w:ascii="仿宋" w:hAnsi="Times New Roman" w:eastAsia="仿宋" w:cs="仿宋"/>
          <w:color w:val="000000"/>
          <w:sz w:val="32"/>
          <w:szCs w:val="32"/>
        </w:rPr>
        <w:t>，主要原因是其他收入结转和结余增加。</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Times New Roman"/>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年度本年收入合计</w:t>
      </w:r>
      <w:r>
        <w:rPr>
          <w:rFonts w:ascii="仿宋" w:hAnsi="Times New Roman" w:eastAsia="仿宋" w:cs="仿宋"/>
          <w:sz w:val="30"/>
          <w:szCs w:val="30"/>
          <w:lang w:val="zh-CN"/>
        </w:rPr>
        <w:t>3959.79</w:t>
      </w:r>
      <w:r>
        <w:rPr>
          <w:rFonts w:hint="eastAsia" w:ascii="仿宋" w:hAnsi="Times New Roman" w:eastAsia="仿宋" w:cs="仿宋"/>
          <w:color w:val="000000"/>
          <w:sz w:val="32"/>
          <w:szCs w:val="32"/>
        </w:rPr>
        <w:t>万元，其中：财政拨款</w:t>
      </w:r>
      <w:r>
        <w:rPr>
          <w:rFonts w:ascii="仿宋" w:hAnsi="Times New Roman" w:eastAsia="仿宋" w:cs="仿宋"/>
          <w:sz w:val="30"/>
          <w:szCs w:val="30"/>
          <w:lang w:val="zh-CN"/>
        </w:rPr>
        <w:t xml:space="preserve">    3951.41</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99.79%</w:t>
      </w:r>
      <w:r>
        <w:rPr>
          <w:rFonts w:hint="eastAsia" w:ascii="仿宋" w:hAnsi="Times New Roman" w:eastAsia="仿宋" w:cs="仿宋"/>
          <w:color w:val="000000"/>
          <w:sz w:val="32"/>
          <w:szCs w:val="32"/>
        </w:rPr>
        <w:t>；其他收入</w:t>
      </w:r>
      <w:r>
        <w:rPr>
          <w:rFonts w:ascii="仿宋" w:hAnsi="Times New Roman" w:eastAsia="仿宋" w:cs="仿宋"/>
          <w:sz w:val="30"/>
          <w:szCs w:val="30"/>
          <w:lang w:val="zh-CN"/>
        </w:rPr>
        <w:t>8.38</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0.21 %</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Times New Roman"/>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年度本年支出合计</w:t>
      </w:r>
      <w:r>
        <w:rPr>
          <w:rFonts w:ascii="仿宋" w:hAnsi="Times New Roman" w:eastAsia="仿宋" w:cs="仿宋"/>
          <w:sz w:val="30"/>
          <w:szCs w:val="30"/>
          <w:lang w:val="zh-CN"/>
        </w:rPr>
        <w:t>3951.41</w:t>
      </w:r>
      <w:r>
        <w:rPr>
          <w:rFonts w:hint="eastAsia" w:ascii="仿宋" w:hAnsi="Times New Roman" w:eastAsia="仿宋" w:cs="仿宋"/>
          <w:color w:val="000000"/>
          <w:sz w:val="32"/>
          <w:szCs w:val="32"/>
        </w:rPr>
        <w:t>万元，其中：基本支出</w:t>
      </w:r>
      <w:r>
        <w:rPr>
          <w:rFonts w:ascii="仿宋" w:hAnsi="Times New Roman" w:eastAsia="仿宋" w:cs="仿宋"/>
          <w:color w:val="000000"/>
          <w:sz w:val="32"/>
          <w:szCs w:val="32"/>
        </w:rPr>
        <w:t>3211.15</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81.27 %</w:t>
      </w:r>
      <w:r>
        <w:rPr>
          <w:rFonts w:hint="eastAsia" w:ascii="仿宋" w:hAnsi="Times New Roman" w:eastAsia="仿宋" w:cs="仿宋"/>
          <w:color w:val="000000"/>
          <w:sz w:val="32"/>
          <w:szCs w:val="32"/>
        </w:rPr>
        <w:t>；项目支出</w:t>
      </w:r>
      <w:r>
        <w:rPr>
          <w:rFonts w:ascii="仿宋" w:hAnsi="Times New Roman" w:eastAsia="仿宋" w:cs="仿宋"/>
          <w:color w:val="000000"/>
          <w:sz w:val="32"/>
          <w:szCs w:val="32"/>
        </w:rPr>
        <w:t>740.26</w:t>
      </w:r>
      <w:r>
        <w:rPr>
          <w:rFonts w:hint="eastAsia" w:ascii="仿宋" w:hAnsi="Times New Roman" w:eastAsia="仿宋" w:cs="仿宋"/>
          <w:color w:val="000000"/>
          <w:sz w:val="32"/>
          <w:szCs w:val="32"/>
        </w:rPr>
        <w:t>万元，占</w:t>
      </w:r>
      <w:r>
        <w:rPr>
          <w:rFonts w:ascii="仿宋" w:hAnsi="Times New Roman" w:eastAsia="仿宋" w:cs="仿宋"/>
          <w:color w:val="000000"/>
          <w:sz w:val="32"/>
          <w:szCs w:val="32"/>
        </w:rPr>
        <w:t>18.73%</w:t>
      </w:r>
      <w:r>
        <w:rPr>
          <w:rFonts w:hint="eastAsia" w:ascii="仿宋" w:hAnsi="Times New Roman" w:eastAsia="仿宋" w:cs="仿宋"/>
          <w:color w:val="000000"/>
          <w:sz w:val="32"/>
          <w:szCs w:val="32"/>
        </w:rPr>
        <w:t>。</w:t>
      </w:r>
    </w:p>
    <w:p>
      <w:pPr>
        <w:autoSpaceDE w:val="0"/>
        <w:autoSpaceDN w:val="0"/>
        <w:adjustRightInd w:val="0"/>
        <w:spacing w:line="560" w:lineRule="exact"/>
        <w:ind w:firstLine="630"/>
        <w:rPr>
          <w:rFonts w:ascii="仿宋" w:hAnsi="Times New Roman" w:eastAsia="仿宋" w:cs="Times New Roman"/>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pacing w:line="560" w:lineRule="exact"/>
        <w:ind w:firstLine="627"/>
        <w:rPr>
          <w:rFonts w:ascii="仿宋" w:hAnsi="Times New Roman" w:eastAsia="仿宋" w:cs="Times New Roman"/>
          <w:color w:val="000000"/>
          <w:sz w:val="32"/>
          <w:szCs w:val="32"/>
        </w:rPr>
      </w:pP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年度财政拨款收入总计</w:t>
      </w:r>
      <w:r>
        <w:rPr>
          <w:rFonts w:ascii="仿宋" w:hAnsi="Times New Roman" w:eastAsia="仿宋" w:cs="仿宋"/>
          <w:color w:val="000000"/>
          <w:sz w:val="32"/>
          <w:szCs w:val="32"/>
        </w:rPr>
        <w:t>3951.41</w:t>
      </w:r>
      <w:r>
        <w:rPr>
          <w:rFonts w:hint="eastAsia" w:ascii="仿宋" w:hAnsi="Times New Roman" w:eastAsia="仿宋" w:cs="仿宋"/>
          <w:color w:val="000000"/>
          <w:sz w:val="32"/>
          <w:szCs w:val="32"/>
        </w:rPr>
        <w:t>万元，支出总计</w:t>
      </w:r>
      <w:r>
        <w:rPr>
          <w:rFonts w:ascii="仿宋" w:hAnsi="Times New Roman" w:eastAsia="仿宋" w:cs="仿宋"/>
          <w:color w:val="000000"/>
          <w:sz w:val="32"/>
          <w:szCs w:val="32"/>
        </w:rPr>
        <w:t>3951.41</w:t>
      </w:r>
      <w:r>
        <w:rPr>
          <w:rFonts w:hint="eastAsia" w:ascii="仿宋" w:hAnsi="Times New Roman" w:eastAsia="仿宋" w:cs="仿宋"/>
          <w:color w:val="000000"/>
          <w:sz w:val="32"/>
          <w:szCs w:val="32"/>
        </w:rPr>
        <w:t>万元，与上年相比，财政拨款收、支总计各增</w:t>
      </w:r>
      <w:r>
        <w:rPr>
          <w:rFonts w:ascii="仿宋" w:hAnsi="Times New Roman" w:eastAsia="仿宋" w:cs="仿宋"/>
          <w:color w:val="000000"/>
          <w:sz w:val="32"/>
          <w:szCs w:val="32"/>
        </w:rPr>
        <w:t>321.38</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8.85%</w:t>
      </w:r>
      <w:r>
        <w:rPr>
          <w:rFonts w:hint="eastAsia" w:ascii="仿宋" w:hAnsi="Times New Roman" w:eastAsia="仿宋" w:cs="仿宋"/>
          <w:color w:val="000000"/>
          <w:sz w:val="32"/>
          <w:szCs w:val="32"/>
        </w:rPr>
        <w:t>，主要原因是人员支出和日常公用支出等基本支出增加，在职人数增加、工资及养老保险改革调整增加，办公费、培训费、委托业务费、福利费等支出增加。</w:t>
      </w:r>
    </w:p>
    <w:p>
      <w:pPr>
        <w:autoSpaceDE w:val="0"/>
        <w:autoSpaceDN w:val="0"/>
        <w:adjustRightInd w:val="0"/>
        <w:spacing w:line="560" w:lineRule="exact"/>
        <w:ind w:firstLine="480" w:firstLineChars="150"/>
        <w:rPr>
          <w:rFonts w:ascii="仿宋" w:hAnsi="Times New Roman" w:eastAsia="仿宋" w:cs="Times New Roman"/>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Times New Roman"/>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年度部门决算一般公共预算财政拨款支出决算</w:t>
      </w:r>
      <w:r>
        <w:rPr>
          <w:rFonts w:ascii="仿宋" w:hAnsi="Times New Roman" w:eastAsia="仿宋" w:cs="仿宋"/>
          <w:color w:val="000000"/>
          <w:sz w:val="32"/>
          <w:szCs w:val="32"/>
        </w:rPr>
        <w:t>3731.51</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412.53</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12.43%</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．一般公共服务支出（类）纪检监察事务（款）行政运行（项）事务支出</w:t>
      </w:r>
      <w:r>
        <w:rPr>
          <w:rFonts w:ascii="仿宋" w:hAnsi="Times New Roman" w:eastAsia="仿宋" w:cs="仿宋"/>
          <w:color w:val="000000"/>
          <w:sz w:val="32"/>
          <w:szCs w:val="32"/>
        </w:rPr>
        <w:t>2334.07</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479.9</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25.88%</w:t>
      </w:r>
      <w:r>
        <w:rPr>
          <w:rFonts w:hint="eastAsia" w:ascii="仿宋" w:hAnsi="Times New Roman" w:eastAsia="仿宋" w:cs="仿宋"/>
          <w:color w:val="000000"/>
          <w:sz w:val="32"/>
          <w:szCs w:val="32"/>
        </w:rPr>
        <w:t>。主要是转隶人员增加。</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．一般公共服务支出（类）纪检监察事务（款）一般行政管理事务（项）事务支出</w:t>
      </w:r>
      <w:r>
        <w:rPr>
          <w:rFonts w:ascii="仿宋" w:hAnsi="Times New Roman" w:eastAsia="仿宋" w:cs="仿宋"/>
          <w:color w:val="000000"/>
          <w:sz w:val="32"/>
          <w:szCs w:val="32"/>
        </w:rPr>
        <w:t>441.16</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90.84</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17.08%</w:t>
      </w:r>
      <w:r>
        <w:rPr>
          <w:rFonts w:hint="eastAsia" w:ascii="仿宋" w:hAnsi="Times New Roman" w:eastAsia="仿宋" w:cs="仿宋"/>
          <w:color w:val="000000"/>
          <w:sz w:val="32"/>
          <w:szCs w:val="32"/>
        </w:rPr>
        <w:t>。主要是办案经费支出减少。</w:t>
      </w:r>
      <w:r>
        <w:rPr>
          <w:rFonts w:ascii="仿宋" w:hAnsi="Times New Roman" w:eastAsia="仿宋" w:cs="仿宋"/>
          <w:color w:val="000000"/>
          <w:sz w:val="32"/>
          <w:szCs w:val="32"/>
        </w:rPr>
        <w:t xml:space="preserve">   </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．一般公共服务支出（类）纪检监察事务（款）其他纪检监察事务支出（项）事务支出</w:t>
      </w:r>
      <w:r>
        <w:rPr>
          <w:rFonts w:ascii="仿宋" w:hAnsi="Times New Roman" w:eastAsia="仿宋" w:cs="仿宋"/>
          <w:color w:val="000000"/>
          <w:sz w:val="32"/>
          <w:szCs w:val="32"/>
        </w:rPr>
        <w:t>299.10</w:t>
      </w:r>
      <w:r>
        <w:rPr>
          <w:rFonts w:hint="eastAsia" w:ascii="仿宋" w:hAnsi="Times New Roman" w:eastAsia="仿宋" w:cs="仿宋"/>
          <w:color w:val="000000"/>
          <w:sz w:val="32"/>
          <w:szCs w:val="32"/>
        </w:rPr>
        <w:t>万元，比年初预算减少</w:t>
      </w:r>
      <w:r>
        <w:rPr>
          <w:rFonts w:ascii="仿宋" w:hAnsi="Times New Roman" w:eastAsia="仿宋" w:cs="仿宋"/>
          <w:color w:val="000000"/>
          <w:sz w:val="32"/>
          <w:szCs w:val="32"/>
        </w:rPr>
        <w:t>80.9</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21.29%</w:t>
      </w:r>
      <w:r>
        <w:rPr>
          <w:rFonts w:hint="eastAsia" w:ascii="仿宋" w:hAnsi="Times New Roman" w:eastAsia="仿宋" w:cs="仿宋"/>
          <w:color w:val="000000"/>
          <w:sz w:val="32"/>
          <w:szCs w:val="32"/>
        </w:rPr>
        <w:t>。主要是农村基层作风巡察工作经费支出减少。</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4.</w:t>
      </w:r>
      <w:r>
        <w:rPr>
          <w:rFonts w:hint="eastAsia" w:ascii="仿宋" w:hAnsi="Times New Roman" w:eastAsia="仿宋" w:cs="仿宋"/>
          <w:color w:val="000000"/>
          <w:sz w:val="32"/>
          <w:szCs w:val="32"/>
        </w:rPr>
        <w:t>社会保障和就业支出（类）行政事业单位离退休（款）机关事业单位基本养老保险缴费支出（项）事务支出</w:t>
      </w:r>
      <w:r>
        <w:rPr>
          <w:rFonts w:ascii="仿宋" w:hAnsi="Times New Roman" w:eastAsia="仿宋" w:cs="仿宋"/>
          <w:color w:val="000000"/>
          <w:sz w:val="32"/>
          <w:szCs w:val="32"/>
        </w:rPr>
        <w:t>239.25</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34.7</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16.96%</w:t>
      </w:r>
      <w:r>
        <w:rPr>
          <w:rFonts w:hint="eastAsia" w:ascii="仿宋" w:hAnsi="Times New Roman" w:eastAsia="仿宋" w:cs="仿宋"/>
          <w:color w:val="000000"/>
          <w:sz w:val="32"/>
          <w:szCs w:val="32"/>
        </w:rPr>
        <w:t>。主要是人员增加及社保基数调整。</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5. </w:t>
      </w:r>
      <w:r>
        <w:rPr>
          <w:rFonts w:hint="eastAsia" w:ascii="仿宋" w:hAnsi="Times New Roman" w:eastAsia="仿宋" w:cs="仿宋"/>
          <w:color w:val="000000"/>
          <w:sz w:val="32"/>
          <w:szCs w:val="32"/>
        </w:rPr>
        <w:t>社会保障和就业支出（类）行政事业单位离退休（款）机关事业单位职业年金缴费支出（项）事务支出</w:t>
      </w:r>
      <w:r>
        <w:rPr>
          <w:rFonts w:ascii="仿宋" w:hAnsi="Times New Roman" w:eastAsia="仿宋" w:cs="仿宋"/>
          <w:color w:val="000000"/>
          <w:sz w:val="32"/>
          <w:szCs w:val="32"/>
        </w:rPr>
        <w:t>95.70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13.88</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16.96%</w:t>
      </w:r>
      <w:r>
        <w:rPr>
          <w:rFonts w:hint="eastAsia" w:ascii="仿宋" w:hAnsi="Times New Roman" w:eastAsia="仿宋" w:cs="仿宋"/>
          <w:color w:val="000000"/>
          <w:sz w:val="32"/>
          <w:szCs w:val="32"/>
        </w:rPr>
        <w:t>。主要是人员增加及社保基数调整。</w:t>
      </w:r>
    </w:p>
    <w:p>
      <w:pPr>
        <w:autoSpaceDE w:val="0"/>
        <w:autoSpaceDN w:val="0"/>
        <w:adjustRightInd w:val="0"/>
        <w:spacing w:line="560" w:lineRule="exact"/>
        <w:ind w:firstLine="480" w:firstLineChars="15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6. </w:t>
      </w:r>
      <w:r>
        <w:rPr>
          <w:rFonts w:hint="eastAsia" w:ascii="仿宋" w:hAnsi="Times New Roman" w:eastAsia="仿宋" w:cs="仿宋"/>
          <w:color w:val="000000"/>
          <w:sz w:val="32"/>
          <w:szCs w:val="32"/>
        </w:rPr>
        <w:t>医疗卫生与计划生育支出（类）行政事业单位医疗（款）行政单位医疗（项）事务支出</w:t>
      </w:r>
      <w:r>
        <w:rPr>
          <w:rFonts w:ascii="仿宋" w:hAnsi="Times New Roman" w:eastAsia="仿宋" w:cs="仿宋"/>
          <w:color w:val="000000"/>
          <w:sz w:val="32"/>
          <w:szCs w:val="32"/>
        </w:rPr>
        <w:t>125.86</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17.44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16.09%</w:t>
      </w:r>
      <w:r>
        <w:rPr>
          <w:rFonts w:hint="eastAsia" w:ascii="仿宋" w:hAnsi="Times New Roman" w:eastAsia="仿宋" w:cs="仿宋"/>
          <w:color w:val="000000"/>
          <w:sz w:val="32"/>
          <w:szCs w:val="32"/>
        </w:rPr>
        <w:t>。主要是人员增加及医疗保障基数调整。</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7. </w:t>
      </w:r>
      <w:r>
        <w:rPr>
          <w:rFonts w:hint="eastAsia" w:ascii="仿宋" w:hAnsi="Times New Roman" w:eastAsia="仿宋" w:cs="仿宋"/>
          <w:color w:val="000000"/>
          <w:sz w:val="32"/>
          <w:szCs w:val="32"/>
        </w:rPr>
        <w:t>住房保障支出（类）住房改革支出（款）住房公积金（项）事务支出</w:t>
      </w:r>
      <w:r>
        <w:rPr>
          <w:rFonts w:ascii="仿宋" w:hAnsi="Times New Roman" w:eastAsia="仿宋" w:cs="仿宋"/>
          <w:color w:val="000000"/>
          <w:sz w:val="32"/>
          <w:szCs w:val="32"/>
        </w:rPr>
        <w:t>171.90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36.11</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26.59%</w:t>
      </w:r>
      <w:r>
        <w:rPr>
          <w:rFonts w:hint="eastAsia" w:ascii="仿宋" w:hAnsi="Times New Roman" w:eastAsia="仿宋" w:cs="仿宋"/>
          <w:color w:val="000000"/>
          <w:sz w:val="32"/>
          <w:szCs w:val="32"/>
        </w:rPr>
        <w:t>。主要是人员增加及公积金基数调整。</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ascii="仿宋" w:hAnsi="Times New Roman" w:eastAsia="仿宋" w:cs="仿宋"/>
          <w:color w:val="000000"/>
          <w:sz w:val="32"/>
          <w:szCs w:val="32"/>
        </w:rPr>
        <w:t xml:space="preserve">8. </w:t>
      </w:r>
      <w:r>
        <w:rPr>
          <w:rFonts w:hint="eastAsia" w:ascii="仿宋" w:hAnsi="Times New Roman" w:eastAsia="仿宋" w:cs="仿宋"/>
          <w:color w:val="000000"/>
          <w:sz w:val="32"/>
          <w:szCs w:val="32"/>
        </w:rPr>
        <w:t>住房保障支出（类）住房改革支出（款）购房补贴（项）事务支出</w:t>
      </w:r>
      <w:r>
        <w:rPr>
          <w:rFonts w:ascii="仿宋" w:hAnsi="Times New Roman" w:eastAsia="仿宋" w:cs="仿宋"/>
          <w:color w:val="000000"/>
          <w:sz w:val="32"/>
          <w:szCs w:val="32"/>
        </w:rPr>
        <w:t>24.47</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2.24</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10.08%</w:t>
      </w:r>
      <w:r>
        <w:rPr>
          <w:rFonts w:hint="eastAsia" w:ascii="仿宋" w:hAnsi="Times New Roman" w:eastAsia="仿宋" w:cs="仿宋"/>
          <w:color w:val="000000"/>
          <w:sz w:val="32"/>
          <w:szCs w:val="32"/>
        </w:rPr>
        <w:t>。主要是人员增加及购房补贴基数调整。</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pacing w:line="560" w:lineRule="exact"/>
        <w:ind w:firstLine="640" w:firstLineChars="200"/>
        <w:rPr>
          <w:rFonts w:ascii="仿宋" w:hAnsi="Times New Roman" w:eastAsia="仿宋" w:cs="Times New Roman"/>
          <w:color w:val="000000"/>
          <w:sz w:val="32"/>
          <w:szCs w:val="32"/>
        </w:rPr>
      </w:pP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年度一般公共预算财政拨款基本支出</w:t>
      </w:r>
      <w:r>
        <w:rPr>
          <w:rFonts w:ascii="仿宋" w:hAnsi="Times New Roman" w:eastAsia="仿宋" w:cs="仿宋"/>
          <w:color w:val="000000"/>
          <w:sz w:val="32"/>
          <w:szCs w:val="32"/>
        </w:rPr>
        <w:t>2991.25</w:t>
      </w:r>
      <w:r>
        <w:rPr>
          <w:rFonts w:hint="eastAsia" w:ascii="仿宋" w:hAnsi="Times New Roman" w:eastAsia="仿宋" w:cs="仿宋"/>
          <w:color w:val="000000"/>
          <w:sz w:val="32"/>
          <w:szCs w:val="32"/>
        </w:rPr>
        <w:t>万元。其中：人员支出</w:t>
      </w:r>
      <w:r>
        <w:rPr>
          <w:rFonts w:ascii="仿宋" w:hAnsi="Times New Roman" w:eastAsia="仿宋" w:cs="仿宋"/>
          <w:color w:val="000000"/>
          <w:sz w:val="32"/>
          <w:szCs w:val="32"/>
        </w:rPr>
        <w:t>2547.21</w:t>
      </w:r>
      <w:r>
        <w:rPr>
          <w:rFonts w:hint="eastAsia" w:ascii="仿宋" w:hAnsi="Times New Roman" w:eastAsia="仿宋" w:cs="仿宋"/>
          <w:color w:val="000000"/>
          <w:sz w:val="32"/>
          <w:szCs w:val="32"/>
        </w:rPr>
        <w:t>万元，包括人员工资福利、伙食补助、社会保障缴费、离休费、抚恤金、医疗费、公积金、购房补贴等人员支出；日常公用支出</w:t>
      </w:r>
      <w:r>
        <w:rPr>
          <w:rFonts w:ascii="仿宋" w:hAnsi="Times New Roman" w:eastAsia="仿宋" w:cs="仿宋"/>
          <w:color w:val="000000"/>
          <w:sz w:val="32"/>
          <w:szCs w:val="32"/>
        </w:rPr>
        <w:t>444.04</w:t>
      </w:r>
      <w:r>
        <w:rPr>
          <w:rFonts w:hint="eastAsia" w:ascii="仿宋" w:hAnsi="Times New Roman" w:eastAsia="仿宋" w:cs="仿宋"/>
          <w:color w:val="000000"/>
          <w:sz w:val="32"/>
          <w:szCs w:val="32"/>
        </w:rPr>
        <w:t>万元，包括办公费、印刷费、邮电费、物业管理费、差旅费、会议费、培训费、公务接待费、劳务费、委托业务费、福利费、公务用车运行维护费、其他交通费用等日常公用支出。</w:t>
      </w:r>
    </w:p>
    <w:p>
      <w:pPr>
        <w:autoSpaceDE w:val="0"/>
        <w:autoSpaceDN w:val="0"/>
        <w:adjustRightInd w:val="0"/>
        <w:spacing w:line="360" w:lineRule="auto"/>
        <w:ind w:firstLine="320" w:firstLineChars="100"/>
        <w:rPr>
          <w:rFonts w:ascii="仿宋" w:hAnsi="Times New Roman" w:eastAsia="仿宋" w:cs="Times New Roman"/>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Times New Roman"/>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年度政府性基金预算年初结转</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万元，本年收入</w:t>
      </w:r>
      <w:r>
        <w:rPr>
          <w:rFonts w:ascii="仿宋" w:hAnsi="Times New Roman" w:eastAsia="仿宋" w:cs="仿宋"/>
          <w:color w:val="000000"/>
          <w:sz w:val="32"/>
          <w:szCs w:val="32"/>
        </w:rPr>
        <w:t>219.90</w:t>
      </w:r>
      <w:r>
        <w:rPr>
          <w:rFonts w:hint="eastAsia" w:ascii="仿宋" w:hAnsi="Times New Roman" w:eastAsia="仿宋" w:cs="仿宋"/>
          <w:color w:val="000000"/>
          <w:sz w:val="32"/>
          <w:szCs w:val="32"/>
        </w:rPr>
        <w:t>万元，本年支出</w:t>
      </w:r>
      <w:r>
        <w:rPr>
          <w:rFonts w:ascii="仿宋" w:hAnsi="Times New Roman" w:eastAsia="仿宋" w:cs="仿宋"/>
          <w:color w:val="000000"/>
          <w:sz w:val="32"/>
          <w:szCs w:val="32"/>
        </w:rPr>
        <w:t>219.90</w:t>
      </w:r>
      <w:r>
        <w:rPr>
          <w:rFonts w:hint="eastAsia" w:ascii="仿宋" w:hAnsi="Times New Roman" w:eastAsia="仿宋" w:cs="仿宋"/>
          <w:color w:val="000000"/>
          <w:sz w:val="32"/>
          <w:szCs w:val="32"/>
        </w:rPr>
        <w:t>万元，年末结转</w:t>
      </w:r>
      <w:r>
        <w:rPr>
          <w:rFonts w:ascii="仿宋" w:hAnsi="Times New Roman" w:eastAsia="仿宋" w:cs="仿宋"/>
          <w:color w:val="000000"/>
          <w:sz w:val="32"/>
          <w:szCs w:val="32"/>
        </w:rPr>
        <w:t>0</w:t>
      </w:r>
      <w:r>
        <w:rPr>
          <w:rFonts w:hint="eastAsia" w:ascii="仿宋" w:hAnsi="Times New Roman" w:eastAsia="仿宋" w:cs="仿宋"/>
          <w:color w:val="000000"/>
          <w:sz w:val="32"/>
          <w:szCs w:val="32"/>
        </w:rPr>
        <w:t>万元。支出具体情况如下：</w:t>
      </w:r>
    </w:p>
    <w:p>
      <w:pPr>
        <w:autoSpaceDE w:val="0"/>
        <w:autoSpaceDN w:val="0"/>
        <w:adjustRightInd w:val="0"/>
        <w:spacing w:line="560" w:lineRule="exact"/>
        <w:ind w:firstLine="480"/>
        <w:rPr>
          <w:rFonts w:ascii="仿宋" w:hAnsi="Times New Roman" w:eastAsia="仿宋" w:cs="Times New Roman"/>
          <w:color w:val="000000"/>
          <w:sz w:val="32"/>
          <w:szCs w:val="32"/>
        </w:rPr>
      </w:pPr>
      <w:r>
        <w:rPr>
          <w:rFonts w:hint="eastAsia" w:ascii="仿宋" w:hAnsi="Times New Roman" w:eastAsia="仿宋" w:cs="仿宋"/>
          <w:color w:val="000000"/>
          <w:sz w:val="32"/>
          <w:szCs w:val="32"/>
        </w:rPr>
        <w:t>其他支出（类）其他政府性基金及对应专项债务收入安排的支出（款）其他政府性基金及对应专项债务收入安排的支出（项）事务支出</w:t>
      </w:r>
      <w:r>
        <w:rPr>
          <w:rFonts w:ascii="仿宋" w:hAnsi="Times New Roman" w:eastAsia="仿宋" w:cs="仿宋"/>
          <w:color w:val="000000"/>
          <w:sz w:val="32"/>
          <w:szCs w:val="32"/>
        </w:rPr>
        <w:t>219.90</w:t>
      </w:r>
      <w:r>
        <w:rPr>
          <w:rFonts w:hint="eastAsia" w:ascii="仿宋" w:hAnsi="Times New Roman" w:eastAsia="仿宋" w:cs="仿宋"/>
          <w:color w:val="000000"/>
          <w:sz w:val="32"/>
          <w:szCs w:val="32"/>
        </w:rPr>
        <w:t>万元，比年初预算增加</w:t>
      </w:r>
      <w:r>
        <w:rPr>
          <w:rFonts w:ascii="仿宋" w:hAnsi="Times New Roman" w:eastAsia="仿宋" w:cs="仿宋"/>
          <w:color w:val="000000"/>
          <w:sz w:val="32"/>
          <w:szCs w:val="32"/>
        </w:rPr>
        <w:t>219.90</w:t>
      </w:r>
      <w:r>
        <w:rPr>
          <w:rFonts w:hint="eastAsia" w:ascii="仿宋" w:hAnsi="Times New Roman" w:eastAsia="仿宋" w:cs="仿宋"/>
          <w:color w:val="000000"/>
          <w:sz w:val="32"/>
          <w:szCs w:val="32"/>
        </w:rPr>
        <w:t>万元，增长</w:t>
      </w:r>
      <w:r>
        <w:rPr>
          <w:rFonts w:ascii="仿宋" w:hAnsi="Times New Roman" w:eastAsia="仿宋" w:cs="仿宋"/>
          <w:color w:val="000000"/>
          <w:sz w:val="32"/>
          <w:szCs w:val="32"/>
        </w:rPr>
        <w:t>100%</w:t>
      </w:r>
      <w:r>
        <w:rPr>
          <w:rFonts w:hint="eastAsia" w:ascii="仿宋" w:hAnsi="Times New Roman" w:eastAsia="仿宋" w:cs="仿宋"/>
          <w:color w:val="000000"/>
          <w:sz w:val="32"/>
          <w:szCs w:val="32"/>
        </w:rPr>
        <w:t>。主要是人员经费支出。</w:t>
      </w:r>
    </w:p>
    <w:p>
      <w:pPr>
        <w:autoSpaceDE w:val="0"/>
        <w:autoSpaceDN w:val="0"/>
        <w:adjustRightInd w:val="0"/>
        <w:spacing w:line="560" w:lineRule="exact"/>
        <w:ind w:firstLine="320" w:firstLineChars="100"/>
        <w:rPr>
          <w:rFonts w:ascii="仿宋" w:hAnsi="Times New Roman" w:eastAsia="仿宋" w:cs="仿宋"/>
          <w:color w:val="000000"/>
          <w:sz w:val="32"/>
          <w:szCs w:val="32"/>
        </w:rPr>
      </w:pPr>
      <w:r>
        <w:rPr>
          <w:rFonts w:hint="eastAsia" w:ascii="仿宋" w:hAnsi="Times New Roman" w:eastAsia="仿宋" w:cs="仿宋"/>
          <w:color w:val="000000"/>
          <w:sz w:val="32"/>
          <w:szCs w:val="32"/>
        </w:rPr>
        <w:t>（八）一般公共预算</w:t>
      </w:r>
      <w:r>
        <w:rPr>
          <w:rFonts w:ascii="仿宋" w:hAnsi="Times New Roman" w:eastAsia="仿宋" w:cs="仿宋"/>
          <w:color w:val="000000"/>
          <w:sz w:val="32"/>
          <w:szCs w:val="32"/>
        </w:rPr>
        <w:t xml:space="preserve"> </w:t>
      </w:r>
      <w:r>
        <w:rPr>
          <w:rFonts w:ascii="仿宋" w:hAnsi="Times New Roman" w:eastAsia="仿宋" w:cs="Times New Roman"/>
          <w:color w:val="000000"/>
          <w:sz w:val="32"/>
          <w:szCs w:val="32"/>
        </w:rPr>
        <w:t>“</w:t>
      </w:r>
      <w:r>
        <w:rPr>
          <w:rFonts w:hint="eastAsia" w:ascii="仿宋" w:hAnsi="Times New Roman" w:eastAsia="仿宋" w:cs="仿宋"/>
          <w:color w:val="000000"/>
          <w:sz w:val="32"/>
          <w:szCs w:val="32"/>
        </w:rPr>
        <w:t>三公</w:t>
      </w:r>
      <w:r>
        <w:rPr>
          <w:rFonts w:ascii="仿宋" w:hAnsi="Times New Roman" w:eastAsia="仿宋" w:cs="Times New Roman"/>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320" w:firstLineChars="100"/>
        <w:rPr>
          <w:rFonts w:ascii="仿宋" w:hAnsi="Times New Roman" w:eastAsia="仿宋" w:cs="Times New Roman"/>
          <w:color w:val="000000"/>
          <w:sz w:val="32"/>
          <w:szCs w:val="32"/>
        </w:rPr>
      </w:pPr>
      <w:r>
        <w:rPr>
          <w:rFonts w:hint="eastAsia" w:ascii="仿宋" w:hAnsi="Times New Roman" w:eastAsia="仿宋" w:cs="仿宋"/>
          <w:color w:val="000000"/>
          <w:sz w:val="32"/>
          <w:szCs w:val="32"/>
        </w:rPr>
        <w:t xml:space="preserve">  2017年度一般公共预算财政拨款“三公”经费支出52.26万元，比上年预算增加5.26万元，增长11.19%，主要原因是</w:t>
      </w:r>
      <w:r>
        <w:rPr>
          <w:rFonts w:hint="eastAsia" w:ascii="仿宋" w:hAnsi="Times New Roman" w:eastAsia="仿宋" w:cs="仿宋"/>
          <w:kern w:val="0"/>
          <w:sz w:val="32"/>
          <w:szCs w:val="32"/>
        </w:rPr>
        <w:t>公务用车购置及运行维护费比上年增加</w:t>
      </w:r>
      <w:r>
        <w:rPr>
          <w:rFonts w:hint="eastAsia" w:ascii="仿宋" w:hAnsi="Times New Roman" w:eastAsia="仿宋" w:cs="仿宋"/>
          <w:color w:val="000000"/>
          <w:sz w:val="32"/>
          <w:szCs w:val="32"/>
        </w:rPr>
        <w:t>；比上年决算数增加15.43万元，增长41.89%，主要原因是2017年</w:t>
      </w:r>
      <w:r>
        <w:rPr>
          <w:rFonts w:hint="eastAsia" w:ascii="仿宋" w:hAnsi="Times New Roman" w:eastAsia="仿宋" w:cs="仿宋"/>
          <w:sz w:val="32"/>
          <w:szCs w:val="32"/>
        </w:rPr>
        <w:t>新购置公务用车一辆导致</w:t>
      </w:r>
      <w:r>
        <w:rPr>
          <w:rFonts w:hint="eastAsia" w:ascii="仿宋" w:hAnsi="Times New Roman" w:eastAsia="仿宋" w:cs="仿宋"/>
          <w:kern w:val="0"/>
          <w:sz w:val="32"/>
          <w:szCs w:val="32"/>
        </w:rPr>
        <w:t>公务用车购置及运行维护费增加。</w:t>
      </w:r>
    </w:p>
    <w:p>
      <w:pPr>
        <w:autoSpaceDE w:val="0"/>
        <w:autoSpaceDN w:val="0"/>
        <w:adjustRightInd w:val="0"/>
        <w:spacing w:line="560" w:lineRule="exact"/>
        <w:ind w:firstLine="600"/>
        <w:rPr>
          <w:rFonts w:ascii="仿宋" w:hAnsi="Times New Roman" w:eastAsia="仿宋" w:cs="Times New Roman"/>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w:t>
      </w:r>
      <w:r>
        <w:rPr>
          <w:rFonts w:hint="eastAsia" w:ascii="仿宋" w:hAnsi="Times New Roman" w:eastAsia="仿宋" w:cs="仿宋"/>
          <w:kern w:val="0"/>
          <w:sz w:val="32"/>
          <w:szCs w:val="32"/>
        </w:rPr>
        <w:t>年度一般公共预算财政拨款因公出国（境）支出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7</w:t>
      </w:r>
      <w:r>
        <w:rPr>
          <w:rFonts w:hint="eastAsia" w:ascii="仿宋" w:hAnsi="Times New Roman" w:eastAsia="仿宋" w:cs="仿宋"/>
          <w:sz w:val="32"/>
          <w:szCs w:val="32"/>
        </w:rPr>
        <w:t>万元，下降</w:t>
      </w:r>
      <w:r>
        <w:rPr>
          <w:rFonts w:ascii="仿宋" w:hAnsi="Times New Roman" w:eastAsia="仿宋" w:cs="仿宋"/>
          <w:sz w:val="32"/>
          <w:szCs w:val="32"/>
        </w:rPr>
        <w:t>100%</w:t>
      </w:r>
      <w:r>
        <w:rPr>
          <w:rFonts w:hint="eastAsia" w:ascii="仿宋" w:hAnsi="Times New Roman" w:eastAsia="仿宋" w:cs="仿宋"/>
          <w:sz w:val="32"/>
          <w:szCs w:val="32"/>
        </w:rPr>
        <w:t>，主要原因是</w:t>
      </w:r>
      <w:r>
        <w:rPr>
          <w:rFonts w:ascii="仿宋" w:hAnsi="Times New Roman" w:eastAsia="仿宋" w:cs="仿宋"/>
          <w:sz w:val="32"/>
          <w:szCs w:val="32"/>
        </w:rPr>
        <w:t>2017</w:t>
      </w:r>
      <w:r>
        <w:rPr>
          <w:rFonts w:hint="eastAsia" w:ascii="仿宋" w:hAnsi="Times New Roman" w:eastAsia="仿宋" w:cs="仿宋"/>
          <w:sz w:val="32"/>
          <w:szCs w:val="32"/>
        </w:rPr>
        <w:t>年没有人员因公出国（境）；比上年决算数增加（减少）</w:t>
      </w:r>
      <w:r>
        <w:rPr>
          <w:rFonts w:ascii="仿宋" w:hAnsi="Times New Roman" w:eastAsia="仿宋" w:cs="仿宋"/>
          <w:sz w:val="32"/>
          <w:szCs w:val="32"/>
        </w:rPr>
        <w:t>0</w:t>
      </w:r>
      <w:r>
        <w:rPr>
          <w:rFonts w:hint="eastAsia" w:ascii="仿宋" w:hAnsi="Times New Roman" w:eastAsia="仿宋" w:cs="仿宋"/>
          <w:sz w:val="32"/>
          <w:szCs w:val="32"/>
        </w:rPr>
        <w:t>万元，增长（下降）</w:t>
      </w:r>
      <w:r>
        <w:rPr>
          <w:rFonts w:ascii="仿宋" w:hAnsi="Times New Roman" w:eastAsia="仿宋" w:cs="仿宋"/>
          <w:sz w:val="32"/>
          <w:szCs w:val="32"/>
        </w:rPr>
        <w:t>0 %</w:t>
      </w:r>
      <w:r>
        <w:rPr>
          <w:rFonts w:hint="eastAsia" w:ascii="仿宋" w:hAnsi="Times New Roman" w:eastAsia="仿宋" w:cs="仿宋"/>
          <w:sz w:val="32"/>
          <w:szCs w:val="32"/>
        </w:rPr>
        <w:t>，主要原因是</w:t>
      </w:r>
      <w:r>
        <w:rPr>
          <w:rFonts w:ascii="仿宋" w:hAnsi="Times New Roman" w:eastAsia="仿宋" w:cs="仿宋"/>
          <w:sz w:val="32"/>
          <w:szCs w:val="32"/>
        </w:rPr>
        <w:t>2017</w:t>
      </w:r>
      <w:r>
        <w:rPr>
          <w:rFonts w:hint="eastAsia" w:ascii="仿宋" w:hAnsi="Times New Roman" w:eastAsia="仿宋" w:cs="仿宋"/>
          <w:sz w:val="32"/>
          <w:szCs w:val="32"/>
        </w:rPr>
        <w:t>年及</w:t>
      </w:r>
      <w:r>
        <w:rPr>
          <w:rFonts w:ascii="仿宋" w:hAnsi="Times New Roman" w:eastAsia="仿宋" w:cs="仿宋"/>
          <w:sz w:val="32"/>
          <w:szCs w:val="32"/>
        </w:rPr>
        <w:t>2016</w:t>
      </w:r>
      <w:r>
        <w:rPr>
          <w:rFonts w:hint="eastAsia" w:ascii="仿宋" w:hAnsi="Times New Roman" w:eastAsia="仿宋" w:cs="仿宋"/>
          <w:sz w:val="32"/>
          <w:szCs w:val="32"/>
        </w:rPr>
        <w:t>年本单位没有人员因公出国（境）。因公出国“境”费用主要用于机关人员的公务出国“境”的住宿费、国际旅费、培训费、公杂费等支出。本部门全年组织因公出国“境”团组0个；本部门全年因公出国“境”累计0人次。</w:t>
      </w:r>
    </w:p>
    <w:p>
      <w:pPr>
        <w:tabs>
          <w:tab w:val="left" w:pos="2706"/>
        </w:tabs>
        <w:autoSpaceDE w:val="0"/>
        <w:autoSpaceDN w:val="0"/>
        <w:adjustRightInd w:val="0"/>
        <w:spacing w:line="560" w:lineRule="exact"/>
        <w:ind w:firstLine="600"/>
        <w:jc w:val="left"/>
        <w:rPr>
          <w:rFonts w:ascii="仿宋" w:hAnsi="Times New Roman" w:eastAsia="仿宋" w:cs="Times New Roman"/>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w:t>
      </w:r>
      <w:r>
        <w:rPr>
          <w:rFonts w:hint="eastAsia" w:ascii="仿宋" w:hAnsi="Times New Roman" w:eastAsia="仿宋" w:cs="仿宋"/>
          <w:sz w:val="32"/>
          <w:szCs w:val="32"/>
        </w:rPr>
        <w:t>年度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ascii="仿宋" w:hAnsi="Times New Roman" w:eastAsia="仿宋" w:cs="仿宋"/>
          <w:sz w:val="30"/>
          <w:szCs w:val="30"/>
          <w:lang w:val="zh-CN"/>
        </w:rPr>
        <w:t xml:space="preserve"> 5.74</w:t>
      </w:r>
      <w:r>
        <w:rPr>
          <w:rFonts w:hint="eastAsia" w:ascii="仿宋" w:hAnsi="Times New Roman" w:eastAsia="仿宋" w:cs="仿宋"/>
          <w:sz w:val="32"/>
          <w:szCs w:val="32"/>
        </w:rPr>
        <w:t>万元，比年初预算减少</w:t>
      </w:r>
      <w:r>
        <w:rPr>
          <w:rFonts w:ascii="仿宋" w:hAnsi="Times New Roman" w:eastAsia="仿宋" w:cs="仿宋"/>
          <w:sz w:val="32"/>
          <w:szCs w:val="32"/>
        </w:rPr>
        <w:t>4.26</w:t>
      </w:r>
      <w:r>
        <w:rPr>
          <w:rFonts w:hint="eastAsia" w:ascii="仿宋" w:hAnsi="Times New Roman" w:eastAsia="仿宋" w:cs="仿宋"/>
          <w:sz w:val="32"/>
          <w:szCs w:val="32"/>
        </w:rPr>
        <w:t>万元，下降</w:t>
      </w:r>
      <w:r>
        <w:rPr>
          <w:rFonts w:ascii="仿宋" w:hAnsi="Times New Roman" w:eastAsia="仿宋" w:cs="仿宋"/>
          <w:sz w:val="32"/>
          <w:szCs w:val="32"/>
        </w:rPr>
        <w:t>42.6%</w:t>
      </w:r>
      <w:r>
        <w:rPr>
          <w:rFonts w:hint="eastAsia" w:ascii="仿宋" w:hAnsi="Times New Roman" w:eastAsia="仿宋" w:cs="仿宋"/>
          <w:sz w:val="32"/>
          <w:szCs w:val="32"/>
        </w:rPr>
        <w:t>，主要原因是严格执行厉行节约制度。比上年决算数减少</w:t>
      </w:r>
      <w:r>
        <w:rPr>
          <w:rFonts w:ascii="仿宋" w:hAnsi="Times New Roman" w:eastAsia="仿宋" w:cs="仿宋"/>
          <w:sz w:val="32"/>
          <w:szCs w:val="32"/>
        </w:rPr>
        <w:t>4.02</w:t>
      </w:r>
      <w:r>
        <w:rPr>
          <w:rFonts w:hint="eastAsia" w:ascii="仿宋" w:hAnsi="Times New Roman" w:eastAsia="仿宋" w:cs="仿宋"/>
          <w:sz w:val="32"/>
          <w:szCs w:val="32"/>
        </w:rPr>
        <w:t>万元，下降</w:t>
      </w:r>
      <w:r>
        <w:rPr>
          <w:rFonts w:ascii="仿宋" w:hAnsi="Times New Roman" w:eastAsia="仿宋" w:cs="仿宋"/>
          <w:sz w:val="32"/>
          <w:szCs w:val="32"/>
        </w:rPr>
        <w:t>41.27 %</w:t>
      </w:r>
      <w:r>
        <w:rPr>
          <w:rFonts w:hint="eastAsia" w:ascii="仿宋" w:hAnsi="Times New Roman" w:eastAsia="仿宋" w:cs="仿宋"/>
          <w:sz w:val="32"/>
          <w:szCs w:val="32"/>
        </w:rPr>
        <w:t>，主要原因是严格执行厉行节约制度。公务接待费主要用于接待市外客人来访考察、工作调研，上级来访工作检查、调研、工作督查餐费住宿等支出。</w:t>
      </w:r>
      <w:r>
        <w:rPr>
          <w:rFonts w:hint="eastAsia" w:ascii="仿宋" w:hAnsi="Times New Roman" w:eastAsia="仿宋" w:cs="仿宋"/>
          <w:kern w:val="0"/>
          <w:sz w:val="32"/>
          <w:szCs w:val="32"/>
        </w:rPr>
        <w:t>其中，本部门国内公务接待</w:t>
      </w:r>
      <w:r>
        <w:rPr>
          <w:rFonts w:ascii="仿宋" w:hAnsi="Times New Roman" w:eastAsia="仿宋" w:cs="仿宋"/>
          <w:sz w:val="30"/>
          <w:szCs w:val="30"/>
          <w:lang w:val="zh-CN"/>
        </w:rPr>
        <w:t>51</w:t>
      </w:r>
      <w:r>
        <w:rPr>
          <w:rFonts w:hint="eastAsia" w:ascii="仿宋" w:hAnsi="Times New Roman" w:eastAsia="仿宋" w:cs="仿宋"/>
          <w:kern w:val="0"/>
          <w:sz w:val="32"/>
          <w:szCs w:val="32"/>
        </w:rPr>
        <w:t>批次，</w:t>
      </w:r>
      <w:r>
        <w:rPr>
          <w:rFonts w:ascii="仿宋" w:hAnsi="Times New Roman" w:eastAsia="仿宋" w:cs="仿宋"/>
          <w:sz w:val="30"/>
          <w:szCs w:val="30"/>
          <w:lang w:val="zh-CN"/>
        </w:rPr>
        <w:t>457</w:t>
      </w:r>
      <w:r>
        <w:rPr>
          <w:rFonts w:hint="eastAsia" w:ascii="仿宋" w:hAnsi="Times New Roman" w:eastAsia="仿宋" w:cs="仿宋"/>
          <w:kern w:val="0"/>
          <w:sz w:val="32"/>
          <w:szCs w:val="32"/>
        </w:rPr>
        <w:t>人次，支出</w:t>
      </w:r>
      <w:r>
        <w:rPr>
          <w:rFonts w:ascii="仿宋" w:hAnsi="Times New Roman" w:eastAsia="仿宋" w:cs="仿宋"/>
          <w:kern w:val="0"/>
          <w:sz w:val="32"/>
          <w:szCs w:val="32"/>
        </w:rPr>
        <w:t>5.74</w:t>
      </w:r>
      <w:r>
        <w:rPr>
          <w:rFonts w:hint="eastAsia" w:ascii="仿宋" w:hAnsi="Times New Roman" w:eastAsia="仿宋" w:cs="仿宋"/>
          <w:kern w:val="0"/>
          <w:sz w:val="32"/>
          <w:szCs w:val="32"/>
        </w:rPr>
        <w:t>万元；国（境）外事接待</w:t>
      </w:r>
      <w:r>
        <w:rPr>
          <w:rFonts w:ascii="仿宋" w:hAnsi="Times New Roman" w:eastAsia="仿宋" w:cs="仿宋"/>
          <w:sz w:val="30"/>
          <w:szCs w:val="30"/>
          <w:lang w:val="zh-CN"/>
        </w:rPr>
        <w:t>0</w:t>
      </w:r>
      <w:r>
        <w:rPr>
          <w:rFonts w:hint="eastAsia" w:ascii="仿宋" w:hAnsi="Times New Roman" w:eastAsia="仿宋" w:cs="仿宋"/>
          <w:kern w:val="0"/>
          <w:sz w:val="32"/>
          <w:szCs w:val="32"/>
        </w:rPr>
        <w:t>批次，</w:t>
      </w:r>
      <w:r>
        <w:rPr>
          <w:rFonts w:ascii="仿宋" w:hAnsi="Times New Roman" w:eastAsia="仿宋" w:cs="仿宋"/>
          <w:sz w:val="30"/>
          <w:szCs w:val="30"/>
          <w:lang w:val="zh-CN"/>
        </w:rPr>
        <w:t>0</w:t>
      </w:r>
      <w:r>
        <w:rPr>
          <w:rFonts w:hint="eastAsia" w:ascii="仿宋" w:hAnsi="Times New Roman" w:eastAsia="仿宋" w:cs="仿宋"/>
          <w:kern w:val="0"/>
          <w:sz w:val="32"/>
          <w:szCs w:val="32"/>
        </w:rPr>
        <w:t>人次，支出</w:t>
      </w:r>
      <w:r>
        <w:rPr>
          <w:rFonts w:ascii="仿宋" w:hAnsi="Times New Roman" w:eastAsia="仿宋" w:cs="仿宋"/>
          <w:sz w:val="30"/>
          <w:szCs w:val="30"/>
          <w:lang w:val="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Times New Roman"/>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w:t>
      </w:r>
      <w:r>
        <w:rPr>
          <w:rFonts w:hint="eastAsia" w:ascii="仿宋" w:hAnsi="Times New Roman" w:eastAsia="仿宋" w:cs="仿宋"/>
          <w:kern w:val="0"/>
          <w:sz w:val="32"/>
          <w:szCs w:val="32"/>
        </w:rPr>
        <w:t>年度一般公共预算财政拨款公务用车购置及运行维护费支出</w:t>
      </w:r>
      <w:r>
        <w:rPr>
          <w:rFonts w:ascii="仿宋" w:hAnsi="Times New Roman" w:eastAsia="仿宋" w:cs="仿宋"/>
          <w:sz w:val="30"/>
          <w:szCs w:val="30"/>
          <w:lang w:val="zh-CN"/>
        </w:rPr>
        <w:t>46.52</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w:t>
      </w:r>
      <w:r>
        <w:rPr>
          <w:rFonts w:ascii="仿宋" w:hAnsi="Times New Roman" w:eastAsia="仿宋" w:cs="仿宋"/>
          <w:sz w:val="32"/>
          <w:szCs w:val="32"/>
        </w:rPr>
        <w:t>13.48</w:t>
      </w:r>
      <w:r>
        <w:rPr>
          <w:rFonts w:hint="eastAsia" w:ascii="仿宋" w:hAnsi="Times New Roman" w:eastAsia="仿宋" w:cs="仿宋"/>
          <w:sz w:val="32"/>
          <w:szCs w:val="32"/>
        </w:rPr>
        <w:t>万元，下降</w:t>
      </w:r>
      <w:r>
        <w:rPr>
          <w:rFonts w:ascii="仿宋" w:hAnsi="Times New Roman" w:eastAsia="仿宋" w:cs="仿宋"/>
          <w:sz w:val="32"/>
          <w:szCs w:val="32"/>
        </w:rPr>
        <w:t>22.47%</w:t>
      </w:r>
      <w:r>
        <w:rPr>
          <w:rFonts w:hint="eastAsia" w:ascii="仿宋" w:hAnsi="Times New Roman" w:eastAsia="仿宋" w:cs="仿宋"/>
          <w:sz w:val="32"/>
          <w:szCs w:val="32"/>
        </w:rPr>
        <w:t>，主要原因是公务用车购置支出比预算减少以及严格执行公务用车制度。比上年决算数增加</w:t>
      </w:r>
      <w:r>
        <w:rPr>
          <w:rFonts w:ascii="仿宋" w:hAnsi="Times New Roman" w:eastAsia="仿宋" w:cs="仿宋"/>
          <w:sz w:val="32"/>
          <w:szCs w:val="32"/>
        </w:rPr>
        <w:t>19.45</w:t>
      </w:r>
      <w:r>
        <w:rPr>
          <w:rFonts w:hint="eastAsia" w:ascii="仿宋" w:hAnsi="Times New Roman" w:eastAsia="仿宋" w:cs="仿宋"/>
          <w:sz w:val="32"/>
          <w:szCs w:val="32"/>
        </w:rPr>
        <w:t>万元，增长</w:t>
      </w:r>
      <w:r>
        <w:rPr>
          <w:rFonts w:ascii="仿宋" w:hAnsi="Times New Roman" w:eastAsia="仿宋" w:cs="仿宋"/>
          <w:sz w:val="32"/>
          <w:szCs w:val="32"/>
        </w:rPr>
        <w:t>70.22%</w:t>
      </w:r>
      <w:r>
        <w:rPr>
          <w:rFonts w:hint="eastAsia" w:ascii="仿宋" w:hAnsi="Times New Roman" w:eastAsia="仿宋" w:cs="仿宋"/>
          <w:sz w:val="32"/>
          <w:szCs w:val="32"/>
        </w:rPr>
        <w:t>，主要原因是新购置公务用车一辆。具体内容如下：</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公务用车购置支出</w:t>
      </w:r>
      <w:r>
        <w:rPr>
          <w:rFonts w:ascii="仿宋" w:hAnsi="Times New Roman" w:eastAsia="仿宋" w:cs="仿宋"/>
          <w:sz w:val="30"/>
          <w:szCs w:val="30"/>
          <w:lang w:val="zh-CN"/>
        </w:rPr>
        <w:t>27.19</w:t>
      </w:r>
      <w:r>
        <w:rPr>
          <w:rFonts w:hint="eastAsia" w:ascii="仿宋" w:hAnsi="Times New Roman" w:eastAsia="仿宋" w:cs="仿宋"/>
          <w:kern w:val="0"/>
          <w:sz w:val="32"/>
          <w:szCs w:val="32"/>
        </w:rPr>
        <w:t>万元（含购置税等附加费用），主要用于经批准购置的</w:t>
      </w:r>
      <w:r>
        <w:rPr>
          <w:rFonts w:ascii="仿宋" w:hAnsi="Times New Roman" w:eastAsia="仿宋" w:cs="仿宋"/>
          <w:sz w:val="30"/>
          <w:szCs w:val="30"/>
          <w:lang w:val="zh-CN"/>
        </w:rPr>
        <w:t>1</w:t>
      </w:r>
      <w:r>
        <w:rPr>
          <w:rFonts w:hint="eastAsia" w:ascii="仿宋" w:hAnsi="Times New Roman" w:eastAsia="仿宋" w:cs="仿宋"/>
          <w:kern w:val="0"/>
          <w:sz w:val="32"/>
          <w:szCs w:val="32"/>
        </w:rPr>
        <w:t>辆公务用车。</w:t>
      </w:r>
    </w:p>
    <w:p>
      <w:pPr>
        <w:autoSpaceDE w:val="0"/>
        <w:autoSpaceDN w:val="0"/>
        <w:adjustRightInd w:val="0"/>
        <w:spacing w:line="560" w:lineRule="exact"/>
        <w:ind w:firstLine="600"/>
        <w:rPr>
          <w:rFonts w:ascii="仿宋" w:hAnsi="Times New Roman" w:eastAsia="仿宋" w:cs="Times New Roman"/>
          <w:sz w:val="30"/>
          <w:szCs w:val="30"/>
          <w:lang w:val="zh-CN"/>
        </w:rPr>
      </w:pPr>
      <w:r>
        <w:rPr>
          <w:rFonts w:hint="eastAsia" w:ascii="仿宋" w:hAnsi="Times New Roman" w:eastAsia="仿宋" w:cs="仿宋"/>
          <w:kern w:val="0"/>
          <w:sz w:val="32"/>
          <w:szCs w:val="32"/>
        </w:rPr>
        <w:t>公务用车运行维护费支出</w:t>
      </w:r>
      <w:r>
        <w:rPr>
          <w:rFonts w:ascii="仿宋" w:hAnsi="Times New Roman" w:eastAsia="仿宋" w:cs="仿宋"/>
          <w:sz w:val="30"/>
          <w:szCs w:val="30"/>
          <w:lang w:val="zh-CN"/>
        </w:rPr>
        <w:t>19.33</w:t>
      </w:r>
      <w:r>
        <w:rPr>
          <w:rFonts w:hint="eastAsia" w:ascii="仿宋" w:hAnsi="Times New Roman" w:eastAsia="仿宋" w:cs="仿宋"/>
          <w:kern w:val="0"/>
          <w:sz w:val="32"/>
          <w:szCs w:val="32"/>
        </w:rPr>
        <w:t>万元，主要用于机关及所属事业单位公务车等所需的公务用车燃料费、维修费、过路过桥费、保险费等支出。</w:t>
      </w:r>
      <w:r>
        <w:rPr>
          <w:rFonts w:ascii="仿宋" w:hAnsi="Times New Roman" w:eastAsia="仿宋" w:cs="仿宋"/>
          <w:kern w:val="0"/>
          <w:sz w:val="32"/>
          <w:szCs w:val="32"/>
        </w:rPr>
        <w:t>2017</w:t>
      </w:r>
      <w:r>
        <w:rPr>
          <w:rFonts w:hint="eastAsia" w:ascii="仿宋" w:hAnsi="Times New Roman" w:eastAsia="仿宋" w:cs="仿宋"/>
          <w:kern w:val="0"/>
          <w:sz w:val="32"/>
          <w:szCs w:val="32"/>
        </w:rPr>
        <w:t>年度，本级及所属事业单位使用一般公共预算资金开支费用的</w:t>
      </w:r>
      <w:r>
        <w:rPr>
          <w:rFonts w:hint="eastAsia" w:ascii="仿宋" w:hAnsi="Times New Roman" w:eastAsia="仿宋" w:cs="仿宋"/>
          <w:sz w:val="32"/>
          <w:szCs w:val="32"/>
          <w:lang w:val="zh-CN"/>
        </w:rPr>
        <w:t>公务用车保有量为</w:t>
      </w:r>
      <w:r>
        <w:rPr>
          <w:rFonts w:ascii="仿宋" w:hAnsi="Times New Roman" w:eastAsia="仿宋" w:cs="仿宋"/>
          <w:sz w:val="30"/>
          <w:szCs w:val="30"/>
          <w:lang w:val="zh-CN"/>
        </w:rPr>
        <w:t>9</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、机关运行经费支出情况</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2017</w:t>
      </w:r>
      <w:r>
        <w:rPr>
          <w:rFonts w:hint="eastAsia" w:ascii="仿宋" w:hAnsi="Times New Roman" w:eastAsia="仿宋" w:cs="仿宋"/>
          <w:kern w:val="0"/>
          <w:sz w:val="32"/>
          <w:szCs w:val="32"/>
        </w:rPr>
        <w:t>年度中共温州市纪律检查委员会、温州市监察委员会</w:t>
      </w:r>
      <w:r>
        <w:rPr>
          <w:rFonts w:hint="eastAsia" w:ascii="仿宋" w:eastAsia="仿宋" w:cs="仿宋"/>
          <w:kern w:val="0"/>
          <w:sz w:val="32"/>
          <w:szCs w:val="32"/>
        </w:rPr>
        <w:t>机关</w:t>
      </w:r>
      <w:r>
        <w:rPr>
          <w:rFonts w:hint="eastAsia" w:ascii="仿宋" w:hAnsi="Times New Roman" w:eastAsia="仿宋" w:cs="仿宋"/>
          <w:kern w:val="0"/>
          <w:sz w:val="32"/>
          <w:szCs w:val="32"/>
        </w:rPr>
        <w:t>运行经费支出</w:t>
      </w:r>
      <w:r>
        <w:rPr>
          <w:rFonts w:ascii="仿宋" w:hAnsi="Times New Roman" w:eastAsia="仿宋" w:cs="仿宋"/>
          <w:kern w:val="0"/>
          <w:sz w:val="32"/>
          <w:szCs w:val="32"/>
        </w:rPr>
        <w:t>444.04</w:t>
      </w:r>
      <w:r>
        <w:rPr>
          <w:rFonts w:hint="eastAsia" w:ascii="仿宋" w:hAnsi="Times New Roman" w:eastAsia="仿宋" w:cs="仿宋"/>
          <w:kern w:val="0"/>
          <w:sz w:val="32"/>
          <w:szCs w:val="32"/>
        </w:rPr>
        <w:t>万元，比上年增加</w:t>
      </w:r>
      <w:r>
        <w:rPr>
          <w:rFonts w:ascii="仿宋" w:hAnsi="Times New Roman" w:eastAsia="仿宋" w:cs="仿宋"/>
          <w:kern w:val="0"/>
          <w:sz w:val="32"/>
          <w:szCs w:val="32"/>
        </w:rPr>
        <w:t>37.22</w:t>
      </w:r>
      <w:r>
        <w:rPr>
          <w:rFonts w:hint="eastAsia" w:ascii="仿宋" w:hAnsi="Times New Roman" w:eastAsia="仿宋" w:cs="仿宋"/>
          <w:kern w:val="0"/>
          <w:sz w:val="32"/>
          <w:szCs w:val="32"/>
        </w:rPr>
        <w:t>万元，增长</w:t>
      </w:r>
      <w:r>
        <w:rPr>
          <w:rFonts w:ascii="仿宋" w:hAnsi="Times New Roman" w:eastAsia="仿宋" w:cs="仿宋"/>
          <w:kern w:val="0"/>
          <w:sz w:val="32"/>
          <w:szCs w:val="32"/>
        </w:rPr>
        <w:t>9.15%</w:t>
      </w:r>
      <w:r>
        <w:rPr>
          <w:rFonts w:hint="eastAsia" w:ascii="仿宋" w:hAnsi="Times New Roman" w:eastAsia="仿宋" w:cs="仿宋"/>
          <w:kern w:val="0"/>
          <w:sz w:val="32"/>
          <w:szCs w:val="32"/>
        </w:rPr>
        <w:t>，主要原因是人员增加，培训费、委托业务费增加。</w:t>
      </w:r>
    </w:p>
    <w:p>
      <w:pPr>
        <w:autoSpaceDE w:val="0"/>
        <w:autoSpaceDN w:val="0"/>
        <w:adjustRightInd w:val="0"/>
        <w:spacing w:line="560" w:lineRule="exact"/>
        <w:ind w:firstLine="640" w:firstLineChars="200"/>
        <w:rPr>
          <w:rFonts w:ascii="仿宋" w:hAnsi="Times New Roman" w:eastAsia="仿宋" w:cs="Times New Roman"/>
          <w:kern w:val="0"/>
          <w:sz w:val="32"/>
          <w:szCs w:val="32"/>
        </w:rPr>
      </w:pPr>
      <w:r>
        <w:rPr>
          <w:rFonts w:ascii="仿宋" w:hAnsi="Times New Roman" w:eastAsia="仿宋" w:cs="仿宋"/>
          <w:kern w:val="0"/>
          <w:sz w:val="32"/>
          <w:szCs w:val="32"/>
        </w:rPr>
        <w:t>2</w:t>
      </w:r>
      <w:r>
        <w:rPr>
          <w:rFonts w:hint="eastAsia" w:ascii="仿宋" w:hAnsi="Times New Roman" w:eastAsia="仿宋" w:cs="仿宋"/>
          <w:kern w:val="0"/>
          <w:sz w:val="32"/>
          <w:szCs w:val="32"/>
        </w:rPr>
        <w:t>、政府采购情况</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2017</w:t>
      </w:r>
      <w:r>
        <w:rPr>
          <w:rFonts w:hint="eastAsia" w:ascii="仿宋" w:hAnsi="Times New Roman" w:eastAsia="仿宋" w:cs="仿宋"/>
          <w:kern w:val="0"/>
          <w:sz w:val="32"/>
          <w:szCs w:val="32"/>
        </w:rPr>
        <w:t>年度</w:t>
      </w:r>
      <w:r>
        <w:rPr>
          <w:rFonts w:hint="eastAsia" w:ascii="仿宋_GB2312" w:eastAsia="仿宋_GB2312" w:cs="仿宋_GB2312"/>
          <w:color w:val="000000"/>
          <w:sz w:val="32"/>
          <w:szCs w:val="32"/>
        </w:rPr>
        <w:t>中共温州市纪律检查委员会</w:t>
      </w:r>
      <w:r>
        <w:rPr>
          <w:rFonts w:hint="eastAsia" w:ascii="仿宋" w:hAnsi="Times New Roman" w:eastAsia="仿宋" w:cs="仿宋"/>
          <w:kern w:val="0"/>
          <w:sz w:val="32"/>
          <w:szCs w:val="32"/>
        </w:rPr>
        <w:t>、温州市监察委员会</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政府采购预算</w:t>
      </w:r>
      <w:r>
        <w:rPr>
          <w:rFonts w:ascii="仿宋" w:hAnsi="Times New Roman" w:eastAsia="仿宋" w:cs="仿宋"/>
          <w:kern w:val="0"/>
          <w:sz w:val="32"/>
          <w:szCs w:val="32"/>
        </w:rPr>
        <w:t>79.62</w:t>
      </w:r>
      <w:r>
        <w:rPr>
          <w:rFonts w:hint="eastAsia" w:ascii="仿宋" w:hAnsi="Times New Roman" w:eastAsia="仿宋" w:cs="仿宋"/>
          <w:kern w:val="0"/>
          <w:sz w:val="32"/>
          <w:szCs w:val="32"/>
        </w:rPr>
        <w:t>万元，采购支出总额</w:t>
      </w:r>
      <w:r>
        <w:rPr>
          <w:rFonts w:ascii="仿宋" w:hAnsi="Times New Roman" w:eastAsia="仿宋" w:cs="仿宋"/>
          <w:kern w:val="0"/>
          <w:sz w:val="32"/>
          <w:szCs w:val="32"/>
        </w:rPr>
        <w:t xml:space="preserve">  79.17</w:t>
      </w:r>
      <w:r>
        <w:rPr>
          <w:rFonts w:hint="eastAsia" w:ascii="仿宋" w:hAnsi="Times New Roman" w:eastAsia="仿宋" w:cs="仿宋"/>
          <w:kern w:val="0"/>
          <w:sz w:val="32"/>
          <w:szCs w:val="32"/>
        </w:rPr>
        <w:t>万元。其中：货物采购支出</w:t>
      </w:r>
      <w:r>
        <w:rPr>
          <w:rFonts w:ascii="仿宋" w:hAnsi="Times New Roman" w:eastAsia="仿宋" w:cs="仿宋"/>
          <w:kern w:val="0"/>
          <w:sz w:val="32"/>
          <w:szCs w:val="32"/>
        </w:rPr>
        <w:t>54.17</w:t>
      </w:r>
      <w:r>
        <w:rPr>
          <w:rFonts w:hint="eastAsia" w:ascii="仿宋" w:hAnsi="Times New Roman" w:eastAsia="仿宋" w:cs="仿宋"/>
          <w:kern w:val="0"/>
          <w:sz w:val="32"/>
          <w:szCs w:val="32"/>
        </w:rPr>
        <w:t>万元；工程采购支出</w:t>
      </w:r>
      <w:r>
        <w:rPr>
          <w:rFonts w:ascii="仿宋" w:hAnsi="Times New Roman" w:eastAsia="仿宋" w:cs="仿宋"/>
          <w:kern w:val="0"/>
          <w:sz w:val="32"/>
          <w:szCs w:val="32"/>
        </w:rPr>
        <w:t>0</w:t>
      </w:r>
      <w:r>
        <w:rPr>
          <w:rFonts w:hint="eastAsia" w:ascii="仿宋" w:hAnsi="Times New Roman" w:eastAsia="仿宋" w:cs="仿宋"/>
          <w:kern w:val="0"/>
          <w:sz w:val="32"/>
          <w:szCs w:val="32"/>
        </w:rPr>
        <w:t>万元；服务采购支出</w:t>
      </w:r>
      <w:r>
        <w:rPr>
          <w:rFonts w:ascii="仿宋" w:hAnsi="Times New Roman" w:eastAsia="仿宋" w:cs="仿宋"/>
          <w:kern w:val="0"/>
          <w:sz w:val="32"/>
          <w:szCs w:val="32"/>
        </w:rPr>
        <w:t>25</w:t>
      </w:r>
      <w:r>
        <w:rPr>
          <w:rFonts w:hint="eastAsia" w:ascii="仿宋" w:hAnsi="Times New Roman" w:eastAsia="仿宋" w:cs="仿宋"/>
          <w:kern w:val="0"/>
          <w:sz w:val="32"/>
          <w:szCs w:val="32"/>
        </w:rPr>
        <w:t>万元。授予中小企业合同金额</w:t>
      </w:r>
      <w:r>
        <w:rPr>
          <w:rFonts w:ascii="仿宋" w:hAnsi="Times New Roman" w:eastAsia="仿宋" w:cs="仿宋"/>
          <w:kern w:val="0"/>
          <w:sz w:val="32"/>
          <w:szCs w:val="32"/>
        </w:rPr>
        <w:t>79.17</w:t>
      </w:r>
      <w:r>
        <w:rPr>
          <w:rFonts w:hint="eastAsia" w:ascii="仿宋" w:hAnsi="Times New Roman" w:eastAsia="仿宋" w:cs="仿宋"/>
          <w:kern w:val="0"/>
          <w:sz w:val="32"/>
          <w:szCs w:val="32"/>
        </w:rPr>
        <w:t>万元，占政府采购支出总额</w:t>
      </w:r>
      <w:r>
        <w:rPr>
          <w:rFonts w:ascii="仿宋" w:hAnsi="Times New Roman" w:eastAsia="仿宋" w:cs="仿宋"/>
          <w:kern w:val="0"/>
          <w:sz w:val="32"/>
          <w:szCs w:val="32"/>
        </w:rPr>
        <w:t>100%</w:t>
      </w:r>
      <w:r>
        <w:rPr>
          <w:rFonts w:hint="eastAsia" w:ascii="仿宋" w:hAnsi="Times New Roman" w:eastAsia="仿宋" w:cs="仿宋"/>
          <w:kern w:val="0"/>
          <w:sz w:val="32"/>
          <w:szCs w:val="32"/>
        </w:rPr>
        <w:t>。</w:t>
      </w:r>
      <w:r>
        <w:rPr>
          <w:rFonts w:ascii="仿宋" w:hAnsi="Times New Roman" w:eastAsia="仿宋" w:cs="仿宋"/>
          <w:kern w:val="0"/>
          <w:sz w:val="32"/>
          <w:szCs w:val="32"/>
        </w:rPr>
        <w:t xml:space="preserve"> </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、国有资产占用情况</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截</w:t>
      </w:r>
      <w:r>
        <w:rPr>
          <w:rFonts w:hint="eastAsia" w:ascii="仿宋" w:hAnsi="Times New Roman" w:eastAsia="仿宋" w:cs="仿宋"/>
          <w:kern w:val="0"/>
          <w:sz w:val="32"/>
          <w:szCs w:val="32"/>
          <w:lang w:eastAsia="zh-CN"/>
        </w:rPr>
        <w:t>至</w:t>
      </w:r>
      <w:bookmarkStart w:id="0" w:name="_GoBack"/>
      <w:bookmarkEnd w:id="0"/>
      <w:r>
        <w:rPr>
          <w:rFonts w:ascii="仿宋" w:hAnsi="Times New Roman" w:eastAsia="仿宋" w:cs="仿宋"/>
          <w:kern w:val="0"/>
          <w:sz w:val="32"/>
          <w:szCs w:val="32"/>
        </w:rPr>
        <w:t>2017</w:t>
      </w:r>
      <w:r>
        <w:rPr>
          <w:rFonts w:hint="eastAsia" w:ascii="仿宋" w:hAnsi="Times New Roman" w:eastAsia="仿宋" w:cs="仿宋"/>
          <w:kern w:val="0"/>
          <w:sz w:val="32"/>
          <w:szCs w:val="32"/>
        </w:rPr>
        <w:t>年底，</w:t>
      </w:r>
      <w:r>
        <w:rPr>
          <w:rFonts w:hint="eastAsia" w:ascii="仿宋_GB2312" w:eastAsia="仿宋_GB2312" w:cs="仿宋_GB2312"/>
          <w:color w:val="000000"/>
          <w:sz w:val="32"/>
          <w:szCs w:val="32"/>
        </w:rPr>
        <w:t>中共温州市纪律检查委员会</w:t>
      </w:r>
      <w:r>
        <w:rPr>
          <w:rFonts w:hint="eastAsia" w:ascii="仿宋" w:hAnsi="Times New Roman" w:eastAsia="仿宋" w:cs="仿宋"/>
          <w:kern w:val="0"/>
          <w:sz w:val="32"/>
          <w:szCs w:val="32"/>
        </w:rPr>
        <w:t>、温州市监察委员会</w:t>
      </w:r>
      <w:r>
        <w:rPr>
          <w:rFonts w:hint="eastAsia" w:ascii="仿宋" w:eastAsia="仿宋" w:cs="仿宋"/>
          <w:kern w:val="0"/>
          <w:sz w:val="32"/>
          <w:szCs w:val="32"/>
        </w:rPr>
        <w:t>本级及所属各预算单位</w:t>
      </w:r>
      <w:r>
        <w:rPr>
          <w:rFonts w:hint="eastAsia" w:ascii="仿宋" w:hAnsi="Times New Roman" w:eastAsia="仿宋" w:cs="仿宋"/>
          <w:kern w:val="0"/>
          <w:sz w:val="32"/>
          <w:szCs w:val="32"/>
        </w:rPr>
        <w:t>资产合计</w:t>
      </w:r>
      <w:r>
        <w:rPr>
          <w:rFonts w:ascii="仿宋" w:hAnsi="Times New Roman" w:eastAsia="仿宋" w:cs="仿宋"/>
          <w:kern w:val="0"/>
          <w:sz w:val="32"/>
          <w:szCs w:val="32"/>
        </w:rPr>
        <w:t>1773.65</w:t>
      </w:r>
      <w:r>
        <w:rPr>
          <w:rFonts w:hint="eastAsia" w:ascii="仿宋" w:hAnsi="Times New Roman" w:eastAsia="仿宋" w:cs="仿宋"/>
          <w:kern w:val="0"/>
          <w:sz w:val="32"/>
          <w:szCs w:val="32"/>
        </w:rPr>
        <w:t>万元，比上年下降</w:t>
      </w:r>
      <w:r>
        <w:rPr>
          <w:rFonts w:ascii="仿宋" w:hAnsi="Times New Roman" w:eastAsia="仿宋" w:cs="仿宋"/>
          <w:kern w:val="0"/>
          <w:sz w:val="32"/>
          <w:szCs w:val="32"/>
        </w:rPr>
        <w:t>6.87%</w:t>
      </w:r>
      <w:r>
        <w:rPr>
          <w:rFonts w:hint="eastAsia" w:ascii="仿宋" w:hAnsi="Times New Roman" w:eastAsia="仿宋" w:cs="仿宋"/>
          <w:kern w:val="0"/>
          <w:sz w:val="32"/>
          <w:szCs w:val="32"/>
        </w:rPr>
        <w:t>，主要原因是报废一批不能使用的固定资产。其中：流动资产</w:t>
      </w:r>
      <w:r>
        <w:rPr>
          <w:rFonts w:ascii="仿宋" w:hAnsi="Times New Roman" w:eastAsia="仿宋" w:cs="仿宋"/>
          <w:kern w:val="0"/>
          <w:sz w:val="32"/>
          <w:szCs w:val="32"/>
        </w:rPr>
        <w:t>586.37</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33.06%</w:t>
      </w:r>
      <w:r>
        <w:rPr>
          <w:rFonts w:hint="eastAsia" w:ascii="仿宋" w:hAnsi="Times New Roman" w:eastAsia="仿宋" w:cs="仿宋"/>
          <w:kern w:val="0"/>
          <w:sz w:val="32"/>
          <w:szCs w:val="32"/>
        </w:rPr>
        <w:t>；固定资产</w:t>
      </w:r>
      <w:r>
        <w:rPr>
          <w:rFonts w:ascii="仿宋" w:hAnsi="Times New Roman" w:eastAsia="仿宋" w:cs="仿宋"/>
          <w:kern w:val="0"/>
          <w:sz w:val="32"/>
          <w:szCs w:val="32"/>
        </w:rPr>
        <w:t>1187.28</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66.94%</w:t>
      </w:r>
      <w:r>
        <w:rPr>
          <w:rFonts w:hint="eastAsia" w:ascii="仿宋" w:hAnsi="Times New Roman" w:eastAsia="仿宋" w:cs="仿宋"/>
          <w:kern w:val="0"/>
          <w:sz w:val="32"/>
          <w:szCs w:val="32"/>
        </w:rPr>
        <w:t>；在建工程</w:t>
      </w:r>
      <w:r>
        <w:rPr>
          <w:rFonts w:ascii="仿宋" w:hAnsi="Times New Roman" w:eastAsia="仿宋" w:cs="仿宋"/>
          <w:kern w:val="0"/>
          <w:sz w:val="32"/>
          <w:szCs w:val="32"/>
        </w:rPr>
        <w:t>0</w:t>
      </w:r>
      <w:r>
        <w:rPr>
          <w:rFonts w:hint="eastAsia" w:ascii="仿宋" w:hAnsi="Times New Roman" w:eastAsia="仿宋" w:cs="仿宋"/>
          <w:kern w:val="0"/>
          <w:sz w:val="32"/>
          <w:szCs w:val="32"/>
        </w:rPr>
        <w:t>万元，占总资产的</w:t>
      </w:r>
      <w:r>
        <w:rPr>
          <w:rFonts w:ascii="仿宋" w:hAnsi="Times New Roman" w:eastAsia="仿宋" w:cs="仿宋"/>
          <w:kern w:val="0"/>
          <w:sz w:val="32"/>
          <w:szCs w:val="32"/>
        </w:rPr>
        <w:t>0 %</w:t>
      </w:r>
      <w:r>
        <w:rPr>
          <w:rFonts w:hint="eastAsia" w:ascii="仿宋" w:hAnsi="Times New Roman" w:eastAsia="仿宋" w:cs="仿宋"/>
          <w:kern w:val="0"/>
          <w:sz w:val="32"/>
          <w:szCs w:val="32"/>
        </w:rPr>
        <w:t>；固定资产含：车辆</w:t>
      </w:r>
      <w:r>
        <w:rPr>
          <w:rFonts w:ascii="仿宋" w:hAnsi="Times New Roman" w:eastAsia="仿宋" w:cs="仿宋"/>
          <w:kern w:val="0"/>
          <w:sz w:val="32"/>
          <w:szCs w:val="32"/>
        </w:rPr>
        <w:t>9</w:t>
      </w:r>
      <w:r>
        <w:rPr>
          <w:rFonts w:hint="eastAsia" w:ascii="仿宋" w:hAnsi="Times New Roman" w:eastAsia="仿宋" w:cs="仿宋"/>
          <w:kern w:val="0"/>
          <w:sz w:val="32"/>
          <w:szCs w:val="32"/>
        </w:rPr>
        <w:t>辆，其中</w:t>
      </w:r>
      <w:r>
        <w:rPr>
          <w:rFonts w:ascii="仿宋" w:hAnsi="Times New Roman" w:eastAsia="仿宋" w:cs="仿宋"/>
          <w:kern w:val="0"/>
          <w:sz w:val="32"/>
          <w:szCs w:val="32"/>
        </w:rPr>
        <w:t>:</w:t>
      </w:r>
      <w:r>
        <w:rPr>
          <w:rFonts w:hint="eastAsia" w:ascii="仿宋" w:hAnsi="Times New Roman" w:eastAsia="仿宋" w:cs="仿宋"/>
          <w:kern w:val="0"/>
          <w:sz w:val="32"/>
          <w:szCs w:val="32"/>
        </w:rPr>
        <w:t>一般公务用车</w:t>
      </w:r>
      <w:r>
        <w:rPr>
          <w:rFonts w:ascii="仿宋" w:hAnsi="Times New Roman" w:eastAsia="仿宋" w:cs="仿宋"/>
          <w:kern w:val="0"/>
          <w:sz w:val="32"/>
          <w:szCs w:val="32"/>
        </w:rPr>
        <w:t>0</w:t>
      </w:r>
      <w:r>
        <w:rPr>
          <w:rFonts w:hint="eastAsia" w:ascii="仿宋" w:hAnsi="Times New Roman" w:eastAsia="仿宋" w:cs="仿宋"/>
          <w:kern w:val="0"/>
          <w:sz w:val="32"/>
          <w:szCs w:val="32"/>
        </w:rPr>
        <w:t>辆、一般执法执勤用车</w:t>
      </w:r>
      <w:r>
        <w:rPr>
          <w:rFonts w:ascii="仿宋" w:hAnsi="Times New Roman" w:eastAsia="仿宋" w:cs="仿宋"/>
          <w:kern w:val="0"/>
          <w:sz w:val="32"/>
          <w:szCs w:val="32"/>
        </w:rPr>
        <w:t>8</w:t>
      </w:r>
      <w:r>
        <w:rPr>
          <w:rFonts w:hint="eastAsia" w:ascii="仿宋" w:hAnsi="Times New Roman" w:eastAsia="仿宋" w:cs="仿宋"/>
          <w:kern w:val="0"/>
          <w:sz w:val="32"/>
          <w:szCs w:val="32"/>
        </w:rPr>
        <w:t>辆、特种专业技术用车</w:t>
      </w:r>
      <w:r>
        <w:rPr>
          <w:rFonts w:ascii="仿宋" w:hAnsi="Times New Roman" w:eastAsia="仿宋" w:cs="仿宋"/>
          <w:kern w:val="0"/>
          <w:sz w:val="32"/>
          <w:szCs w:val="32"/>
        </w:rPr>
        <w:t>0</w:t>
      </w:r>
      <w:r>
        <w:rPr>
          <w:rFonts w:hint="eastAsia" w:ascii="仿宋" w:hAnsi="Times New Roman" w:eastAsia="仿宋" w:cs="仿宋"/>
          <w:kern w:val="0"/>
          <w:sz w:val="32"/>
          <w:szCs w:val="32"/>
        </w:rPr>
        <w:t>辆、其他用车</w:t>
      </w:r>
      <w:r>
        <w:rPr>
          <w:rFonts w:ascii="仿宋" w:hAnsi="Times New Roman" w:eastAsia="仿宋" w:cs="仿宋"/>
          <w:kern w:val="0"/>
          <w:sz w:val="32"/>
          <w:szCs w:val="32"/>
        </w:rPr>
        <w:t>1</w:t>
      </w:r>
      <w:r>
        <w:rPr>
          <w:rFonts w:hint="eastAsia" w:ascii="仿宋" w:hAnsi="Times New Roman" w:eastAsia="仿宋" w:cs="仿宋"/>
          <w:kern w:val="0"/>
          <w:sz w:val="32"/>
          <w:szCs w:val="32"/>
        </w:rPr>
        <w:t>辆；单位价值</w:t>
      </w:r>
      <w:r>
        <w:rPr>
          <w:rFonts w:ascii="仿宋" w:hAnsi="Times New Roman" w:eastAsia="仿宋" w:cs="仿宋"/>
          <w:kern w:val="0"/>
          <w:sz w:val="32"/>
          <w:szCs w:val="32"/>
        </w:rPr>
        <w:t>50</w:t>
      </w:r>
      <w:r>
        <w:rPr>
          <w:rFonts w:hint="eastAsia" w:ascii="仿宋" w:hAnsi="Times New Roman" w:eastAsia="仿宋" w:cs="仿宋"/>
          <w:kern w:val="0"/>
          <w:sz w:val="32"/>
          <w:szCs w:val="32"/>
        </w:rPr>
        <w:t>万元（含）以上通用设备</w:t>
      </w:r>
      <w:r>
        <w:rPr>
          <w:rFonts w:ascii="仿宋" w:hAnsi="Times New Roman" w:eastAsia="仿宋" w:cs="仿宋"/>
          <w:kern w:val="0"/>
          <w:sz w:val="32"/>
          <w:szCs w:val="32"/>
        </w:rPr>
        <w:t>0</w:t>
      </w:r>
      <w:r>
        <w:rPr>
          <w:rFonts w:hint="eastAsia" w:ascii="仿宋" w:hAnsi="Times New Roman" w:eastAsia="仿宋" w:cs="仿宋"/>
          <w:kern w:val="0"/>
          <w:sz w:val="32"/>
          <w:szCs w:val="32"/>
        </w:rPr>
        <w:t>套（台）</w:t>
      </w:r>
      <w:r>
        <w:rPr>
          <w:rFonts w:ascii="仿宋" w:hAnsi="Times New Roman" w:eastAsia="仿宋" w:cs="仿宋"/>
          <w:kern w:val="0"/>
          <w:sz w:val="32"/>
          <w:szCs w:val="32"/>
        </w:rPr>
        <w:t xml:space="preserve">; </w:t>
      </w:r>
      <w:r>
        <w:rPr>
          <w:rFonts w:hint="eastAsia" w:ascii="仿宋" w:hAnsi="Times New Roman" w:eastAsia="仿宋" w:cs="仿宋"/>
          <w:kern w:val="0"/>
          <w:sz w:val="32"/>
          <w:szCs w:val="32"/>
        </w:rPr>
        <w:t>单位价值</w:t>
      </w:r>
      <w:r>
        <w:rPr>
          <w:rFonts w:ascii="仿宋" w:hAnsi="Times New Roman" w:eastAsia="仿宋" w:cs="仿宋"/>
          <w:kern w:val="0"/>
          <w:sz w:val="32"/>
          <w:szCs w:val="32"/>
        </w:rPr>
        <w:t>100</w:t>
      </w:r>
      <w:r>
        <w:rPr>
          <w:rFonts w:hint="eastAsia" w:ascii="仿宋" w:hAnsi="Times New Roman" w:eastAsia="仿宋" w:cs="仿宋"/>
          <w:kern w:val="0"/>
          <w:sz w:val="32"/>
          <w:szCs w:val="32"/>
        </w:rPr>
        <w:t>万元（含）以上专用设备</w:t>
      </w:r>
      <w:r>
        <w:rPr>
          <w:rFonts w:ascii="仿宋" w:hAnsi="Times New Roman" w:eastAsia="仿宋" w:cs="仿宋"/>
          <w:kern w:val="0"/>
          <w:sz w:val="32"/>
          <w:szCs w:val="32"/>
        </w:rPr>
        <w:t>0</w:t>
      </w:r>
      <w:r>
        <w:rPr>
          <w:rFonts w:hint="eastAsia" w:ascii="仿宋" w:hAnsi="Times New Roman" w:eastAsia="仿宋" w:cs="仿宋"/>
          <w:kern w:val="0"/>
          <w:sz w:val="32"/>
          <w:szCs w:val="32"/>
        </w:rPr>
        <w:t>套（台）。</w:t>
      </w:r>
    </w:p>
    <w:p>
      <w:pPr>
        <w:autoSpaceDE w:val="0"/>
        <w:autoSpaceDN w:val="0"/>
        <w:adjustRightInd w:val="0"/>
        <w:spacing w:line="560" w:lineRule="exact"/>
        <w:ind w:firstLine="600"/>
        <w:rPr>
          <w:rFonts w:ascii="仿宋" w:hAnsi="Times New Roman" w:eastAsia="仿宋" w:cs="Times New Roman"/>
          <w:kern w:val="0"/>
          <w:sz w:val="32"/>
          <w:szCs w:val="32"/>
        </w:rPr>
      </w:pPr>
      <w:r>
        <w:rPr>
          <w:rFonts w:ascii="仿宋" w:hAnsi="Times New Roman" w:eastAsia="仿宋" w:cs="仿宋"/>
          <w:kern w:val="0"/>
          <w:sz w:val="32"/>
          <w:szCs w:val="32"/>
        </w:rPr>
        <w:t>4</w:t>
      </w:r>
      <w:r>
        <w:rPr>
          <w:rFonts w:hint="eastAsia" w:ascii="仿宋" w:hAnsi="Times New Roman" w:eastAsia="仿宋" w:cs="仿宋"/>
          <w:kern w:val="0"/>
          <w:sz w:val="32"/>
          <w:szCs w:val="32"/>
        </w:rPr>
        <w:t>、绩效评价结果情况</w:t>
      </w:r>
    </w:p>
    <w:p>
      <w:pPr>
        <w:autoSpaceDE w:val="0"/>
        <w:autoSpaceDN w:val="0"/>
        <w:adjustRightInd w:val="0"/>
        <w:spacing w:line="540" w:lineRule="exact"/>
        <w:ind w:firstLine="480" w:firstLineChars="150"/>
        <w:jc w:val="left"/>
        <w:rPr>
          <w:rFonts w:ascii="仿宋" w:hAnsi="Times New Roman" w:eastAsia="仿宋" w:cs="Times New Roman"/>
          <w:kern w:val="0"/>
          <w:sz w:val="32"/>
          <w:szCs w:val="32"/>
        </w:rPr>
      </w:pPr>
      <w:r>
        <w:rPr>
          <w:rFonts w:ascii="仿宋" w:hAnsi="Times New Roman" w:eastAsia="仿宋" w:cs="仿宋"/>
          <w:kern w:val="0"/>
          <w:sz w:val="32"/>
          <w:szCs w:val="32"/>
        </w:rPr>
        <w:t>(1)</w:t>
      </w:r>
      <w:r>
        <w:rPr>
          <w:rFonts w:hint="eastAsia" w:ascii="仿宋" w:hAnsi="Times New Roman" w:eastAsia="仿宋" w:cs="仿宋"/>
          <w:kern w:val="0"/>
          <w:sz w:val="32"/>
          <w:szCs w:val="32"/>
        </w:rPr>
        <w:t>部门开展的绩效自评情况。</w:t>
      </w:r>
    </w:p>
    <w:p>
      <w:pPr>
        <w:autoSpaceDE w:val="0"/>
        <w:autoSpaceDN w:val="0"/>
        <w:adjustRightInd w:val="0"/>
        <w:spacing w:line="560" w:lineRule="exact"/>
        <w:ind w:firstLine="480" w:firstLineChars="150"/>
        <w:jc w:val="left"/>
        <w:rPr>
          <w:rFonts w:ascii="仿宋" w:hAnsi="Times New Roman" w:eastAsia="仿宋" w:cs="Times New Roman"/>
          <w:kern w:val="0"/>
          <w:sz w:val="32"/>
          <w:szCs w:val="32"/>
        </w:rPr>
      </w:pPr>
      <w:r>
        <w:rPr>
          <w:rFonts w:hint="eastAsia" w:ascii="仿宋" w:hAnsi="Times New Roman" w:eastAsia="仿宋" w:cs="仿宋"/>
          <w:kern w:val="0"/>
          <w:sz w:val="32"/>
          <w:szCs w:val="32"/>
        </w:rPr>
        <w:t>根据预算管理要求，本部门组织对</w:t>
      </w:r>
      <w:r>
        <w:rPr>
          <w:rFonts w:ascii="仿宋" w:hAnsi="Times New Roman" w:eastAsia="仿宋" w:cs="仿宋"/>
          <w:kern w:val="0"/>
          <w:sz w:val="32"/>
          <w:szCs w:val="32"/>
        </w:rPr>
        <w:t>2017</w:t>
      </w:r>
      <w:r>
        <w:rPr>
          <w:rFonts w:hint="eastAsia" w:ascii="仿宋" w:hAnsi="Times New Roman" w:eastAsia="仿宋" w:cs="仿宋"/>
          <w:kern w:val="0"/>
          <w:sz w:val="32"/>
          <w:szCs w:val="32"/>
        </w:rPr>
        <w:t>年度一般公共预算项目支出开展了绩效自评，自评项目</w:t>
      </w:r>
      <w:r>
        <w:rPr>
          <w:rFonts w:ascii="仿宋" w:hAnsi="Times New Roman" w:eastAsia="仿宋" w:cs="仿宋"/>
          <w:sz w:val="32"/>
          <w:szCs w:val="32"/>
        </w:rPr>
        <w:t>5</w:t>
      </w:r>
      <w:r>
        <w:rPr>
          <w:rFonts w:hint="eastAsia" w:ascii="仿宋" w:hAnsi="Times New Roman" w:eastAsia="仿宋" w:cs="仿宋"/>
          <w:kern w:val="0"/>
          <w:sz w:val="32"/>
          <w:szCs w:val="32"/>
        </w:rPr>
        <w:t>个，共涉及资金</w:t>
      </w:r>
      <w:r>
        <w:rPr>
          <w:rFonts w:ascii="仿宋" w:hAnsi="Times New Roman" w:eastAsia="仿宋" w:cs="仿宋"/>
          <w:kern w:val="0"/>
          <w:sz w:val="32"/>
          <w:szCs w:val="32"/>
        </w:rPr>
        <w:t>860</w:t>
      </w:r>
      <w:r>
        <w:rPr>
          <w:rFonts w:hint="eastAsia" w:ascii="仿宋" w:hAnsi="Times New Roman" w:eastAsia="仿宋" w:cs="仿宋"/>
          <w:kern w:val="0"/>
          <w:sz w:val="32"/>
          <w:szCs w:val="32"/>
        </w:rPr>
        <w:t>万元，占项目支出预算总额的</w:t>
      </w:r>
      <w:r>
        <w:rPr>
          <w:rFonts w:ascii="仿宋" w:hAnsi="Times New Roman" w:eastAsia="仿宋" w:cs="仿宋"/>
          <w:kern w:val="0"/>
          <w:sz w:val="32"/>
          <w:szCs w:val="32"/>
        </w:rPr>
        <w:t>100%</w:t>
      </w:r>
      <w:r>
        <w:rPr>
          <w:rFonts w:hint="eastAsia" w:ascii="仿宋" w:hAnsi="Times New Roman" w:eastAsia="仿宋" w:cs="仿宋"/>
          <w:kern w:val="0"/>
          <w:sz w:val="32"/>
          <w:szCs w:val="32"/>
        </w:rPr>
        <w:t>。绩效评价结果显示，自评结果为优秀</w:t>
      </w:r>
      <w:r>
        <w:rPr>
          <w:rFonts w:ascii="仿宋" w:hAnsi="Times New Roman" w:eastAsia="仿宋" w:cs="仿宋"/>
          <w:sz w:val="32"/>
          <w:szCs w:val="32"/>
        </w:rPr>
        <w:t>4</w:t>
      </w:r>
      <w:r>
        <w:rPr>
          <w:rFonts w:hint="eastAsia" w:ascii="仿宋" w:hAnsi="Times New Roman" w:eastAsia="仿宋" w:cs="仿宋"/>
          <w:kern w:val="0"/>
          <w:sz w:val="32"/>
          <w:szCs w:val="32"/>
        </w:rPr>
        <w:t>个，良好</w:t>
      </w:r>
      <w:r>
        <w:rPr>
          <w:rFonts w:ascii="仿宋" w:hAnsi="Times New Roman" w:eastAsia="仿宋" w:cs="仿宋"/>
          <w:sz w:val="32"/>
          <w:szCs w:val="32"/>
        </w:rPr>
        <w:t>1</w:t>
      </w:r>
      <w:r>
        <w:rPr>
          <w:rFonts w:hint="eastAsia" w:ascii="仿宋" w:hAnsi="Times New Roman" w:eastAsia="仿宋" w:cs="仿宋"/>
          <w:kern w:val="0"/>
          <w:sz w:val="32"/>
          <w:szCs w:val="32"/>
        </w:rPr>
        <w:t>个，一般</w:t>
      </w:r>
      <w:r>
        <w:rPr>
          <w:rFonts w:ascii="仿宋" w:hAnsi="Times New Roman" w:eastAsia="仿宋" w:cs="仿宋"/>
          <w:sz w:val="32"/>
          <w:szCs w:val="32"/>
        </w:rPr>
        <w:t>0</w:t>
      </w:r>
      <w:r>
        <w:rPr>
          <w:rFonts w:hint="eastAsia" w:ascii="仿宋" w:hAnsi="Times New Roman" w:eastAsia="仿宋" w:cs="仿宋"/>
          <w:kern w:val="0"/>
          <w:sz w:val="32"/>
          <w:szCs w:val="32"/>
        </w:rPr>
        <w:t>个，较差</w:t>
      </w:r>
      <w:r>
        <w:rPr>
          <w:rFonts w:ascii="仿宋" w:hAnsi="Times New Roman" w:eastAsia="仿宋" w:cs="仿宋"/>
          <w:sz w:val="32"/>
          <w:szCs w:val="32"/>
        </w:rPr>
        <w:t>0</w:t>
      </w:r>
      <w:r>
        <w:rPr>
          <w:rFonts w:hint="eastAsia" w:ascii="仿宋" w:hAnsi="Times New Roman" w:eastAsia="仿宋" w:cs="仿宋"/>
          <w:kern w:val="0"/>
          <w:sz w:val="32"/>
          <w:szCs w:val="32"/>
        </w:rPr>
        <w:t>个。</w:t>
      </w:r>
    </w:p>
    <w:p>
      <w:pPr>
        <w:autoSpaceDE w:val="0"/>
        <w:autoSpaceDN w:val="0"/>
        <w:adjustRightInd w:val="0"/>
        <w:spacing w:line="560" w:lineRule="exact"/>
        <w:ind w:firstLine="480" w:firstLineChars="150"/>
        <w:jc w:val="left"/>
        <w:rPr>
          <w:rFonts w:ascii="仿宋" w:hAnsi="Times New Roman" w:eastAsia="仿宋" w:cs="Times New Roman"/>
          <w:kern w:val="0"/>
          <w:sz w:val="32"/>
          <w:szCs w:val="32"/>
        </w:rPr>
      </w:pPr>
      <w:r>
        <w:rPr>
          <w:rFonts w:ascii="仿宋" w:hAnsi="Times New Roman" w:eastAsia="仿宋" w:cs="仿宋"/>
          <w:kern w:val="0"/>
          <w:sz w:val="32"/>
          <w:szCs w:val="32"/>
        </w:rPr>
        <w:t xml:space="preserve"> (2)</w:t>
      </w:r>
      <w:r>
        <w:rPr>
          <w:rFonts w:hint="eastAsia" w:ascii="仿宋" w:hAnsi="Times New Roman" w:eastAsia="仿宋" w:cs="仿宋"/>
          <w:kern w:val="0"/>
          <w:sz w:val="32"/>
          <w:szCs w:val="32"/>
        </w:rPr>
        <w:t>财政部门组织开展的绩效评价情况</w:t>
      </w:r>
    </w:p>
    <w:p>
      <w:pPr>
        <w:autoSpaceDE w:val="0"/>
        <w:autoSpaceDN w:val="0"/>
        <w:adjustRightInd w:val="0"/>
        <w:spacing w:line="560" w:lineRule="exact"/>
        <w:ind w:firstLine="480" w:firstLineChars="150"/>
        <w:jc w:val="left"/>
        <w:rPr>
          <w:rFonts w:ascii="仿宋" w:hAnsi="Times New Roman" w:eastAsia="仿宋" w:cs="Times New Roman"/>
          <w:kern w:val="0"/>
          <w:sz w:val="32"/>
          <w:szCs w:val="32"/>
        </w:rPr>
      </w:pPr>
      <w:r>
        <w:rPr>
          <w:rFonts w:ascii="仿宋" w:hAnsi="Times New Roman" w:eastAsia="仿宋" w:cs="仿宋"/>
          <w:kern w:val="0"/>
          <w:sz w:val="32"/>
          <w:szCs w:val="32"/>
        </w:rPr>
        <w:t>2017</w:t>
      </w:r>
      <w:r>
        <w:rPr>
          <w:rFonts w:hint="eastAsia" w:ascii="仿宋" w:hAnsi="Times New Roman" w:eastAsia="仿宋" w:cs="仿宋"/>
          <w:kern w:val="0"/>
          <w:sz w:val="32"/>
          <w:szCs w:val="32"/>
        </w:rPr>
        <w:t>年度本部门由财政部门组织开展的绩效评价项目</w:t>
      </w:r>
      <w:r>
        <w:rPr>
          <w:rFonts w:ascii="仿宋" w:hAnsi="Times New Roman" w:eastAsia="仿宋" w:cs="仿宋"/>
          <w:sz w:val="32"/>
          <w:szCs w:val="32"/>
        </w:rPr>
        <w:t>0</w:t>
      </w:r>
      <w:r>
        <w:rPr>
          <w:rFonts w:hint="eastAsia" w:ascii="仿宋" w:hAnsi="Times New Roman" w:eastAsia="仿宋" w:cs="仿宋"/>
          <w:kern w:val="0"/>
          <w:sz w:val="32"/>
          <w:szCs w:val="32"/>
        </w:rPr>
        <w:t>个，支出金额共计</w:t>
      </w:r>
      <w:r>
        <w:rPr>
          <w:rFonts w:ascii="仿宋" w:hAnsi="Times New Roman" w:eastAsia="仿宋" w:cs="仿宋"/>
          <w:kern w:val="0"/>
          <w:sz w:val="32"/>
          <w:szCs w:val="32"/>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（十）其他需要公开的事项</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 w:hAnsi="Times New Roman" w:eastAsia="仿宋" w:cs="仿宋"/>
          <w:kern w:val="0"/>
          <w:sz w:val="32"/>
          <w:szCs w:val="32"/>
        </w:rPr>
        <w:t>无</w:t>
      </w:r>
    </w:p>
    <w:p>
      <w:pPr>
        <w:spacing w:line="600" w:lineRule="exact"/>
        <w:ind w:firstLine="640" w:firstLineChars="200"/>
        <w:rPr>
          <w:rFonts w:ascii="黑体" w:eastAsia="黑体" w:cs="Times New Roman"/>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cs="仿宋_GB2312"/>
          <w:b/>
          <w:bCs/>
          <w:sz w:val="32"/>
          <w:szCs w:val="32"/>
        </w:rPr>
        <w:t>（所列具体项目由各部门按本部门情况有选择使用）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财政拨款收入：从同级财政部门取得的财政拨款，包括一般公共预算财政拨款和政府性基金预算财政拨款。</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其他收入：预算单位在“财政拨款”、“事业收入”、“经营收入”、“附属单位上缴收入”等之外取得的各项收入。</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年初结转和结余：预算单位以前年度尚未完成、结转到本年按有关规定继续使用的资金。</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ascii="仿宋_GB2312" w:hAnsi="仿宋_GB2312" w:eastAsia="仿宋_GB2312" w:cs="仿宋_GB2312"/>
          <w:sz w:val="32"/>
          <w:szCs w:val="32"/>
        </w:rPr>
        <w:t xml:space="preserve">    6.</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项目支出：是预算单位为完成其特定的行政工作任务或事业发展目标，在基本支出之外发生的各项支出。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公务用车购置：反映公务用车购置支出（含车辆购置税、牌照费）。</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公务用车运行维护费：反映按规定保留的公务用车燃料费、维修费、过桥过路费、保险费等支出。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固定资产：是指使用期限超过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年（不含</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年），单位价值在规定标准以上，并且在使用过程中基本保持原有物质形态的资产。</w:t>
      </w:r>
    </w:p>
    <w:p>
      <w:pPr>
        <w:spacing w:line="360" w:lineRule="auto"/>
        <w:ind w:firstLine="640" w:firstLineChars="200"/>
        <w:rPr>
          <w:rFonts w:ascii="仿宋" w:hAnsi="仿宋" w:eastAsia="仿宋" w:cs="Times New Roman"/>
          <w:sz w:val="32"/>
          <w:szCs w:val="32"/>
        </w:rPr>
      </w:pPr>
      <w:r>
        <w:rPr>
          <w:rFonts w:ascii="仿宋" w:hAnsi="仿宋" w:eastAsia="仿宋" w:cs="仿宋"/>
          <w:sz w:val="32"/>
          <w:szCs w:val="32"/>
        </w:rPr>
        <w:t>15.</w:t>
      </w:r>
      <w:r>
        <w:rPr>
          <w:rFonts w:hint="eastAsia" w:ascii="仿宋" w:hAnsi="仿宋" w:eastAsia="仿宋" w:cs="仿宋"/>
          <w:sz w:val="32"/>
          <w:szCs w:val="32"/>
        </w:rPr>
        <w:t>无形资产：是指不具有实物形态而能为单位提供某种权利的非货币性资产。包括计算机软件、土地使用权、著作权、专利权、非专利技术等。</w:t>
      </w:r>
    </w:p>
    <w:p>
      <w:pPr>
        <w:spacing w:line="360" w:lineRule="auto"/>
        <w:ind w:firstLine="640" w:firstLineChars="200"/>
        <w:rPr>
          <w:rFonts w:ascii="仿宋" w:hAnsi="仿宋" w:eastAsia="仿宋" w:cs="Times New Roman"/>
          <w:kern w:val="0"/>
          <w:sz w:val="32"/>
          <w:szCs w:val="32"/>
        </w:rPr>
      </w:pPr>
      <w:r>
        <w:rPr>
          <w:rFonts w:ascii="仿宋" w:hAnsi="仿宋" w:eastAsia="仿宋" w:cs="仿宋"/>
          <w:kern w:val="0"/>
          <w:sz w:val="32"/>
          <w:szCs w:val="32"/>
        </w:rPr>
        <w:t xml:space="preserve">16. </w:t>
      </w:r>
      <w:r>
        <w:rPr>
          <w:rFonts w:hint="eastAsia" w:ascii="仿宋" w:hAnsi="仿宋" w:eastAsia="仿宋" w:cs="仿宋"/>
          <w:kern w:val="0"/>
          <w:sz w:val="32"/>
          <w:szCs w:val="32"/>
        </w:rPr>
        <w:t>一般公共服务支出（</w:t>
      </w:r>
      <w:r>
        <w:rPr>
          <w:rFonts w:ascii="仿宋" w:hAnsi="仿宋" w:eastAsia="仿宋" w:cs="仿宋"/>
          <w:kern w:val="0"/>
          <w:sz w:val="32"/>
          <w:szCs w:val="32"/>
        </w:rPr>
        <w:t>201</w:t>
      </w:r>
      <w:r>
        <w:rPr>
          <w:rFonts w:hint="eastAsia" w:ascii="仿宋" w:hAnsi="仿宋" w:eastAsia="仿宋" w:cs="仿宋"/>
          <w:kern w:val="0"/>
          <w:sz w:val="32"/>
          <w:szCs w:val="32"/>
        </w:rPr>
        <w:t>）：指政府提供公共服务的支出。</w:t>
      </w:r>
    </w:p>
    <w:p>
      <w:pPr>
        <w:spacing w:line="360" w:lineRule="auto"/>
        <w:ind w:firstLine="640" w:firstLineChars="200"/>
        <w:rPr>
          <w:rFonts w:ascii="仿宋" w:hAnsi="仿宋" w:eastAsia="仿宋" w:cs="Times New Roman"/>
          <w:sz w:val="32"/>
          <w:szCs w:val="32"/>
        </w:rPr>
      </w:pPr>
      <w:r>
        <w:rPr>
          <w:rFonts w:ascii="仿宋" w:hAnsi="仿宋" w:eastAsia="仿宋" w:cs="仿宋"/>
          <w:kern w:val="0"/>
          <w:sz w:val="32"/>
          <w:szCs w:val="32"/>
        </w:rPr>
        <w:t>17.</w:t>
      </w:r>
      <w:r>
        <w:rPr>
          <w:rFonts w:hint="eastAsia" w:ascii="仿宋" w:hAnsi="仿宋" w:eastAsia="仿宋" w:cs="仿宋"/>
          <w:kern w:val="0"/>
          <w:sz w:val="32"/>
          <w:szCs w:val="32"/>
        </w:rPr>
        <w:t>纪检监察事务（</w:t>
      </w:r>
      <w:r>
        <w:rPr>
          <w:rFonts w:ascii="仿宋" w:hAnsi="仿宋" w:eastAsia="仿宋" w:cs="仿宋"/>
          <w:kern w:val="0"/>
          <w:sz w:val="32"/>
          <w:szCs w:val="32"/>
        </w:rPr>
        <w:t>20111</w:t>
      </w:r>
      <w:r>
        <w:rPr>
          <w:rFonts w:hint="eastAsia" w:ascii="仿宋" w:hAnsi="仿宋" w:eastAsia="仿宋" w:cs="仿宋"/>
          <w:kern w:val="0"/>
          <w:sz w:val="32"/>
          <w:szCs w:val="32"/>
        </w:rPr>
        <w:t>）：指纪检、监察方面的支出。</w:t>
      </w:r>
    </w:p>
    <w:p>
      <w:pPr>
        <w:spacing w:line="360" w:lineRule="auto"/>
        <w:ind w:firstLine="640" w:firstLineChars="200"/>
        <w:rPr>
          <w:rFonts w:ascii="仿宋" w:hAnsi="仿宋" w:eastAsia="仿宋" w:cs="Times New Roman"/>
          <w:color w:val="000000"/>
          <w:kern w:val="0"/>
          <w:sz w:val="32"/>
          <w:szCs w:val="32"/>
        </w:rPr>
      </w:pPr>
      <w:r>
        <w:rPr>
          <w:rFonts w:ascii="仿宋" w:hAnsi="仿宋" w:eastAsia="仿宋" w:cs="仿宋"/>
          <w:color w:val="000000"/>
          <w:kern w:val="0"/>
          <w:sz w:val="32"/>
          <w:szCs w:val="32"/>
        </w:rPr>
        <w:t xml:space="preserve">18.  </w:t>
      </w:r>
      <w:r>
        <w:rPr>
          <w:rFonts w:hint="eastAsia" w:ascii="仿宋" w:hAnsi="仿宋" w:eastAsia="仿宋" w:cs="仿宋"/>
          <w:color w:val="000000"/>
          <w:kern w:val="0"/>
          <w:sz w:val="32"/>
          <w:szCs w:val="32"/>
        </w:rPr>
        <w:t>行政运行（</w:t>
      </w:r>
      <w:r>
        <w:rPr>
          <w:rFonts w:ascii="仿宋" w:hAnsi="仿宋" w:eastAsia="仿宋" w:cs="仿宋"/>
          <w:color w:val="000000"/>
          <w:kern w:val="0"/>
          <w:sz w:val="32"/>
          <w:szCs w:val="32"/>
        </w:rPr>
        <w:t>2011101</w:t>
      </w:r>
      <w:r>
        <w:rPr>
          <w:rFonts w:hint="eastAsia" w:ascii="仿宋" w:hAnsi="仿宋" w:eastAsia="仿宋" w:cs="仿宋"/>
          <w:color w:val="000000"/>
          <w:kern w:val="0"/>
          <w:sz w:val="32"/>
          <w:szCs w:val="32"/>
        </w:rPr>
        <w:t>）：指行政单位（包括实行公务员管理的事业单位）的基本支出。</w:t>
      </w:r>
    </w:p>
    <w:p>
      <w:pPr>
        <w:spacing w:line="360" w:lineRule="auto"/>
        <w:ind w:firstLine="640" w:firstLineChars="200"/>
        <w:rPr>
          <w:rFonts w:ascii="仿宋" w:hAnsi="仿宋" w:eastAsia="仿宋" w:cs="Times New Roman"/>
          <w:color w:val="000000"/>
          <w:kern w:val="0"/>
          <w:sz w:val="32"/>
          <w:szCs w:val="32"/>
        </w:rPr>
      </w:pPr>
      <w:r>
        <w:rPr>
          <w:rFonts w:ascii="仿宋" w:hAnsi="仿宋" w:eastAsia="仿宋" w:cs="仿宋"/>
          <w:color w:val="000000"/>
          <w:kern w:val="0"/>
          <w:sz w:val="32"/>
          <w:szCs w:val="32"/>
        </w:rPr>
        <w:t>19.</w:t>
      </w:r>
      <w:r>
        <w:rPr>
          <w:rFonts w:hint="eastAsia" w:ascii="仿宋" w:hAnsi="仿宋" w:eastAsia="仿宋" w:cs="仿宋"/>
          <w:color w:val="000000"/>
          <w:kern w:val="0"/>
          <w:sz w:val="32"/>
          <w:szCs w:val="32"/>
        </w:rPr>
        <w:t>一般行政管理事务（</w:t>
      </w:r>
      <w:r>
        <w:rPr>
          <w:rFonts w:ascii="仿宋" w:hAnsi="仿宋" w:eastAsia="仿宋" w:cs="仿宋"/>
          <w:color w:val="000000"/>
          <w:kern w:val="0"/>
          <w:sz w:val="32"/>
          <w:szCs w:val="32"/>
        </w:rPr>
        <w:t>2011102</w:t>
      </w:r>
      <w:r>
        <w:rPr>
          <w:rFonts w:hint="eastAsia" w:ascii="仿宋" w:hAnsi="仿宋" w:eastAsia="仿宋" w:cs="仿宋"/>
          <w:color w:val="000000"/>
          <w:kern w:val="0"/>
          <w:sz w:val="32"/>
          <w:szCs w:val="32"/>
        </w:rPr>
        <w:t>：指行政单位（包括实行公务员管理的事业单位）未单独设置项级科目的其他项目支出。</w:t>
      </w:r>
    </w:p>
    <w:p>
      <w:pPr>
        <w:spacing w:line="360" w:lineRule="auto"/>
        <w:ind w:firstLine="640" w:firstLineChars="200"/>
        <w:rPr>
          <w:rFonts w:ascii="仿宋" w:hAnsi="仿宋" w:eastAsia="仿宋" w:cs="Times New Roman"/>
          <w:color w:val="000000"/>
          <w:kern w:val="0"/>
          <w:sz w:val="32"/>
          <w:szCs w:val="32"/>
        </w:rPr>
      </w:pPr>
      <w:r>
        <w:rPr>
          <w:rFonts w:ascii="仿宋" w:hAnsi="仿宋" w:eastAsia="仿宋" w:cs="仿宋"/>
          <w:color w:val="000000"/>
          <w:kern w:val="0"/>
          <w:sz w:val="32"/>
          <w:szCs w:val="32"/>
        </w:rPr>
        <w:t xml:space="preserve">20.  </w:t>
      </w:r>
      <w:r>
        <w:rPr>
          <w:rFonts w:hint="eastAsia" w:ascii="仿宋" w:hAnsi="仿宋" w:eastAsia="仿宋" w:cs="仿宋"/>
          <w:color w:val="000000"/>
          <w:kern w:val="0"/>
          <w:sz w:val="32"/>
          <w:szCs w:val="32"/>
        </w:rPr>
        <w:t>其他纪检监察事务支出（</w:t>
      </w:r>
      <w:r>
        <w:rPr>
          <w:rFonts w:ascii="仿宋" w:hAnsi="仿宋" w:eastAsia="仿宋" w:cs="仿宋"/>
          <w:color w:val="000000"/>
          <w:kern w:val="0"/>
          <w:sz w:val="32"/>
          <w:szCs w:val="32"/>
        </w:rPr>
        <w:t>2011199</w:t>
      </w:r>
      <w:r>
        <w:rPr>
          <w:rFonts w:hint="eastAsia" w:ascii="仿宋" w:hAnsi="仿宋" w:eastAsia="仿宋" w:cs="仿宋"/>
          <w:color w:val="000000"/>
          <w:kern w:val="0"/>
          <w:sz w:val="32"/>
          <w:szCs w:val="32"/>
        </w:rPr>
        <w:t>）：是指上述项目以外其他纪检监察事物方面的支出。</w:t>
      </w:r>
    </w:p>
    <w:p>
      <w:pPr>
        <w:spacing w:line="360" w:lineRule="auto"/>
        <w:ind w:firstLine="640" w:firstLineChars="200"/>
        <w:rPr>
          <w:rFonts w:ascii="仿宋" w:hAnsi="仿宋" w:eastAsia="仿宋" w:cs="Times New Roman"/>
          <w:kern w:val="0"/>
          <w:sz w:val="32"/>
          <w:szCs w:val="32"/>
        </w:rPr>
      </w:pPr>
      <w:r>
        <w:rPr>
          <w:rFonts w:ascii="仿宋" w:hAnsi="仿宋" w:eastAsia="仿宋" w:cs="仿宋"/>
          <w:kern w:val="0"/>
          <w:sz w:val="32"/>
          <w:szCs w:val="32"/>
        </w:rPr>
        <w:t>21</w:t>
      </w:r>
      <w:r>
        <w:rPr>
          <w:rFonts w:hint="eastAsia" w:ascii="仿宋" w:hAnsi="仿宋" w:eastAsia="仿宋" w:cs="仿宋"/>
          <w:kern w:val="0"/>
          <w:sz w:val="32"/>
          <w:szCs w:val="32"/>
        </w:rPr>
        <w:t>．社会保障和就业支出（</w:t>
      </w:r>
      <w:r>
        <w:rPr>
          <w:rFonts w:ascii="仿宋" w:hAnsi="仿宋" w:eastAsia="仿宋" w:cs="仿宋"/>
          <w:kern w:val="0"/>
          <w:sz w:val="32"/>
          <w:szCs w:val="32"/>
        </w:rPr>
        <w:t>208</w:t>
      </w:r>
      <w:r>
        <w:rPr>
          <w:rFonts w:hint="eastAsia" w:ascii="仿宋" w:hAnsi="仿宋" w:eastAsia="仿宋" w:cs="仿宋"/>
          <w:kern w:val="0"/>
          <w:sz w:val="32"/>
          <w:szCs w:val="32"/>
        </w:rPr>
        <w:t>）：指政府在社会保障与就业方面的支出。</w:t>
      </w:r>
    </w:p>
    <w:p>
      <w:pPr>
        <w:spacing w:line="360" w:lineRule="auto"/>
        <w:ind w:firstLine="640" w:firstLineChars="200"/>
        <w:rPr>
          <w:rFonts w:ascii="仿宋" w:hAnsi="仿宋" w:eastAsia="仿宋" w:cs="Times New Roman"/>
          <w:kern w:val="0"/>
          <w:sz w:val="32"/>
          <w:szCs w:val="32"/>
        </w:rPr>
      </w:pPr>
      <w:r>
        <w:rPr>
          <w:rFonts w:ascii="仿宋" w:hAnsi="仿宋" w:eastAsia="仿宋" w:cs="仿宋"/>
          <w:kern w:val="0"/>
          <w:sz w:val="32"/>
          <w:szCs w:val="32"/>
        </w:rPr>
        <w:t xml:space="preserve">22. </w:t>
      </w:r>
      <w:r>
        <w:rPr>
          <w:rFonts w:hint="eastAsia" w:ascii="仿宋" w:hAnsi="仿宋" w:eastAsia="仿宋" w:cs="仿宋"/>
          <w:kern w:val="0"/>
          <w:sz w:val="32"/>
          <w:szCs w:val="32"/>
        </w:rPr>
        <w:t>机关事业单位基本养老保险缴费支出（</w:t>
      </w:r>
      <w:r>
        <w:rPr>
          <w:rFonts w:ascii="仿宋" w:hAnsi="仿宋" w:eastAsia="仿宋" w:cs="仿宋"/>
          <w:kern w:val="0"/>
          <w:sz w:val="32"/>
          <w:szCs w:val="32"/>
        </w:rPr>
        <w:t>2080505</w:t>
      </w:r>
      <w:r>
        <w:rPr>
          <w:rFonts w:hint="eastAsia" w:ascii="仿宋" w:hAnsi="仿宋" w:eastAsia="仿宋" w:cs="仿宋"/>
          <w:sz w:val="32"/>
          <w:szCs w:val="32"/>
        </w:rPr>
        <w:t>）：</w:t>
      </w:r>
      <w:r>
        <w:rPr>
          <w:rFonts w:hint="eastAsia" w:ascii="仿宋" w:hAnsi="仿宋" w:eastAsia="仿宋" w:cs="仿宋"/>
          <w:kern w:val="0"/>
          <w:sz w:val="32"/>
          <w:szCs w:val="32"/>
        </w:rPr>
        <w:t>指机关事业单位实施养老保险制度由单位缴纳的基本养老保险费支出。</w:t>
      </w:r>
    </w:p>
    <w:p>
      <w:pPr>
        <w:spacing w:line="360" w:lineRule="auto"/>
        <w:ind w:firstLine="640" w:firstLineChars="200"/>
        <w:rPr>
          <w:rFonts w:ascii="仿宋" w:hAnsi="仿宋" w:eastAsia="仿宋" w:cs="Times New Roman"/>
          <w:color w:val="000000"/>
          <w:kern w:val="0"/>
          <w:sz w:val="32"/>
          <w:szCs w:val="32"/>
        </w:rPr>
      </w:pPr>
      <w:r>
        <w:rPr>
          <w:rFonts w:ascii="仿宋" w:hAnsi="仿宋" w:eastAsia="仿宋" w:cs="仿宋"/>
          <w:kern w:val="0"/>
          <w:sz w:val="32"/>
          <w:szCs w:val="32"/>
        </w:rPr>
        <w:t>23.</w:t>
      </w:r>
      <w:r>
        <w:rPr>
          <w:rFonts w:hint="eastAsia" w:ascii="仿宋" w:hAnsi="仿宋" w:eastAsia="仿宋" w:cs="仿宋"/>
          <w:kern w:val="0"/>
          <w:sz w:val="32"/>
          <w:szCs w:val="32"/>
        </w:rPr>
        <w:t>机关事业单位职业年金缴费支出（</w:t>
      </w:r>
      <w:r>
        <w:rPr>
          <w:rFonts w:ascii="仿宋" w:hAnsi="仿宋" w:eastAsia="仿宋" w:cs="仿宋"/>
          <w:kern w:val="0"/>
          <w:sz w:val="32"/>
          <w:szCs w:val="32"/>
        </w:rPr>
        <w:t>2080506</w:t>
      </w:r>
      <w:r>
        <w:rPr>
          <w:rFonts w:hint="eastAsia" w:ascii="仿宋" w:hAnsi="仿宋" w:eastAsia="仿宋" w:cs="仿宋"/>
          <w:kern w:val="0"/>
          <w:sz w:val="32"/>
          <w:szCs w:val="32"/>
        </w:rPr>
        <w:t>）：指机关事业单位实施养老保险制度由单位实际缴纳的职业年金支出。</w:t>
      </w:r>
    </w:p>
    <w:p>
      <w:pPr>
        <w:pStyle w:val="6"/>
        <w:spacing w:before="0" w:beforeAutospacing="0" w:after="0" w:afterAutospacing="0" w:line="360" w:lineRule="auto"/>
        <w:ind w:firstLine="645"/>
        <w:rPr>
          <w:rFonts w:ascii="仿宋" w:hAnsi="仿宋" w:eastAsia="仿宋" w:cs="Times New Roman"/>
          <w:sz w:val="32"/>
          <w:szCs w:val="32"/>
        </w:rPr>
      </w:pPr>
      <w:r>
        <w:rPr>
          <w:rFonts w:ascii="仿宋" w:hAnsi="仿宋" w:eastAsia="仿宋" w:cs="仿宋"/>
          <w:sz w:val="32"/>
          <w:szCs w:val="32"/>
        </w:rPr>
        <w:t xml:space="preserve">24.  </w:t>
      </w:r>
      <w:r>
        <w:rPr>
          <w:rFonts w:hint="eastAsia" w:ascii="仿宋" w:hAnsi="仿宋" w:eastAsia="仿宋" w:cs="仿宋"/>
          <w:sz w:val="32"/>
          <w:szCs w:val="32"/>
        </w:rPr>
        <w:t>医疗卫生与计划生育支出（</w:t>
      </w:r>
      <w:r>
        <w:rPr>
          <w:rFonts w:ascii="仿宋" w:hAnsi="仿宋" w:eastAsia="仿宋" w:cs="仿宋"/>
          <w:sz w:val="32"/>
          <w:szCs w:val="32"/>
        </w:rPr>
        <w:t>210</w:t>
      </w:r>
      <w:r>
        <w:rPr>
          <w:rFonts w:hint="eastAsia" w:ascii="仿宋" w:hAnsi="仿宋" w:eastAsia="仿宋" w:cs="仿宋"/>
          <w:sz w:val="32"/>
          <w:szCs w:val="32"/>
        </w:rPr>
        <w:t>）：是指政府医疗卫生与计划生育方面的支出。</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 xml:space="preserve">25. </w:t>
      </w:r>
      <w:r>
        <w:rPr>
          <w:rFonts w:hint="eastAsia" w:ascii="仿宋" w:hAnsi="仿宋" w:eastAsia="仿宋" w:cs="仿宋"/>
          <w:color w:val="000000"/>
          <w:kern w:val="2"/>
          <w:sz w:val="32"/>
          <w:szCs w:val="32"/>
        </w:rPr>
        <w:t>住房保障支出（</w:t>
      </w:r>
      <w:r>
        <w:rPr>
          <w:rFonts w:ascii="仿宋" w:hAnsi="仿宋" w:eastAsia="仿宋" w:cs="仿宋"/>
          <w:color w:val="000000"/>
          <w:kern w:val="2"/>
          <w:sz w:val="32"/>
          <w:szCs w:val="32"/>
        </w:rPr>
        <w:t>221</w:t>
      </w:r>
      <w:r>
        <w:rPr>
          <w:rFonts w:hint="eastAsia" w:ascii="仿宋" w:hAnsi="仿宋" w:eastAsia="仿宋" w:cs="仿宋"/>
          <w:color w:val="000000"/>
          <w:kern w:val="2"/>
          <w:sz w:val="32"/>
          <w:szCs w:val="32"/>
        </w:rPr>
        <w:t>）：指政府机构缴纳住房方面的支出。</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26.</w:t>
      </w:r>
      <w:r>
        <w:rPr>
          <w:rFonts w:hint="eastAsia" w:ascii="仿宋" w:hAnsi="仿宋" w:eastAsia="仿宋" w:cs="仿宋"/>
          <w:color w:val="000000"/>
          <w:kern w:val="2"/>
          <w:sz w:val="32"/>
          <w:szCs w:val="32"/>
        </w:rPr>
        <w:t>住房改革支出（</w:t>
      </w:r>
      <w:r>
        <w:rPr>
          <w:rFonts w:ascii="仿宋" w:hAnsi="仿宋" w:eastAsia="仿宋" w:cs="仿宋"/>
          <w:color w:val="000000"/>
          <w:kern w:val="2"/>
          <w:sz w:val="32"/>
          <w:szCs w:val="32"/>
        </w:rPr>
        <w:t>22102</w:t>
      </w:r>
      <w:r>
        <w:rPr>
          <w:rFonts w:hint="eastAsia" w:ascii="仿宋" w:hAnsi="仿宋" w:eastAsia="仿宋" w:cs="仿宋"/>
          <w:color w:val="000000"/>
          <w:kern w:val="2"/>
          <w:sz w:val="32"/>
          <w:szCs w:val="32"/>
        </w:rPr>
        <w:t>）</w:t>
      </w:r>
      <w:r>
        <w:rPr>
          <w:rFonts w:ascii="仿宋" w:hAnsi="仿宋" w:eastAsia="仿宋" w:cs="仿宋"/>
          <w:color w:val="000000"/>
          <w:kern w:val="2"/>
          <w:sz w:val="32"/>
          <w:szCs w:val="32"/>
        </w:rPr>
        <w:t>:</w:t>
      </w:r>
      <w:r>
        <w:rPr>
          <w:rFonts w:hint="eastAsia" w:ascii="仿宋" w:hAnsi="仿宋" w:eastAsia="仿宋" w:cs="仿宋"/>
          <w:color w:val="000000"/>
          <w:kern w:val="2"/>
          <w:sz w:val="32"/>
          <w:szCs w:val="32"/>
        </w:rPr>
        <w:t>指行政事业单位用财政拨款资金和其他资金等安排的住房改革支出。</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27.</w:t>
      </w:r>
      <w:r>
        <w:rPr>
          <w:rFonts w:hint="eastAsia" w:ascii="仿宋" w:hAnsi="仿宋" w:eastAsia="仿宋" w:cs="仿宋"/>
          <w:color w:val="000000"/>
          <w:kern w:val="2"/>
          <w:sz w:val="32"/>
          <w:szCs w:val="32"/>
        </w:rPr>
        <w:t>住房公积金（</w:t>
      </w:r>
      <w:r>
        <w:rPr>
          <w:rFonts w:ascii="仿宋" w:hAnsi="仿宋" w:eastAsia="仿宋" w:cs="仿宋"/>
          <w:color w:val="000000"/>
          <w:kern w:val="2"/>
          <w:sz w:val="32"/>
          <w:szCs w:val="32"/>
        </w:rPr>
        <w:t>2210201</w:t>
      </w:r>
      <w:r>
        <w:rPr>
          <w:rFonts w:hint="eastAsia" w:ascii="仿宋" w:hAnsi="仿宋" w:eastAsia="仿宋" w:cs="仿宋"/>
          <w:color w:val="000000"/>
          <w:kern w:val="2"/>
          <w:sz w:val="32"/>
          <w:szCs w:val="32"/>
        </w:rPr>
        <w:t>）：指反映行政事业单位按人事部和财政部规定的基本工资和津贴补贴以及规定比例为职工缴纳的住房公积金。</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28.</w:t>
      </w:r>
      <w:r>
        <w:rPr>
          <w:rFonts w:hint="eastAsia" w:ascii="仿宋" w:hAnsi="仿宋" w:eastAsia="仿宋" w:cs="仿宋"/>
          <w:color w:val="000000"/>
          <w:kern w:val="2"/>
          <w:sz w:val="32"/>
          <w:szCs w:val="32"/>
        </w:rPr>
        <w:t>购房补贴（</w:t>
      </w:r>
      <w:r>
        <w:rPr>
          <w:rFonts w:ascii="仿宋" w:hAnsi="仿宋" w:eastAsia="仿宋" w:cs="仿宋"/>
          <w:color w:val="000000"/>
          <w:kern w:val="2"/>
          <w:sz w:val="32"/>
          <w:szCs w:val="32"/>
        </w:rPr>
        <w:t>2210203</w:t>
      </w:r>
      <w:r>
        <w:rPr>
          <w:rFonts w:hint="eastAsia" w:ascii="仿宋" w:hAnsi="仿宋" w:eastAsia="仿宋" w:cs="仿宋"/>
          <w:color w:val="000000"/>
          <w:kern w:val="2"/>
          <w:sz w:val="32"/>
          <w:szCs w:val="32"/>
        </w:rPr>
        <w:t>）：是指反映按房改政策规定，行政事业单位向符合条件职工（含离退休人员）、军队（含武警）向转役复员离退休人员发放的用于购买住房的补贴。</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29.</w:t>
      </w:r>
      <w:r>
        <w:rPr>
          <w:rFonts w:hint="eastAsia" w:ascii="仿宋" w:hAnsi="仿宋" w:eastAsia="仿宋" w:cs="仿宋"/>
          <w:color w:val="000000"/>
          <w:kern w:val="2"/>
          <w:sz w:val="32"/>
          <w:szCs w:val="32"/>
        </w:rPr>
        <w:t>其他支出（</w:t>
      </w:r>
      <w:r>
        <w:rPr>
          <w:rFonts w:ascii="仿宋" w:hAnsi="仿宋" w:eastAsia="仿宋" w:cs="仿宋"/>
          <w:color w:val="000000"/>
          <w:kern w:val="2"/>
          <w:sz w:val="32"/>
          <w:szCs w:val="32"/>
        </w:rPr>
        <w:t>229</w:t>
      </w:r>
      <w:r>
        <w:rPr>
          <w:rFonts w:hint="eastAsia" w:ascii="仿宋" w:hAnsi="仿宋" w:eastAsia="仿宋" w:cs="仿宋"/>
          <w:color w:val="000000"/>
          <w:kern w:val="2"/>
          <w:sz w:val="32"/>
          <w:szCs w:val="32"/>
        </w:rPr>
        <w:t>）：指不能划分到上述功能科目的其他政府支出。</w:t>
      </w:r>
    </w:p>
    <w:p>
      <w:pPr>
        <w:pStyle w:val="6"/>
        <w:spacing w:before="0" w:beforeAutospacing="0" w:after="0" w:afterAutospacing="0" w:line="360" w:lineRule="auto"/>
        <w:ind w:firstLine="640" w:firstLineChars="200"/>
        <w:rPr>
          <w:rFonts w:ascii="仿宋" w:hAnsi="仿宋" w:eastAsia="仿宋" w:cs="Times New Roman"/>
          <w:color w:val="000000"/>
          <w:kern w:val="2"/>
          <w:sz w:val="32"/>
          <w:szCs w:val="32"/>
        </w:rPr>
      </w:pPr>
      <w:r>
        <w:rPr>
          <w:rFonts w:ascii="仿宋" w:hAnsi="仿宋" w:eastAsia="仿宋" w:cs="仿宋"/>
          <w:color w:val="000000"/>
          <w:kern w:val="2"/>
          <w:sz w:val="32"/>
          <w:szCs w:val="32"/>
        </w:rPr>
        <w:t>30.</w:t>
      </w:r>
      <w:r>
        <w:rPr>
          <w:rFonts w:hint="eastAsia" w:ascii="仿宋" w:hAnsi="仿宋" w:eastAsia="仿宋" w:cs="仿宋"/>
          <w:color w:val="000000"/>
          <w:kern w:val="2"/>
          <w:sz w:val="32"/>
          <w:szCs w:val="32"/>
        </w:rPr>
        <w:t>其他政府性基金及对应专项债务收入安排的支出（</w:t>
      </w:r>
      <w:r>
        <w:rPr>
          <w:rFonts w:ascii="仿宋" w:hAnsi="仿宋" w:eastAsia="仿宋" w:cs="仿宋"/>
          <w:color w:val="000000"/>
          <w:kern w:val="2"/>
          <w:sz w:val="32"/>
          <w:szCs w:val="32"/>
        </w:rPr>
        <w:t>22904</w:t>
      </w:r>
      <w:r>
        <w:rPr>
          <w:rFonts w:hint="eastAsia" w:ascii="仿宋" w:hAnsi="仿宋" w:eastAsia="仿宋" w:cs="仿宋"/>
          <w:color w:val="000000"/>
          <w:kern w:val="2"/>
          <w:sz w:val="32"/>
          <w:szCs w:val="32"/>
        </w:rPr>
        <w:t>）：指其他政府性基金及对应专项债务收入安排的支出</w:t>
      </w:r>
      <w:r>
        <w:rPr>
          <w:rFonts w:ascii="仿宋" w:hAnsi="仿宋" w:eastAsia="仿宋" w:cs="仿宋"/>
          <w:color w:val="000000"/>
          <w:kern w:val="2"/>
          <w:sz w:val="32"/>
          <w:szCs w:val="32"/>
        </w:rPr>
        <w:t>(</w:t>
      </w:r>
      <w:r>
        <w:rPr>
          <w:rFonts w:hint="eastAsia" w:ascii="仿宋" w:hAnsi="仿宋" w:eastAsia="仿宋" w:cs="仿宋"/>
          <w:color w:val="000000"/>
          <w:kern w:val="2"/>
          <w:sz w:val="32"/>
          <w:szCs w:val="32"/>
        </w:rPr>
        <w:t>包括用以前年度欠款收入安排的支出</w:t>
      </w:r>
      <w:r>
        <w:rPr>
          <w:rFonts w:ascii="仿宋" w:hAnsi="仿宋" w:eastAsia="仿宋" w:cs="仿宋"/>
          <w:color w:val="000000"/>
          <w:kern w:val="2"/>
          <w:sz w:val="32"/>
          <w:szCs w:val="32"/>
        </w:rPr>
        <w:t>)</w:t>
      </w:r>
      <w:r>
        <w:rPr>
          <w:rFonts w:hint="eastAsia" w:ascii="仿宋" w:hAnsi="仿宋" w:eastAsia="仿宋" w:cs="仿宋"/>
          <w:color w:val="000000"/>
          <w:kern w:val="2"/>
          <w:sz w:val="32"/>
          <w:szCs w:val="32"/>
        </w:rPr>
        <w:t>。</w:t>
      </w:r>
    </w:p>
    <w:p>
      <w:pPr>
        <w:spacing w:line="600" w:lineRule="exact"/>
        <w:rPr>
          <w:rFonts w:ascii="仿宋" w:hAnsi="仿宋" w:eastAsia="仿宋" w:cs="Times New Roman"/>
          <w:color w:val="000000"/>
          <w:sz w:val="32"/>
          <w:szCs w:val="32"/>
        </w:rPr>
      </w:pPr>
    </w:p>
    <w:p>
      <w:pPr>
        <w:spacing w:line="600" w:lineRule="exact"/>
        <w:ind w:firstLine="420" w:firstLineChars="200"/>
        <w:rPr>
          <w:rFonts w:cs="Times New Roman"/>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11597"/>
    <w:rsid w:val="00046671"/>
    <w:rsid w:val="00053EFE"/>
    <w:rsid w:val="00062042"/>
    <w:rsid w:val="00064128"/>
    <w:rsid w:val="000651D8"/>
    <w:rsid w:val="0007101E"/>
    <w:rsid w:val="00071399"/>
    <w:rsid w:val="00072BCA"/>
    <w:rsid w:val="000748FC"/>
    <w:rsid w:val="000A63F3"/>
    <w:rsid w:val="000B39D2"/>
    <w:rsid w:val="000C68D5"/>
    <w:rsid w:val="000E188B"/>
    <w:rsid w:val="000E18A3"/>
    <w:rsid w:val="000F6A4F"/>
    <w:rsid w:val="001016A7"/>
    <w:rsid w:val="00102D65"/>
    <w:rsid w:val="00114391"/>
    <w:rsid w:val="0011496C"/>
    <w:rsid w:val="00120C66"/>
    <w:rsid w:val="00120CDC"/>
    <w:rsid w:val="001572F9"/>
    <w:rsid w:val="001767E6"/>
    <w:rsid w:val="00176822"/>
    <w:rsid w:val="0018273E"/>
    <w:rsid w:val="00184183"/>
    <w:rsid w:val="00187435"/>
    <w:rsid w:val="001902D7"/>
    <w:rsid w:val="00190775"/>
    <w:rsid w:val="001920D4"/>
    <w:rsid w:val="00192FAE"/>
    <w:rsid w:val="00197EFF"/>
    <w:rsid w:val="001A2286"/>
    <w:rsid w:val="001A3DCE"/>
    <w:rsid w:val="001A45E9"/>
    <w:rsid w:val="001D5629"/>
    <w:rsid w:val="001D645D"/>
    <w:rsid w:val="001D7D12"/>
    <w:rsid w:val="001E74C5"/>
    <w:rsid w:val="001F527C"/>
    <w:rsid w:val="001F7430"/>
    <w:rsid w:val="00202136"/>
    <w:rsid w:val="00206218"/>
    <w:rsid w:val="00207B27"/>
    <w:rsid w:val="00207FC9"/>
    <w:rsid w:val="00214241"/>
    <w:rsid w:val="00221B85"/>
    <w:rsid w:val="00250074"/>
    <w:rsid w:val="00250207"/>
    <w:rsid w:val="00257A58"/>
    <w:rsid w:val="00266A00"/>
    <w:rsid w:val="00267979"/>
    <w:rsid w:val="00270F3A"/>
    <w:rsid w:val="002738A3"/>
    <w:rsid w:val="002746F1"/>
    <w:rsid w:val="00276750"/>
    <w:rsid w:val="00282B23"/>
    <w:rsid w:val="00294E07"/>
    <w:rsid w:val="00295463"/>
    <w:rsid w:val="002A7BA1"/>
    <w:rsid w:val="002B4A64"/>
    <w:rsid w:val="002D48DC"/>
    <w:rsid w:val="002D6A30"/>
    <w:rsid w:val="002E00D5"/>
    <w:rsid w:val="002E6CA8"/>
    <w:rsid w:val="0030187D"/>
    <w:rsid w:val="00316B62"/>
    <w:rsid w:val="0031758F"/>
    <w:rsid w:val="00322582"/>
    <w:rsid w:val="003265FA"/>
    <w:rsid w:val="00327825"/>
    <w:rsid w:val="00330A19"/>
    <w:rsid w:val="00342CD2"/>
    <w:rsid w:val="00344F37"/>
    <w:rsid w:val="00346899"/>
    <w:rsid w:val="0034725A"/>
    <w:rsid w:val="00361A86"/>
    <w:rsid w:val="00361F65"/>
    <w:rsid w:val="00367CDF"/>
    <w:rsid w:val="00371925"/>
    <w:rsid w:val="00371C09"/>
    <w:rsid w:val="00373442"/>
    <w:rsid w:val="0037600C"/>
    <w:rsid w:val="003775A0"/>
    <w:rsid w:val="0038512D"/>
    <w:rsid w:val="00386388"/>
    <w:rsid w:val="0038715C"/>
    <w:rsid w:val="003972AE"/>
    <w:rsid w:val="003A4B20"/>
    <w:rsid w:val="003A6FA2"/>
    <w:rsid w:val="003B0DD8"/>
    <w:rsid w:val="003B1368"/>
    <w:rsid w:val="003C4F54"/>
    <w:rsid w:val="003D0527"/>
    <w:rsid w:val="003D31D7"/>
    <w:rsid w:val="003D5271"/>
    <w:rsid w:val="003D746E"/>
    <w:rsid w:val="003E6F76"/>
    <w:rsid w:val="003F0413"/>
    <w:rsid w:val="003F53B9"/>
    <w:rsid w:val="00402703"/>
    <w:rsid w:val="004040A3"/>
    <w:rsid w:val="004044EE"/>
    <w:rsid w:val="00417507"/>
    <w:rsid w:val="00420D41"/>
    <w:rsid w:val="00421AF8"/>
    <w:rsid w:val="00426970"/>
    <w:rsid w:val="00450FEA"/>
    <w:rsid w:val="004614FB"/>
    <w:rsid w:val="004626CB"/>
    <w:rsid w:val="00475DBF"/>
    <w:rsid w:val="00482F4B"/>
    <w:rsid w:val="00492845"/>
    <w:rsid w:val="00493E30"/>
    <w:rsid w:val="004A0300"/>
    <w:rsid w:val="004A7B52"/>
    <w:rsid w:val="004C62D1"/>
    <w:rsid w:val="004D09A8"/>
    <w:rsid w:val="004D4BCC"/>
    <w:rsid w:val="004E07B7"/>
    <w:rsid w:val="004E0E8D"/>
    <w:rsid w:val="004F0209"/>
    <w:rsid w:val="004F1790"/>
    <w:rsid w:val="004F2CCF"/>
    <w:rsid w:val="004F335A"/>
    <w:rsid w:val="004F54CB"/>
    <w:rsid w:val="00503968"/>
    <w:rsid w:val="00511917"/>
    <w:rsid w:val="00514AEC"/>
    <w:rsid w:val="00515175"/>
    <w:rsid w:val="00515271"/>
    <w:rsid w:val="00516246"/>
    <w:rsid w:val="005174AB"/>
    <w:rsid w:val="0053028E"/>
    <w:rsid w:val="00532278"/>
    <w:rsid w:val="005337C7"/>
    <w:rsid w:val="00534F25"/>
    <w:rsid w:val="00543E1A"/>
    <w:rsid w:val="005572E6"/>
    <w:rsid w:val="00574FD7"/>
    <w:rsid w:val="00582F7A"/>
    <w:rsid w:val="00586610"/>
    <w:rsid w:val="00586939"/>
    <w:rsid w:val="00590A87"/>
    <w:rsid w:val="00595EAD"/>
    <w:rsid w:val="005A1EB3"/>
    <w:rsid w:val="005A4EAF"/>
    <w:rsid w:val="005B180D"/>
    <w:rsid w:val="005B1CD6"/>
    <w:rsid w:val="005B3414"/>
    <w:rsid w:val="005B602D"/>
    <w:rsid w:val="005C2F43"/>
    <w:rsid w:val="005E3140"/>
    <w:rsid w:val="005E53DE"/>
    <w:rsid w:val="006048A5"/>
    <w:rsid w:val="00604C57"/>
    <w:rsid w:val="0061194C"/>
    <w:rsid w:val="0061672A"/>
    <w:rsid w:val="006225EB"/>
    <w:rsid w:val="006267B8"/>
    <w:rsid w:val="00632156"/>
    <w:rsid w:val="00633DDE"/>
    <w:rsid w:val="006405C2"/>
    <w:rsid w:val="006570F1"/>
    <w:rsid w:val="0066567A"/>
    <w:rsid w:val="006847B4"/>
    <w:rsid w:val="00685EAF"/>
    <w:rsid w:val="00686F1F"/>
    <w:rsid w:val="00692BC4"/>
    <w:rsid w:val="00694190"/>
    <w:rsid w:val="0069448C"/>
    <w:rsid w:val="0069528E"/>
    <w:rsid w:val="006970D0"/>
    <w:rsid w:val="00697C0D"/>
    <w:rsid w:val="006B2BB7"/>
    <w:rsid w:val="006C34A6"/>
    <w:rsid w:val="006C527F"/>
    <w:rsid w:val="006C601E"/>
    <w:rsid w:val="006D6A2F"/>
    <w:rsid w:val="006F4079"/>
    <w:rsid w:val="006F7032"/>
    <w:rsid w:val="007013D3"/>
    <w:rsid w:val="007030EC"/>
    <w:rsid w:val="007033AA"/>
    <w:rsid w:val="007079F8"/>
    <w:rsid w:val="007140C2"/>
    <w:rsid w:val="007160FA"/>
    <w:rsid w:val="00717C1C"/>
    <w:rsid w:val="007200FE"/>
    <w:rsid w:val="0073424B"/>
    <w:rsid w:val="00741108"/>
    <w:rsid w:val="00741B55"/>
    <w:rsid w:val="00746CBE"/>
    <w:rsid w:val="00750841"/>
    <w:rsid w:val="00761B9C"/>
    <w:rsid w:val="00765C83"/>
    <w:rsid w:val="007702A1"/>
    <w:rsid w:val="00773547"/>
    <w:rsid w:val="00773EE0"/>
    <w:rsid w:val="00780470"/>
    <w:rsid w:val="007914FF"/>
    <w:rsid w:val="00794BF7"/>
    <w:rsid w:val="00795BC2"/>
    <w:rsid w:val="007B0FA4"/>
    <w:rsid w:val="007B33DE"/>
    <w:rsid w:val="007B3679"/>
    <w:rsid w:val="007C44E9"/>
    <w:rsid w:val="007D348B"/>
    <w:rsid w:val="007D60F6"/>
    <w:rsid w:val="007E066E"/>
    <w:rsid w:val="007E6CDF"/>
    <w:rsid w:val="007F2017"/>
    <w:rsid w:val="008079E7"/>
    <w:rsid w:val="008106B7"/>
    <w:rsid w:val="008223CC"/>
    <w:rsid w:val="00822CEF"/>
    <w:rsid w:val="008233F3"/>
    <w:rsid w:val="008346BD"/>
    <w:rsid w:val="00854686"/>
    <w:rsid w:val="00870DA2"/>
    <w:rsid w:val="00881F0B"/>
    <w:rsid w:val="00883F75"/>
    <w:rsid w:val="00886526"/>
    <w:rsid w:val="00887089"/>
    <w:rsid w:val="00893EDB"/>
    <w:rsid w:val="008A0A4E"/>
    <w:rsid w:val="008A2AC6"/>
    <w:rsid w:val="008A4257"/>
    <w:rsid w:val="008C2CF4"/>
    <w:rsid w:val="008D48F1"/>
    <w:rsid w:val="008E54B4"/>
    <w:rsid w:val="008F1E0E"/>
    <w:rsid w:val="008F5B54"/>
    <w:rsid w:val="0090349E"/>
    <w:rsid w:val="00907013"/>
    <w:rsid w:val="009125B1"/>
    <w:rsid w:val="00913D52"/>
    <w:rsid w:val="00923634"/>
    <w:rsid w:val="00924120"/>
    <w:rsid w:val="00924D38"/>
    <w:rsid w:val="009320DC"/>
    <w:rsid w:val="00951A76"/>
    <w:rsid w:val="0097416C"/>
    <w:rsid w:val="0097677D"/>
    <w:rsid w:val="009809AE"/>
    <w:rsid w:val="00982B21"/>
    <w:rsid w:val="009845D7"/>
    <w:rsid w:val="00990DDE"/>
    <w:rsid w:val="00990F32"/>
    <w:rsid w:val="009924B2"/>
    <w:rsid w:val="00996B25"/>
    <w:rsid w:val="00997B30"/>
    <w:rsid w:val="009A37C6"/>
    <w:rsid w:val="009B570B"/>
    <w:rsid w:val="009B6520"/>
    <w:rsid w:val="009B781D"/>
    <w:rsid w:val="009D041F"/>
    <w:rsid w:val="009D180F"/>
    <w:rsid w:val="009D3D2B"/>
    <w:rsid w:val="009E735B"/>
    <w:rsid w:val="009F33E5"/>
    <w:rsid w:val="00A03E59"/>
    <w:rsid w:val="00A0740C"/>
    <w:rsid w:val="00A309C1"/>
    <w:rsid w:val="00A34BA9"/>
    <w:rsid w:val="00A43612"/>
    <w:rsid w:val="00A517C2"/>
    <w:rsid w:val="00A567AF"/>
    <w:rsid w:val="00A71EB2"/>
    <w:rsid w:val="00A828DF"/>
    <w:rsid w:val="00AA03BD"/>
    <w:rsid w:val="00AA423E"/>
    <w:rsid w:val="00AC012E"/>
    <w:rsid w:val="00AC03C2"/>
    <w:rsid w:val="00AC4A03"/>
    <w:rsid w:val="00AC5F3E"/>
    <w:rsid w:val="00AF106F"/>
    <w:rsid w:val="00AF2F79"/>
    <w:rsid w:val="00AF3B7B"/>
    <w:rsid w:val="00AF77F1"/>
    <w:rsid w:val="00B1447D"/>
    <w:rsid w:val="00B36FD1"/>
    <w:rsid w:val="00B44978"/>
    <w:rsid w:val="00B51D0F"/>
    <w:rsid w:val="00B52F86"/>
    <w:rsid w:val="00B54050"/>
    <w:rsid w:val="00B5679A"/>
    <w:rsid w:val="00B6507D"/>
    <w:rsid w:val="00B867F5"/>
    <w:rsid w:val="00B93A85"/>
    <w:rsid w:val="00BA4311"/>
    <w:rsid w:val="00BB1A58"/>
    <w:rsid w:val="00BB4E1E"/>
    <w:rsid w:val="00BC2545"/>
    <w:rsid w:val="00BC6167"/>
    <w:rsid w:val="00BD722D"/>
    <w:rsid w:val="00BF6CE9"/>
    <w:rsid w:val="00BF6D0A"/>
    <w:rsid w:val="00BF7509"/>
    <w:rsid w:val="00BF7B7E"/>
    <w:rsid w:val="00C002BB"/>
    <w:rsid w:val="00C03663"/>
    <w:rsid w:val="00C03C0A"/>
    <w:rsid w:val="00C31791"/>
    <w:rsid w:val="00C33E6D"/>
    <w:rsid w:val="00C362CE"/>
    <w:rsid w:val="00C450CC"/>
    <w:rsid w:val="00C5682A"/>
    <w:rsid w:val="00C7593D"/>
    <w:rsid w:val="00C80187"/>
    <w:rsid w:val="00C81C6E"/>
    <w:rsid w:val="00C85080"/>
    <w:rsid w:val="00C85CCC"/>
    <w:rsid w:val="00CA1E85"/>
    <w:rsid w:val="00CA3947"/>
    <w:rsid w:val="00CB7AFB"/>
    <w:rsid w:val="00CC1830"/>
    <w:rsid w:val="00CC3415"/>
    <w:rsid w:val="00CC5E9C"/>
    <w:rsid w:val="00CD3F92"/>
    <w:rsid w:val="00CD70CB"/>
    <w:rsid w:val="00CE47C0"/>
    <w:rsid w:val="00CE4D3C"/>
    <w:rsid w:val="00CE7492"/>
    <w:rsid w:val="00CF1EE7"/>
    <w:rsid w:val="00D14CD2"/>
    <w:rsid w:val="00D366CD"/>
    <w:rsid w:val="00D41B69"/>
    <w:rsid w:val="00D4707B"/>
    <w:rsid w:val="00D47A72"/>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E55E1"/>
    <w:rsid w:val="00DF03E0"/>
    <w:rsid w:val="00DF2D3F"/>
    <w:rsid w:val="00DF4F09"/>
    <w:rsid w:val="00DF5DE9"/>
    <w:rsid w:val="00DF70C6"/>
    <w:rsid w:val="00E0018C"/>
    <w:rsid w:val="00E11F7A"/>
    <w:rsid w:val="00E2537B"/>
    <w:rsid w:val="00E3509E"/>
    <w:rsid w:val="00E43893"/>
    <w:rsid w:val="00E554B6"/>
    <w:rsid w:val="00E63389"/>
    <w:rsid w:val="00E71FA7"/>
    <w:rsid w:val="00E72A06"/>
    <w:rsid w:val="00E91557"/>
    <w:rsid w:val="00E92BEB"/>
    <w:rsid w:val="00EA0363"/>
    <w:rsid w:val="00EA06E3"/>
    <w:rsid w:val="00EA41D6"/>
    <w:rsid w:val="00EB6701"/>
    <w:rsid w:val="00EB7242"/>
    <w:rsid w:val="00ED24E5"/>
    <w:rsid w:val="00EF3F12"/>
    <w:rsid w:val="00EF6DB6"/>
    <w:rsid w:val="00F03027"/>
    <w:rsid w:val="00F03763"/>
    <w:rsid w:val="00F20479"/>
    <w:rsid w:val="00F20E78"/>
    <w:rsid w:val="00F2662F"/>
    <w:rsid w:val="00F30F2B"/>
    <w:rsid w:val="00F423A5"/>
    <w:rsid w:val="00F47F2E"/>
    <w:rsid w:val="00F770F2"/>
    <w:rsid w:val="00F96E70"/>
    <w:rsid w:val="00F97ACF"/>
    <w:rsid w:val="00FA19F7"/>
    <w:rsid w:val="00FB2A8A"/>
    <w:rsid w:val="00FB4764"/>
    <w:rsid w:val="00FB67F9"/>
    <w:rsid w:val="00FB6DE5"/>
    <w:rsid w:val="00FB7D78"/>
    <w:rsid w:val="00FC46E6"/>
    <w:rsid w:val="00FC7092"/>
    <w:rsid w:val="00FC74BF"/>
    <w:rsid w:val="00FC7F63"/>
    <w:rsid w:val="00FD477C"/>
    <w:rsid w:val="00FD4D65"/>
    <w:rsid w:val="00FF3C3B"/>
    <w:rsid w:val="13923C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Balloon Text"/>
    <w:basedOn w:val="1"/>
    <w:link w:val="12"/>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link w:val="5"/>
    <w:locked/>
    <w:uiPriority w:val="99"/>
    <w:rPr>
      <w:sz w:val="18"/>
      <w:szCs w:val="18"/>
    </w:rPr>
  </w:style>
  <w:style w:type="character" w:customStyle="1" w:styleId="11">
    <w:name w:val="页脚 Char"/>
    <w:link w:val="4"/>
    <w:locked/>
    <w:uiPriority w:val="99"/>
    <w:rPr>
      <w:sz w:val="18"/>
      <w:szCs w:val="18"/>
    </w:rPr>
  </w:style>
  <w:style w:type="character" w:customStyle="1" w:styleId="12">
    <w:name w:val="批注框文本 Char"/>
    <w:link w:val="3"/>
    <w:semiHidden/>
    <w:locked/>
    <w:uiPriority w:val="99"/>
    <w:rPr>
      <w:sz w:val="18"/>
      <w:szCs w:val="18"/>
    </w:rPr>
  </w:style>
  <w:style w:type="paragraph" w:styleId="13">
    <w:name w:val="List Paragraph"/>
    <w:basedOn w:val="1"/>
    <w:qFormat/>
    <w:uiPriority w:val="99"/>
    <w:pPr>
      <w:ind w:firstLine="420" w:firstLineChars="200"/>
    </w:pPr>
  </w:style>
  <w:style w:type="character" w:customStyle="1" w:styleId="14">
    <w:name w:val="文档结构图 Char"/>
    <w:link w:val="2"/>
    <w:semiHidden/>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21</Pages>
  <Words>2140</Words>
  <Characters>12203</Characters>
  <Lines>101</Lines>
  <Paragraphs>28</Paragraphs>
  <TotalTime>1991</TotalTime>
  <ScaleCrop>false</ScaleCrop>
  <LinksUpToDate>false</LinksUpToDate>
  <CharactersWithSpaces>14315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2018-09-13T08:54:00Z</dcterms:created>
  <dc:creator>张静</dc:creator>
  <cp:lastModifiedBy>Administrator</cp:lastModifiedBy>
  <cp:lastPrinted>2018-09-25T02:42:00Z</cp:lastPrinted>
  <dcterms:modified xsi:type="dcterms:W3CDTF">2022-01-14T02:32:30Z</dcterms:modified>
  <dc:title>公开文本（供参考）</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9E0AE4775D5349B2B6FA1528FB4800B1</vt:lpwstr>
  </property>
</Properties>
</file>