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0" w:lineRule="exact"/>
        <w:rPr>
          <w:rFonts w:ascii="黑体" w:hAnsi="黑体" w:eastAsia="黑体"/>
          <w:snapToGrid w:val="0"/>
          <w:kern w:val="0"/>
          <w:sz w:val="32"/>
          <w:szCs w:val="32"/>
        </w:rPr>
      </w:pPr>
      <w:r>
        <w:rPr>
          <w:rFonts w:ascii="黑体" w:hAnsi="黑体" w:eastAsia="黑体"/>
          <w:snapToGrid w:val="0"/>
          <w:kern w:val="0"/>
          <w:sz w:val="32"/>
          <w:szCs w:val="32"/>
        </w:rPr>
        <w:t>附件</w:t>
      </w:r>
      <w:r>
        <w:rPr>
          <w:rFonts w:eastAsia="黑体"/>
          <w:snapToGrid w:val="0"/>
          <w:kern w:val="0"/>
          <w:sz w:val="32"/>
          <w:szCs w:val="32"/>
        </w:rPr>
        <w:t>2</w:t>
      </w:r>
    </w:p>
    <w:p>
      <w:pPr>
        <w:pStyle w:val="2"/>
        <w:keepNext w:val="0"/>
        <w:keepLines w:val="0"/>
        <w:numPr>
          <w:ilvl w:val="0"/>
          <w:numId w:val="0"/>
        </w:numPr>
        <w:tabs>
          <w:tab w:val="left" w:pos="0"/>
        </w:tabs>
        <w:overflowPunct w:val="0"/>
        <w:snapToGrid w:val="0"/>
        <w:spacing w:line="570" w:lineRule="exact"/>
        <w:jc w:val="center"/>
        <w:rPr>
          <w:rFonts w:ascii="方正大标宋_GBK" w:hAnsi="方正小标宋简体" w:eastAsia="方正大标宋_GBK" w:cs="方正小标宋简体"/>
          <w:b w:val="0"/>
          <w:bCs/>
          <w:snapToGrid w:val="0"/>
          <w:kern w:val="0"/>
          <w:sz w:val="44"/>
          <w:szCs w:val="44"/>
        </w:rPr>
      </w:pPr>
      <w:bookmarkStart w:id="0" w:name="_GoBack"/>
      <w:r>
        <w:rPr>
          <w:rFonts w:ascii="方正大标宋_GBK" w:hAnsi="方正小标宋简体" w:eastAsia="方正大标宋_GBK" w:cs="方正小标宋简体"/>
          <w:b w:val="0"/>
          <w:bCs/>
          <w:snapToGrid w:val="0"/>
          <w:kern w:val="0"/>
          <w:sz w:val="44"/>
          <w:szCs w:val="44"/>
        </w:rPr>
        <w:t>项目绩效评估指标计算方法及说明</w:t>
      </w:r>
    </w:p>
    <w:bookmarkEnd w:id="0"/>
    <w:p>
      <w:pPr>
        <w:numPr>
          <w:ilvl w:val="0"/>
          <w:numId w:val="2"/>
        </w:numPr>
        <w:overflowPunct w:val="0"/>
        <w:adjustRightInd w:val="0"/>
        <w:snapToGrid w:val="0"/>
        <w:spacing w:line="570" w:lineRule="exact"/>
        <w:ind w:firstLine="640" w:firstLineChars="200"/>
        <w:rPr>
          <w:rFonts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固定资产总投资额（单位：万元）</w:t>
      </w:r>
    </w:p>
    <w:p>
      <w:pPr>
        <w:overflowPunct w:val="0"/>
        <w:adjustRightInd w:val="0"/>
        <w:snapToGrid w:val="0"/>
        <w:spacing w:line="570" w:lineRule="exact"/>
        <w:ind w:firstLine="640" w:firstLineChars="200"/>
        <w:rPr>
          <w:snapToGrid w:val="0"/>
          <w:kern w:val="0"/>
        </w:rPr>
      </w:pPr>
      <w:r>
        <w:rPr>
          <w:rFonts w:eastAsia="仿宋_GB2312"/>
          <w:snapToGrid w:val="0"/>
          <w:color w:val="000000"/>
          <w:kern w:val="0"/>
          <w:sz w:val="32"/>
          <w:szCs w:val="32"/>
          <w:lang w:bidi="ar"/>
        </w:rPr>
        <w:t>固定资产总投资额：指厂房、设备和地价款（厂房和设备的投资额按照项目建成进入正常生产时的厂房建造成本和设备购置成本计，地价款按照土地合同约定成交金额计）。</w:t>
      </w:r>
    </w:p>
    <w:p>
      <w:pPr>
        <w:overflowPunct w:val="0"/>
        <w:adjustRightInd w:val="0"/>
        <w:snapToGrid w:val="0"/>
        <w:spacing w:line="570" w:lineRule="exact"/>
        <w:ind w:firstLine="640" w:firstLineChars="200"/>
        <w:rPr>
          <w:rFonts w:ascii="黑体" w:hAnsi="黑体" w:eastAsia="黑体"/>
          <w:snapToGrid w:val="0"/>
          <w:kern w:val="0"/>
          <w:sz w:val="32"/>
          <w:szCs w:val="32"/>
        </w:rPr>
      </w:pPr>
      <w:r>
        <w:rPr>
          <w:rFonts w:ascii="黑体" w:hAnsi="黑体" w:eastAsia="黑体"/>
          <w:snapToGrid w:val="0"/>
          <w:color w:val="000000"/>
          <w:kern w:val="0"/>
          <w:sz w:val="32"/>
          <w:szCs w:val="32"/>
          <w:lang w:bidi="ar"/>
        </w:rPr>
        <w:t>二、固定资产投资强度（单位：万元/亩）</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color w:val="000000"/>
          <w:kern w:val="0"/>
          <w:sz w:val="32"/>
          <w:szCs w:val="32"/>
          <w:lang w:bidi="ar"/>
        </w:rPr>
        <w:t>固定资产投资强度＝固定资产总投资额/项目用地面积。</w:t>
      </w:r>
    </w:p>
    <w:p>
      <w:pPr>
        <w:overflowPunct w:val="0"/>
        <w:adjustRightInd w:val="0"/>
        <w:snapToGrid w:val="0"/>
        <w:spacing w:line="570" w:lineRule="exact"/>
        <w:ind w:firstLine="640" w:firstLineChars="200"/>
        <w:rPr>
          <w:rFonts w:eastAsia="仿宋_GB2312"/>
          <w:snapToGrid w:val="0"/>
          <w:color w:val="000000"/>
          <w:spacing w:val="-4"/>
          <w:kern w:val="0"/>
          <w:sz w:val="32"/>
          <w:szCs w:val="32"/>
          <w:lang w:bidi="ar"/>
        </w:rPr>
      </w:pPr>
      <w:r>
        <w:rPr>
          <w:rFonts w:eastAsia="仿宋_GB2312"/>
          <w:snapToGrid w:val="0"/>
          <w:color w:val="000000"/>
          <w:kern w:val="0"/>
          <w:sz w:val="32"/>
          <w:szCs w:val="32"/>
          <w:lang w:bidi="ar"/>
        </w:rPr>
        <w:t>项</w:t>
      </w:r>
      <w:r>
        <w:rPr>
          <w:rFonts w:eastAsia="仿宋_GB2312"/>
          <w:snapToGrid w:val="0"/>
          <w:color w:val="000000"/>
          <w:spacing w:val="-4"/>
          <w:kern w:val="0"/>
          <w:sz w:val="32"/>
          <w:szCs w:val="32"/>
          <w:lang w:bidi="ar"/>
        </w:rPr>
        <w:t>目用地面积是指该项目用地红线范围内的土地面积，下同。</w:t>
      </w:r>
    </w:p>
    <w:p>
      <w:pPr>
        <w:overflowPunct w:val="0"/>
        <w:adjustRightInd w:val="0"/>
        <w:snapToGrid w:val="0"/>
        <w:spacing w:line="570" w:lineRule="exact"/>
        <w:ind w:firstLine="640" w:firstLineChars="200"/>
        <w:rPr>
          <w:rFonts w:ascii="黑体" w:hAnsi="黑体" w:eastAsia="黑体"/>
          <w:snapToGrid w:val="0"/>
          <w:kern w:val="0"/>
          <w:sz w:val="32"/>
          <w:szCs w:val="32"/>
        </w:rPr>
      </w:pPr>
      <w:r>
        <w:rPr>
          <w:rFonts w:ascii="黑体" w:hAnsi="黑体" w:eastAsia="黑体"/>
          <w:snapToGrid w:val="0"/>
          <w:color w:val="000000"/>
          <w:kern w:val="0"/>
          <w:sz w:val="32"/>
          <w:szCs w:val="32"/>
          <w:lang w:bidi="ar"/>
        </w:rPr>
        <w:t>三、亩均年产值（单位：万元/亩）</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计算方法</w:t>
      </w:r>
      <w:r>
        <w:rPr>
          <w:rFonts w:hint="eastAsia" w:eastAsia="仿宋_GB2312"/>
          <w:snapToGrid w:val="0"/>
          <w:kern w:val="0"/>
          <w:sz w:val="32"/>
          <w:szCs w:val="32"/>
        </w:rPr>
        <w:t>1</w:t>
      </w:r>
      <w:r>
        <w:rPr>
          <w:rFonts w:hint="eastAsia" w:ascii="仿宋_GB2312" w:eastAsia="仿宋_GB2312"/>
          <w:snapToGrid w:val="0"/>
          <w:kern w:val="0"/>
          <w:sz w:val="32"/>
          <w:szCs w:val="32"/>
        </w:rPr>
        <w:t>：企业竞得土地后成立新公司，达产验收时及今后连续</w:t>
      </w:r>
      <w:r>
        <w:rPr>
          <w:rFonts w:hint="eastAsia" w:eastAsia="仿宋_GB2312"/>
          <w:snapToGrid w:val="0"/>
          <w:kern w:val="0"/>
          <w:sz w:val="32"/>
          <w:szCs w:val="32"/>
        </w:rPr>
        <w:t>X</w:t>
      </w:r>
      <w:r>
        <w:rPr>
          <w:rFonts w:hint="eastAsia" w:ascii="仿宋_GB2312" w:eastAsia="仿宋_GB2312"/>
          <w:snapToGrid w:val="0"/>
          <w:kern w:val="0"/>
          <w:sz w:val="32"/>
          <w:szCs w:val="32"/>
        </w:rPr>
        <w:t>年的亩均年产值按新公司达产后年销售产值收除以本地块亩数认定。即:亩均年产值=销售产值/项目用地面积。</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计算方法</w:t>
      </w:r>
      <w:r>
        <w:rPr>
          <w:rFonts w:hint="eastAsia" w:eastAsia="仿宋_GB2312"/>
          <w:snapToGrid w:val="0"/>
          <w:kern w:val="0"/>
          <w:sz w:val="32"/>
          <w:szCs w:val="32"/>
        </w:rPr>
        <w:t>2</w:t>
      </w:r>
      <w:r>
        <w:rPr>
          <w:rFonts w:hint="eastAsia" w:ascii="仿宋_GB2312" w:eastAsia="仿宋_GB2312"/>
          <w:snapToGrid w:val="0"/>
          <w:kern w:val="0"/>
          <w:sz w:val="32"/>
          <w:szCs w:val="32"/>
        </w:rPr>
        <w:t>：企业竞得土地后不成立新公司，达产验收时及今后连续若干年的亩均年产值按该企业所属县级行政区域范围内年产值减去在竞得本地块之前三年平均年销售产值，再除以本地块亩数认定。即:亩均年产值=（销售产值-前三年平均年销售产值）/项目用地面积。</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销售产值：具体以合同约定达产验收日期或在达产验收约定时间提前提出申请的日期前连续</w:t>
      </w:r>
      <w:r>
        <w:rPr>
          <w:rFonts w:hint="eastAsia" w:eastAsia="仿宋_GB2312"/>
          <w:snapToGrid w:val="0"/>
          <w:kern w:val="0"/>
          <w:sz w:val="32"/>
          <w:szCs w:val="32"/>
        </w:rPr>
        <w:t>12</w:t>
      </w:r>
      <w:r>
        <w:rPr>
          <w:rFonts w:hint="eastAsia" w:ascii="仿宋_GB2312" w:eastAsia="仿宋_GB2312"/>
          <w:snapToGrid w:val="0"/>
          <w:kern w:val="0"/>
          <w:sz w:val="32"/>
          <w:szCs w:val="32"/>
        </w:rPr>
        <w:t>个月销售产值合计数为准。</w:t>
      </w:r>
    </w:p>
    <w:p>
      <w:pPr>
        <w:overflowPunct w:val="0"/>
        <w:adjustRightInd w:val="0"/>
        <w:snapToGrid w:val="0"/>
        <w:spacing w:line="570" w:lineRule="exact"/>
        <w:ind w:firstLine="640" w:firstLineChars="200"/>
        <w:rPr>
          <w:rFonts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四、亩均年税收（单位：万元/亩）</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计算方法</w:t>
      </w:r>
      <w:r>
        <w:rPr>
          <w:rFonts w:hint="eastAsia" w:eastAsia="仿宋_GB2312"/>
          <w:snapToGrid w:val="0"/>
          <w:kern w:val="0"/>
          <w:sz w:val="32"/>
          <w:szCs w:val="32"/>
        </w:rPr>
        <w:t>1</w:t>
      </w:r>
      <w:r>
        <w:rPr>
          <w:rFonts w:hint="eastAsia" w:ascii="仿宋_GB2312" w:eastAsia="仿宋_GB2312"/>
          <w:snapToGrid w:val="0"/>
          <w:kern w:val="0"/>
          <w:sz w:val="32"/>
          <w:szCs w:val="32"/>
        </w:rPr>
        <w:t>：企业竞得土地后成立新公司，达产验收时及今后连续</w:t>
      </w:r>
      <w:r>
        <w:rPr>
          <w:rFonts w:hint="eastAsia" w:eastAsia="仿宋_GB2312"/>
          <w:snapToGrid w:val="0"/>
          <w:kern w:val="0"/>
          <w:sz w:val="32"/>
          <w:szCs w:val="32"/>
        </w:rPr>
        <w:t>X</w:t>
      </w:r>
      <w:r>
        <w:rPr>
          <w:rFonts w:hint="eastAsia" w:ascii="仿宋_GB2312" w:eastAsia="仿宋_GB2312"/>
          <w:snapToGrid w:val="0"/>
          <w:kern w:val="0"/>
          <w:sz w:val="32"/>
          <w:szCs w:val="32"/>
        </w:rPr>
        <w:t>年的亩均年税收按新公司达产后年税收除以本地块亩数认定。即:亩均年税收=税收实际贡献/项目用地面积。</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计算方法</w:t>
      </w:r>
      <w:r>
        <w:rPr>
          <w:rFonts w:hint="eastAsia" w:eastAsia="仿宋_GB2312"/>
          <w:snapToGrid w:val="0"/>
          <w:kern w:val="0"/>
          <w:sz w:val="32"/>
          <w:szCs w:val="32"/>
        </w:rPr>
        <w:t>2</w:t>
      </w:r>
      <w:r>
        <w:rPr>
          <w:rFonts w:hint="eastAsia" w:ascii="仿宋_GB2312" w:eastAsia="仿宋_GB2312"/>
          <w:snapToGrid w:val="0"/>
          <w:kern w:val="0"/>
          <w:sz w:val="32"/>
          <w:szCs w:val="32"/>
        </w:rPr>
        <w:t>：企业竞得土地后不成立新公司，达产验收时及今后连续若干年的亩均年税收按该企业所属县级行政区域范围内年税收减去在竞得本地块之前三年平均年税收，再除以本地块亩数认定。即:亩均年税收=（税收实际贡献-前三年平均税收实际贡献）/项目用地面积。</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税收实际贡献</w:t>
      </w:r>
      <w:r>
        <w:rPr>
          <w:rFonts w:hint="eastAsia" w:ascii="仿宋_GB2312" w:eastAsia="仿宋_GB2312"/>
          <w:snapToGrid w:val="0"/>
          <w:color w:val="000000"/>
          <w:kern w:val="0"/>
          <w:sz w:val="32"/>
          <w:szCs w:val="32"/>
          <w:lang w:bidi="ar"/>
        </w:rPr>
        <w:t>：指企业税费“实际入库数”合计。“实际入库数”包含</w:t>
      </w:r>
      <w:r>
        <w:rPr>
          <w:rFonts w:hint="eastAsia" w:eastAsia="仿宋_GB2312"/>
          <w:snapToGrid w:val="0"/>
          <w:color w:val="000000"/>
          <w:kern w:val="0"/>
          <w:sz w:val="32"/>
          <w:szCs w:val="32"/>
          <w:lang w:bidi="ar"/>
        </w:rPr>
        <w:t>13</w:t>
      </w:r>
      <w:r>
        <w:rPr>
          <w:rFonts w:hint="eastAsia" w:ascii="仿宋_GB2312" w:eastAsia="仿宋_GB2312"/>
          <w:snapToGrid w:val="0"/>
          <w:color w:val="000000"/>
          <w:kern w:val="0"/>
          <w:sz w:val="32"/>
          <w:szCs w:val="32"/>
          <w:lang w:bidi="ar"/>
        </w:rPr>
        <w:t>项税（费）种：增值税、消费税、企业所得税、个人所得税、房产税、城镇土地使用税、土地增值税、印花税、城市维护建设税、车船税、资源税、教育费附加、地方教育附加。其中：增值税实际入库数=增值税不含调库净入库税收+生产型出口企业发生的“免抵”税额（含应调未调部分），</w:t>
      </w:r>
      <w:r>
        <w:rPr>
          <w:rFonts w:hint="eastAsia" w:ascii="仿宋_GB2312" w:eastAsia="仿宋_GB2312"/>
          <w:snapToGrid w:val="0"/>
          <w:kern w:val="0"/>
          <w:sz w:val="32"/>
          <w:szCs w:val="32"/>
        </w:rPr>
        <w:t>具体以合同约定达产验收日期或在达产验收约定时间提前提出申请的日期前连续</w:t>
      </w:r>
      <w:r>
        <w:rPr>
          <w:rFonts w:hint="eastAsia" w:eastAsia="仿宋_GB2312"/>
          <w:snapToGrid w:val="0"/>
          <w:kern w:val="0"/>
          <w:sz w:val="32"/>
          <w:szCs w:val="32"/>
        </w:rPr>
        <w:t>12</w:t>
      </w:r>
      <w:r>
        <w:rPr>
          <w:rFonts w:hint="eastAsia" w:ascii="仿宋_GB2312" w:eastAsia="仿宋_GB2312"/>
          <w:snapToGrid w:val="0"/>
          <w:kern w:val="0"/>
          <w:sz w:val="32"/>
          <w:szCs w:val="32"/>
        </w:rPr>
        <w:t>个月</w:t>
      </w:r>
      <w:r>
        <w:rPr>
          <w:rFonts w:hint="eastAsia" w:ascii="仿宋_GB2312" w:eastAsia="仿宋_GB2312"/>
          <w:snapToGrid w:val="0"/>
          <w:color w:val="000000"/>
          <w:kern w:val="0"/>
          <w:sz w:val="32"/>
          <w:szCs w:val="32"/>
          <w:lang w:bidi="ar"/>
        </w:rPr>
        <w:t>税费“实际入库数”</w:t>
      </w:r>
      <w:r>
        <w:rPr>
          <w:rFonts w:hint="eastAsia" w:ascii="仿宋_GB2312" w:eastAsia="仿宋_GB2312"/>
          <w:snapToGrid w:val="0"/>
          <w:kern w:val="0"/>
          <w:sz w:val="32"/>
          <w:szCs w:val="32"/>
        </w:rPr>
        <w:t>合计数为准。</w:t>
      </w:r>
    </w:p>
    <w:p>
      <w:pPr>
        <w:overflowPunct w:val="0"/>
        <w:adjustRightInd w:val="0"/>
        <w:snapToGrid w:val="0"/>
        <w:spacing w:line="570" w:lineRule="exact"/>
        <w:ind w:firstLine="640" w:firstLineChars="200"/>
        <w:rPr>
          <w:rFonts w:ascii="黑体" w:hAnsi="黑体" w:eastAsia="黑体"/>
          <w:snapToGrid w:val="0"/>
          <w:kern w:val="0"/>
          <w:sz w:val="32"/>
          <w:szCs w:val="32"/>
        </w:rPr>
      </w:pPr>
      <w:r>
        <w:rPr>
          <w:rFonts w:ascii="黑体" w:hAnsi="黑体" w:eastAsia="黑体"/>
          <w:snapToGrid w:val="0"/>
          <w:color w:val="000000"/>
          <w:kern w:val="0"/>
          <w:sz w:val="32"/>
          <w:szCs w:val="32"/>
          <w:lang w:bidi="ar"/>
        </w:rPr>
        <w:t>五、单位能耗增加值（单位：万元/吨标煤）</w:t>
      </w:r>
    </w:p>
    <w:p>
      <w:pPr>
        <w:overflowPunct w:val="0"/>
        <w:adjustRightInd w:val="0"/>
        <w:snapToGrid w:val="0"/>
        <w:spacing w:line="570" w:lineRule="exact"/>
        <w:ind w:firstLine="640" w:firstLineChars="200"/>
        <w:rPr>
          <w:rFonts w:hint="eastAsia" w:ascii="仿宋_GB2312" w:eastAsia="仿宋_GB2312"/>
          <w:snapToGrid w:val="0"/>
          <w:color w:val="000000"/>
          <w:kern w:val="0"/>
          <w:sz w:val="32"/>
          <w:szCs w:val="32"/>
          <w:lang w:bidi="ar"/>
        </w:rPr>
      </w:pPr>
      <w:r>
        <w:rPr>
          <w:rFonts w:hint="eastAsia" w:ascii="仿宋_GB2312" w:eastAsia="仿宋_GB2312"/>
          <w:snapToGrid w:val="0"/>
          <w:color w:val="000000"/>
          <w:kern w:val="0"/>
          <w:sz w:val="32"/>
          <w:szCs w:val="32"/>
          <w:lang w:bidi="ar"/>
        </w:rPr>
        <w:t>单位能耗增加值=工业增加值/综合能耗。</w:t>
      </w:r>
    </w:p>
    <w:p>
      <w:pPr>
        <w:overflowPunct w:val="0"/>
        <w:adjustRightInd w:val="0"/>
        <w:snapToGrid w:val="0"/>
        <w:spacing w:line="570" w:lineRule="exact"/>
        <w:ind w:firstLine="640" w:firstLineChars="200"/>
        <w:rPr>
          <w:rFonts w:hint="eastAsia" w:ascii="仿宋_GB2312" w:eastAsia="仿宋_GB2312"/>
          <w:snapToGrid w:val="0"/>
          <w:color w:val="000000"/>
          <w:kern w:val="0"/>
          <w:sz w:val="32"/>
          <w:szCs w:val="32"/>
          <w:lang w:bidi="ar"/>
        </w:rPr>
      </w:pPr>
      <w:r>
        <w:rPr>
          <w:rFonts w:hint="eastAsia" w:ascii="仿宋_GB2312" w:eastAsia="仿宋_GB2312"/>
          <w:snapToGrid w:val="0"/>
          <w:color w:val="000000"/>
          <w:kern w:val="0"/>
          <w:sz w:val="32"/>
          <w:szCs w:val="32"/>
          <w:lang w:bidi="ar"/>
        </w:rPr>
        <w:t>工业增加值=固定资产折旧+劳动者报酬+生产税净额+营业盈余，下同。</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color w:val="000000"/>
          <w:kern w:val="0"/>
          <w:sz w:val="32"/>
          <w:szCs w:val="32"/>
          <w:lang w:bidi="ar"/>
        </w:rPr>
        <w:t>综合能耗、固定资产折旧、劳动者报酬、生产税净额、营业盈余等指标</w:t>
      </w:r>
      <w:r>
        <w:rPr>
          <w:rFonts w:hint="eastAsia" w:ascii="仿宋_GB2312" w:eastAsia="仿宋_GB2312"/>
          <w:snapToGrid w:val="0"/>
          <w:kern w:val="0"/>
          <w:sz w:val="32"/>
          <w:szCs w:val="32"/>
        </w:rPr>
        <w:t>具体以合同约定达产验收日期或在达产验收约定时间提前提出申请的日期前连续</w:t>
      </w:r>
      <w:r>
        <w:rPr>
          <w:rFonts w:hint="eastAsia" w:eastAsia="仿宋_GB2312"/>
          <w:snapToGrid w:val="0"/>
          <w:kern w:val="0"/>
          <w:sz w:val="32"/>
          <w:szCs w:val="32"/>
        </w:rPr>
        <w:t>12</w:t>
      </w:r>
      <w:r>
        <w:rPr>
          <w:rFonts w:hint="eastAsia" w:ascii="仿宋_GB2312" w:eastAsia="仿宋_GB2312"/>
          <w:snapToGrid w:val="0"/>
          <w:kern w:val="0"/>
          <w:sz w:val="32"/>
          <w:szCs w:val="32"/>
        </w:rPr>
        <w:t>个月</w:t>
      </w:r>
      <w:r>
        <w:rPr>
          <w:rFonts w:hint="eastAsia" w:ascii="仿宋_GB2312" w:eastAsia="仿宋_GB2312"/>
          <w:snapToGrid w:val="0"/>
          <w:color w:val="000000"/>
          <w:kern w:val="0"/>
          <w:sz w:val="32"/>
          <w:szCs w:val="32"/>
          <w:lang w:bidi="ar"/>
        </w:rPr>
        <w:t>数据</w:t>
      </w:r>
      <w:r>
        <w:rPr>
          <w:rFonts w:hint="eastAsia" w:ascii="仿宋_GB2312" w:eastAsia="仿宋_GB2312"/>
          <w:snapToGrid w:val="0"/>
          <w:kern w:val="0"/>
          <w:sz w:val="32"/>
          <w:szCs w:val="32"/>
        </w:rPr>
        <w:t>合计数为准。</w:t>
      </w:r>
    </w:p>
    <w:p>
      <w:pPr>
        <w:overflowPunct w:val="0"/>
        <w:adjustRightInd w:val="0"/>
        <w:snapToGrid w:val="0"/>
        <w:spacing w:line="570" w:lineRule="exact"/>
        <w:ind w:firstLine="640" w:firstLineChars="200"/>
        <w:rPr>
          <w:rFonts w:ascii="黑体" w:hAnsi="黑体" w:eastAsia="黑体"/>
          <w:snapToGrid w:val="0"/>
          <w:kern w:val="0"/>
          <w:sz w:val="32"/>
          <w:szCs w:val="32"/>
        </w:rPr>
      </w:pPr>
      <w:r>
        <w:rPr>
          <w:rFonts w:ascii="黑体" w:hAnsi="黑体" w:eastAsia="黑体"/>
          <w:snapToGrid w:val="0"/>
          <w:color w:val="000000"/>
          <w:kern w:val="0"/>
          <w:sz w:val="32"/>
          <w:szCs w:val="32"/>
          <w:lang w:bidi="ar"/>
        </w:rPr>
        <w:t>六、单位排放增加值（单位：万元/吨）</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color w:val="000000"/>
          <w:kern w:val="0"/>
          <w:sz w:val="32"/>
          <w:szCs w:val="32"/>
          <w:lang w:bidi="ar"/>
        </w:rPr>
        <w:t>单位排放增加值=工业增加值/排污量。</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color w:val="000000"/>
          <w:kern w:val="0"/>
          <w:sz w:val="32"/>
          <w:szCs w:val="32"/>
          <w:lang w:bidi="ar"/>
        </w:rPr>
        <w:t>排污量：安装使用符合国家规定和监测规范的污染物自动监测设备的，按照污染物自动监测数据计算；未安装使用污染物自动监测设备的，按照监测机构出具的符合国家有关规定和监测规范的监测数据计算；因排放污染物种类多等原因不具备监测条件的，按照国务院生态环境主管部门规定的排污系数、物料衡算方法计算，</w:t>
      </w:r>
      <w:r>
        <w:rPr>
          <w:rFonts w:hint="eastAsia" w:ascii="仿宋_GB2312" w:eastAsia="仿宋_GB2312"/>
          <w:snapToGrid w:val="0"/>
          <w:kern w:val="0"/>
          <w:sz w:val="32"/>
          <w:szCs w:val="32"/>
        </w:rPr>
        <w:t>具体以合同约定达产验收日期或在达产验收约定时间提前提出申请的日期前连续</w:t>
      </w:r>
      <w:r>
        <w:rPr>
          <w:rFonts w:hint="eastAsia" w:eastAsia="仿宋_GB2312"/>
          <w:snapToGrid w:val="0"/>
          <w:kern w:val="0"/>
          <w:sz w:val="32"/>
          <w:szCs w:val="32"/>
        </w:rPr>
        <w:t>12</w:t>
      </w:r>
      <w:r>
        <w:rPr>
          <w:rFonts w:hint="eastAsia" w:ascii="仿宋_GB2312" w:eastAsia="仿宋_GB2312"/>
          <w:snapToGrid w:val="0"/>
          <w:kern w:val="0"/>
          <w:sz w:val="32"/>
          <w:szCs w:val="32"/>
        </w:rPr>
        <w:t>个月</w:t>
      </w:r>
      <w:r>
        <w:rPr>
          <w:rFonts w:hint="eastAsia" w:ascii="仿宋_GB2312" w:eastAsia="仿宋_GB2312"/>
          <w:snapToGrid w:val="0"/>
          <w:color w:val="000000"/>
          <w:kern w:val="0"/>
          <w:sz w:val="32"/>
          <w:szCs w:val="32"/>
          <w:lang w:bidi="ar"/>
        </w:rPr>
        <w:t>排污量</w:t>
      </w:r>
      <w:r>
        <w:rPr>
          <w:rFonts w:hint="eastAsia" w:ascii="仿宋_GB2312" w:eastAsia="仿宋_GB2312"/>
          <w:snapToGrid w:val="0"/>
          <w:kern w:val="0"/>
          <w:sz w:val="32"/>
          <w:szCs w:val="32"/>
        </w:rPr>
        <w:t>合计数为准。</w:t>
      </w:r>
    </w:p>
    <w:p>
      <w:pPr>
        <w:overflowPunct w:val="0"/>
        <w:adjustRightInd w:val="0"/>
        <w:snapToGrid w:val="0"/>
        <w:spacing w:line="570" w:lineRule="exact"/>
        <w:ind w:firstLine="640" w:firstLineChars="200"/>
        <w:rPr>
          <w:rFonts w:ascii="黑体" w:hAnsi="黑体" w:eastAsia="黑体"/>
          <w:snapToGrid w:val="0"/>
          <w:kern w:val="0"/>
          <w:sz w:val="32"/>
          <w:szCs w:val="32"/>
        </w:rPr>
      </w:pPr>
      <w:r>
        <w:rPr>
          <w:rFonts w:ascii="黑体" w:hAnsi="黑体" w:eastAsia="黑体"/>
          <w:snapToGrid w:val="0"/>
          <w:color w:val="000000"/>
          <w:kern w:val="0"/>
          <w:sz w:val="32"/>
          <w:szCs w:val="32"/>
          <w:lang w:bidi="ar"/>
        </w:rPr>
        <w:t>七、研究开发费用总额占营业收入总额的比例</w:t>
      </w:r>
    </w:p>
    <w:p>
      <w:pPr>
        <w:overflowPunct w:val="0"/>
        <w:adjustRightInd w:val="0"/>
        <w:snapToGrid w:val="0"/>
        <w:spacing w:line="570" w:lineRule="exact"/>
        <w:ind w:firstLine="640" w:firstLineChars="200"/>
        <w:rPr>
          <w:rFonts w:hint="eastAsia" w:ascii="仿宋_GB2312" w:eastAsia="仿宋_GB2312"/>
          <w:snapToGrid w:val="0"/>
          <w:color w:val="000000"/>
          <w:kern w:val="0"/>
          <w:sz w:val="32"/>
          <w:szCs w:val="32"/>
          <w:lang w:bidi="ar"/>
        </w:rPr>
      </w:pPr>
      <w:r>
        <w:rPr>
          <w:rFonts w:hint="eastAsia" w:ascii="仿宋_GB2312" w:eastAsia="仿宋_GB2312"/>
          <w:snapToGrid w:val="0"/>
          <w:kern w:val="0"/>
          <w:sz w:val="32"/>
          <w:szCs w:val="32"/>
        </w:rPr>
        <w:t>研究开发费用总额占营业收入总额的比例</w:t>
      </w:r>
      <w:r>
        <w:rPr>
          <w:rFonts w:hint="eastAsia" w:ascii="仿宋_GB2312" w:eastAsia="仿宋_GB2312"/>
          <w:snapToGrid w:val="0"/>
          <w:color w:val="000000"/>
          <w:kern w:val="0"/>
          <w:sz w:val="32"/>
          <w:szCs w:val="32"/>
          <w:lang w:bidi="ar"/>
        </w:rPr>
        <w:t>=</w:t>
      </w:r>
      <w:r>
        <w:rPr>
          <w:rFonts w:hint="eastAsia" w:ascii="仿宋_GB2312" w:eastAsia="仿宋_GB2312"/>
          <w:snapToGrid w:val="0"/>
          <w:kern w:val="0"/>
          <w:sz w:val="32"/>
          <w:szCs w:val="32"/>
        </w:rPr>
        <w:t>研究开发费用总额</w:t>
      </w:r>
      <w:r>
        <w:rPr>
          <w:rFonts w:hint="eastAsia" w:ascii="仿宋_GB2312" w:eastAsia="仿宋_GB2312"/>
          <w:snapToGrid w:val="0"/>
          <w:color w:val="000000"/>
          <w:kern w:val="0"/>
          <w:sz w:val="32"/>
          <w:szCs w:val="32"/>
          <w:lang w:bidi="ar"/>
        </w:rPr>
        <w:t>/</w:t>
      </w:r>
      <w:r>
        <w:rPr>
          <w:rFonts w:hint="eastAsia" w:ascii="仿宋_GB2312" w:eastAsia="仿宋_GB2312"/>
          <w:snapToGrid w:val="0"/>
          <w:kern w:val="0"/>
          <w:sz w:val="32"/>
          <w:szCs w:val="32"/>
        </w:rPr>
        <w:t>营业收入总额。</w:t>
      </w:r>
    </w:p>
    <w:p>
      <w:pPr>
        <w:overflowPunct w:val="0"/>
        <w:adjustRightInd w:val="0"/>
        <w:snapToGrid w:val="0"/>
        <w:spacing w:line="57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研究开发费用总额</w:t>
      </w:r>
      <w:r>
        <w:rPr>
          <w:rFonts w:hint="eastAsia" w:ascii="仿宋_GB2312" w:eastAsia="仿宋_GB2312"/>
          <w:snapToGrid w:val="0"/>
          <w:color w:val="000000"/>
          <w:kern w:val="0"/>
          <w:sz w:val="32"/>
          <w:szCs w:val="32"/>
          <w:lang w:bidi="ar"/>
        </w:rPr>
        <w:t>、</w:t>
      </w:r>
      <w:r>
        <w:rPr>
          <w:rFonts w:hint="eastAsia" w:ascii="仿宋_GB2312" w:eastAsia="仿宋_GB2312"/>
          <w:snapToGrid w:val="0"/>
          <w:kern w:val="0"/>
          <w:sz w:val="32"/>
          <w:szCs w:val="32"/>
        </w:rPr>
        <w:t>营业收入总额具体以合同约定达产验收日期或在达产验收约定时间提前提出申请的日期前连续</w:t>
      </w:r>
      <w:r>
        <w:rPr>
          <w:rFonts w:hint="eastAsia" w:eastAsia="仿宋_GB2312"/>
          <w:snapToGrid w:val="0"/>
          <w:kern w:val="0"/>
          <w:sz w:val="32"/>
          <w:szCs w:val="32"/>
        </w:rPr>
        <w:t>12</w:t>
      </w:r>
      <w:r>
        <w:rPr>
          <w:rFonts w:hint="eastAsia" w:ascii="仿宋_GB2312" w:eastAsia="仿宋_GB2312"/>
          <w:snapToGrid w:val="0"/>
          <w:kern w:val="0"/>
          <w:sz w:val="32"/>
          <w:szCs w:val="32"/>
        </w:rPr>
        <w:t>个月数据合计数为准。</w:t>
      </w:r>
    </w:p>
    <w:p>
      <w:pPr>
        <w:overflowPunct w:val="0"/>
        <w:adjustRightInd w:val="0"/>
        <w:snapToGrid w:val="0"/>
        <w:spacing w:line="570" w:lineRule="exact"/>
        <w:ind w:firstLine="640" w:firstLineChars="200"/>
        <w:rPr>
          <w:rFonts w:ascii="黑体" w:hAnsi="黑体" w:eastAsia="黑体"/>
          <w:snapToGrid w:val="0"/>
          <w:color w:val="000000"/>
          <w:kern w:val="0"/>
          <w:sz w:val="32"/>
          <w:szCs w:val="32"/>
          <w:lang w:bidi="ar"/>
        </w:rPr>
      </w:pPr>
      <w:r>
        <w:rPr>
          <w:rFonts w:ascii="黑体" w:hAnsi="黑体" w:eastAsia="黑体"/>
          <w:snapToGrid w:val="0"/>
          <w:color w:val="000000"/>
          <w:kern w:val="0"/>
          <w:sz w:val="32"/>
          <w:szCs w:val="32"/>
          <w:lang w:bidi="ar"/>
        </w:rPr>
        <w:t>八、全员劳动生产率(单位:万元/人·年)</w:t>
      </w:r>
    </w:p>
    <w:p>
      <w:pPr>
        <w:overflowPunct w:val="0"/>
        <w:adjustRightInd w:val="0"/>
        <w:snapToGrid w:val="0"/>
        <w:spacing w:line="570" w:lineRule="exact"/>
        <w:ind w:firstLine="640" w:firstLineChars="200"/>
        <w:rPr>
          <w:rFonts w:hint="eastAsia" w:ascii="仿宋_GB2312" w:eastAsia="仿宋_GB2312"/>
          <w:snapToGrid w:val="0"/>
          <w:color w:val="000000"/>
          <w:kern w:val="0"/>
          <w:sz w:val="32"/>
          <w:szCs w:val="32"/>
          <w:lang w:bidi="ar"/>
        </w:rPr>
      </w:pPr>
      <w:r>
        <w:rPr>
          <w:rFonts w:hint="eastAsia" w:ascii="仿宋_GB2312" w:eastAsia="仿宋_GB2312"/>
          <w:snapToGrid w:val="0"/>
          <w:color w:val="000000"/>
          <w:kern w:val="0"/>
          <w:sz w:val="32"/>
          <w:szCs w:val="32"/>
          <w:lang w:bidi="ar"/>
        </w:rPr>
        <w:t>全员劳动生产率=工业增加值/年平均职工人数。</w:t>
      </w:r>
    </w:p>
    <w:p>
      <w:pPr>
        <w:overflowPunct w:val="0"/>
        <w:adjustRightInd w:val="0"/>
        <w:snapToGrid w:val="0"/>
        <w:spacing w:line="570" w:lineRule="exact"/>
        <w:ind w:firstLine="640" w:firstLineChars="200"/>
        <w:rPr>
          <w:rFonts w:hint="eastAsia" w:ascii="仿宋_GB2312" w:eastAsia="仿宋_GB2312"/>
          <w:snapToGrid w:val="0"/>
          <w:color w:val="000000"/>
          <w:kern w:val="0"/>
          <w:sz w:val="32"/>
          <w:szCs w:val="32"/>
          <w:lang w:bidi="ar"/>
        </w:rPr>
      </w:pPr>
      <w:r>
        <w:rPr>
          <w:rFonts w:hint="eastAsia" w:ascii="仿宋_GB2312" w:eastAsia="仿宋_GB2312"/>
          <w:snapToGrid w:val="0"/>
          <w:color w:val="000000"/>
          <w:kern w:val="0"/>
          <w:sz w:val="32"/>
          <w:szCs w:val="32"/>
          <w:lang w:bidi="ar"/>
        </w:rPr>
        <w:t>年平均职工人数:指企业年度平均从业人员数。</w:t>
      </w:r>
    </w:p>
    <w:p>
      <w:pPr>
        <w:pStyle w:val="2"/>
        <w:keepNext w:val="0"/>
        <w:keepLines w:val="0"/>
        <w:numPr>
          <w:ilvl w:val="0"/>
          <w:numId w:val="0"/>
        </w:numPr>
        <w:tabs>
          <w:tab w:val="left" w:pos="0"/>
        </w:tabs>
        <w:overflowPunct w:val="0"/>
        <w:snapToGrid w:val="0"/>
        <w:spacing w:line="570" w:lineRule="exact"/>
        <w:ind w:firstLine="640" w:firstLineChars="200"/>
        <w:jc w:val="both"/>
        <w:rPr>
          <w:rFonts w:ascii="黑体" w:hAnsi="黑体"/>
          <w:b w:val="0"/>
          <w:snapToGrid w:val="0"/>
          <w:color w:val="000000"/>
          <w:kern w:val="0"/>
          <w:szCs w:val="32"/>
          <w:lang w:bidi="ar"/>
        </w:rPr>
      </w:pPr>
      <w:r>
        <w:rPr>
          <w:rFonts w:ascii="黑体" w:hAnsi="黑体"/>
          <w:b w:val="0"/>
          <w:snapToGrid w:val="0"/>
          <w:color w:val="000000"/>
          <w:kern w:val="0"/>
          <w:szCs w:val="32"/>
          <w:lang w:bidi="ar"/>
        </w:rPr>
        <w:t>九、容积率</w:t>
      </w:r>
    </w:p>
    <w:p>
      <w:pPr>
        <w:overflowPunct w:val="0"/>
        <w:adjustRightInd w:val="0"/>
        <w:snapToGrid w:val="0"/>
        <w:spacing w:line="570" w:lineRule="exact"/>
        <w:ind w:firstLine="640" w:firstLineChars="200"/>
        <w:rPr>
          <w:rFonts w:hint="eastAsia" w:ascii="仿宋_GB2312" w:eastAsia="仿宋_GB2312"/>
          <w:snapToGrid w:val="0"/>
          <w:kern w:val="0"/>
        </w:rPr>
      </w:pPr>
      <w:r>
        <w:rPr>
          <w:rFonts w:hint="eastAsia" w:ascii="仿宋_GB2312" w:eastAsia="仿宋_GB2312"/>
          <w:snapToGrid w:val="0"/>
          <w:color w:val="000000"/>
          <w:kern w:val="0"/>
          <w:sz w:val="32"/>
          <w:szCs w:val="32"/>
          <w:lang w:bidi="ar"/>
        </w:rPr>
        <w:t>容积率=项目总建筑面积/项目用地面积。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
      <w:suff w:val="nothing"/>
      <w:lvlText w:val="%1、"/>
      <w:lvlJc w:val="left"/>
      <w:rPr>
        <w:rFonts w:hint="eastAsia"/>
      </w:rPr>
    </w:lvl>
    <w:lvl w:ilvl="1" w:tentative="0">
      <w:start w:val="1"/>
      <w:numFmt w:val="chineseCounting"/>
      <w:suff w:val="nothing"/>
      <w:lvlText w:val="%2、"/>
      <w:lvlJc w:val="left"/>
      <w:pPr>
        <w:ind w:left="0" w:firstLine="402"/>
      </w:pPr>
      <w:rPr>
        <w:rFonts w:hint="eastAsia" w:ascii="宋体" w:hAnsi="宋体" w:eastAsia="宋体" w:cs="宋体"/>
      </w:rPr>
    </w:lvl>
    <w:lvl w:ilvl="2" w:tentative="0">
      <w:start w:val="1"/>
      <w:numFmt w:val="chineseCounting"/>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0000002"/>
    <w:multiLevelType w:val="multilevel"/>
    <w:tmpl w:val="00000002"/>
    <w:lvl w:ilvl="0" w:tentative="0">
      <w:start w:val="1"/>
      <w:numFmt w:val="chineseCounting"/>
      <w:suff w:val="nothing"/>
      <w:lvlText w:val="第%1章 "/>
      <w:lvlJc w:val="left"/>
      <w:pPr>
        <w:tabs>
          <w:tab w:val="left" w:pos="0"/>
        </w:tabs>
        <w:ind w:left="0" w:firstLine="402"/>
      </w:pPr>
      <w:rPr>
        <w:rFonts w:hint="eastAsia"/>
      </w:rPr>
    </w:lvl>
    <w:lvl w:ilvl="1" w:tentative="0">
      <w:start w:val="1"/>
      <w:numFmt w:val="chineseCounting"/>
      <w:pStyle w:val="2"/>
      <w:suff w:val="nothing"/>
      <w:lvlText w:val="%2、"/>
      <w:lvlJc w:val="left"/>
      <w:pPr>
        <w:ind w:left="0" w:firstLine="402"/>
      </w:pPr>
      <w:rPr>
        <w:rFonts w:hint="eastAsia" w:ascii="宋体" w:hAnsi="宋体" w:eastAsia="宋体" w:cs="宋体"/>
      </w:rPr>
    </w:lvl>
    <w:lvl w:ilvl="2" w:tentative="0">
      <w:start w:val="1"/>
      <w:numFmt w:val="chineseCounting"/>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40F86E96"/>
    <w:rsid w:val="40F8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tabs>
        <w:tab w:val="left" w:pos="420"/>
        <w:tab w:val="left" w:pos="644"/>
      </w:tabs>
      <w:adjustRightInd w:val="0"/>
      <w:spacing w:line="288" w:lineRule="auto"/>
      <w:jc w:val="left"/>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uiPriority w:val="0"/>
    <w:pPr>
      <w:snapToGrid w:val="0"/>
      <w:spacing w:line="336" w:lineRule="auto"/>
      <w:ind w:firstLine="645"/>
    </w:pPr>
    <w:rPr>
      <w:rFonts w:ascii="仿宋_GB2312" w:eastAsia="仿宋_GB2312"/>
      <w:spacing w:val="-4"/>
      <w:sz w:val="32"/>
      <w:szCs w:val="20"/>
    </w:rPr>
  </w:style>
  <w:style w:type="paragraph" w:styleId="4">
    <w:name w:val="Body Text First Indent 2"/>
    <w:basedOn w:val="3"/>
    <w:uiPriority w:val="0"/>
    <w:pPr>
      <w:snapToGrid/>
      <w:spacing w:after="120" w:line="240" w:lineRule="auto"/>
      <w:ind w:left="420" w:leftChars="200" w:firstLine="420" w:firstLineChars="200"/>
    </w:pPr>
    <w:rPr>
      <w:rFonts w:ascii="Times New Roman" w:eastAsia="宋体"/>
      <w:spacing w:val="0"/>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2023-01-28T02:30:00Z</dcterms:created>
  <dc:creator>洪孙雷</dc:creator>
  <cp:lastModifiedBy>洪孙雷</cp:lastModifiedBy>
  <dcterms:modified xsi:type="dcterms:W3CDTF">2023-01-28T02:31:53Z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67D347B95F6E48D6A40B6DA994F0617A</vt:lpwstr>
  </property>
</Properties>
</file>