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方正小标宋简体" w:hAnsi="黑体" w:eastAsia="方正小标宋简体"/>
          <w:color w:val="000000"/>
          <w:kern w:val="0"/>
          <w:sz w:val="44"/>
          <w:szCs w:val="44"/>
        </w:rPr>
      </w:pPr>
      <w:r>
        <w:rPr>
          <w:rFonts w:hint="eastAsia" w:ascii="方正小标宋简体" w:hAnsi="黑体" w:eastAsia="方正小标宋简体"/>
          <w:color w:val="000000"/>
          <w:kern w:val="0"/>
          <w:sz w:val="44"/>
          <w:szCs w:val="44"/>
        </w:rPr>
        <w:t>温州市低效工业项目整治提升工作指导意见</w:t>
      </w:r>
    </w:p>
    <w:p>
      <w:pPr>
        <w:autoSpaceDE w:val="0"/>
        <w:autoSpaceDN w:val="0"/>
        <w:spacing w:line="560" w:lineRule="exact"/>
        <w:jc w:val="center"/>
        <w:rPr>
          <w:rFonts w:ascii="楷体_GB2312" w:eastAsia="楷体_GB2312"/>
          <w:color w:val="000000"/>
          <w:sz w:val="32"/>
          <w:szCs w:val="32"/>
        </w:rPr>
      </w:pPr>
      <w:r>
        <w:rPr>
          <w:rFonts w:hint="eastAsia" w:ascii="楷体_GB2312" w:eastAsia="楷体_GB2312"/>
          <w:color w:val="000000"/>
          <w:sz w:val="32"/>
          <w:szCs w:val="32"/>
        </w:rPr>
        <w:t>（</w:t>
      </w:r>
      <w:r>
        <w:rPr>
          <w:rFonts w:hint="eastAsia" w:ascii="楷体_GB2312" w:eastAsia="楷体_GB2312"/>
          <w:color w:val="000000"/>
          <w:sz w:val="32"/>
          <w:szCs w:val="32"/>
          <w:lang w:eastAsia="zh-CN"/>
        </w:rPr>
        <w:t>征求意见</w:t>
      </w:r>
      <w:r>
        <w:rPr>
          <w:rFonts w:hint="eastAsia" w:ascii="楷体_GB2312" w:eastAsia="楷体_GB2312"/>
          <w:color w:val="000000"/>
          <w:sz w:val="32"/>
          <w:szCs w:val="32"/>
        </w:rPr>
        <w:t>稿）</w:t>
      </w:r>
    </w:p>
    <w:p>
      <w:pPr>
        <w:autoSpaceDE w:val="0"/>
        <w:autoSpaceDN w:val="0"/>
        <w:adjustRightInd w:val="0"/>
        <w:spacing w:line="491" w:lineRule="exact"/>
        <w:ind w:left="1421"/>
        <w:jc w:val="left"/>
        <w:rPr>
          <w:color w:val="000000"/>
          <w:kern w:val="0"/>
          <w:sz w:val="32"/>
          <w:szCs w:val="32"/>
        </w:rPr>
      </w:pPr>
    </w:p>
    <w:p>
      <w:pPr>
        <w:autoSpaceDE w:val="0"/>
        <w:autoSpaceDN w:val="0"/>
        <w:spacing w:line="560" w:lineRule="exact"/>
        <w:ind w:firstLine="640" w:firstLineChars="200"/>
        <w:rPr>
          <w:rFonts w:eastAsia="仿宋_GB2312"/>
          <w:color w:val="000000"/>
          <w:sz w:val="32"/>
          <w:szCs w:val="32"/>
        </w:rPr>
      </w:pPr>
      <w:r>
        <w:rPr>
          <w:rFonts w:eastAsia="仿宋_GB2312"/>
          <w:color w:val="000000"/>
          <w:sz w:val="32"/>
          <w:szCs w:val="32"/>
        </w:rPr>
        <w:t>为进一步加快推进低效工业项目整治提升专项行动，根据《中华人民共和国土地管理法》《闲置土地处置办法》（国土资源部令第53号）《浙江省人民政府关于推进低效利用建设用地二次开发的若干意见》（浙政发〔2012〕35 号）等法规和文件要求，结合我市实际情况，特制定本意见。</w:t>
      </w:r>
    </w:p>
    <w:p>
      <w:pPr>
        <w:autoSpaceDE w:val="0"/>
        <w:autoSpaceDN w:val="0"/>
        <w:spacing w:line="560" w:lineRule="exact"/>
        <w:ind w:firstLine="640" w:firstLineChars="200"/>
        <w:rPr>
          <w:rFonts w:ascii="黑体" w:hAnsi="黑体" w:eastAsia="黑体"/>
          <w:color w:val="000000"/>
          <w:sz w:val="32"/>
          <w:szCs w:val="32"/>
        </w:rPr>
      </w:pPr>
      <w:r>
        <w:rPr>
          <w:rFonts w:ascii="黑体" w:hAnsi="黑体" w:eastAsia="黑体"/>
          <w:color w:val="000000"/>
          <w:sz w:val="32"/>
          <w:szCs w:val="32"/>
        </w:rPr>
        <w:t>一、总体目标</w:t>
      </w:r>
    </w:p>
    <w:p>
      <w:pPr>
        <w:spacing w:line="560" w:lineRule="exact"/>
        <w:ind w:firstLine="640" w:firstLineChars="200"/>
        <w:rPr>
          <w:rFonts w:eastAsia="仿宋_GB2312"/>
          <w:sz w:val="32"/>
          <w:szCs w:val="32"/>
        </w:rPr>
      </w:pPr>
      <w:r>
        <w:rPr>
          <w:rFonts w:eastAsia="仿宋_GB2312"/>
          <w:sz w:val="32"/>
          <w:szCs w:val="32"/>
        </w:rPr>
        <w:t>加大对“用而未尽、建而未投、投而未达”三类低效工业用地和空置、出租及不规范使用的工业厂房处置力度，每年整治低效工业用地10000亩、整治低效厂房100万平方米以上，到2022年底，基本完成全市低效工业项目整治工作，为创建新时代“两个健康”先行区提供坚实的土地要素保障。</w:t>
      </w:r>
    </w:p>
    <w:p>
      <w:pPr>
        <w:autoSpaceDE w:val="0"/>
        <w:autoSpaceDN w:val="0"/>
        <w:spacing w:line="560" w:lineRule="exact"/>
        <w:ind w:firstLine="640" w:firstLineChars="200"/>
        <w:rPr>
          <w:rFonts w:ascii="黑体" w:hAnsi="黑体" w:eastAsia="黑体"/>
          <w:color w:val="000000"/>
          <w:sz w:val="32"/>
          <w:szCs w:val="32"/>
        </w:rPr>
      </w:pPr>
      <w:r>
        <w:rPr>
          <w:rFonts w:ascii="黑体" w:hAnsi="黑体" w:eastAsia="黑体"/>
          <w:color w:val="000000"/>
          <w:sz w:val="32"/>
          <w:szCs w:val="32"/>
        </w:rPr>
        <w:t>二、</w:t>
      </w:r>
      <w:r>
        <w:rPr>
          <w:rFonts w:hint="eastAsia" w:ascii="黑体" w:hAnsi="黑体" w:eastAsia="黑体"/>
          <w:color w:val="000000"/>
          <w:sz w:val="32"/>
          <w:szCs w:val="32"/>
        </w:rPr>
        <w:t>认定标准</w:t>
      </w:r>
    </w:p>
    <w:p>
      <w:pPr>
        <w:spacing w:line="560" w:lineRule="exact"/>
        <w:ind w:firstLine="640" w:firstLineChars="200"/>
        <w:rPr>
          <w:rFonts w:eastAsia="仿宋_GB2312"/>
          <w:sz w:val="32"/>
          <w:szCs w:val="32"/>
        </w:rPr>
      </w:pPr>
      <w:r>
        <w:rPr>
          <w:rFonts w:eastAsia="仿宋_GB2312"/>
          <w:sz w:val="32"/>
          <w:szCs w:val="32"/>
        </w:rPr>
        <w:t>对土地利用不充分、产出效益低下的工业项目按以下四类标准进行分类认定。</w:t>
      </w:r>
    </w:p>
    <w:p>
      <w:pPr>
        <w:spacing w:line="560" w:lineRule="exact"/>
        <w:ind w:firstLine="640" w:firstLineChars="200"/>
        <w:rPr>
          <w:rFonts w:eastAsia="仿宋_GB2312"/>
          <w:sz w:val="32"/>
          <w:szCs w:val="32"/>
        </w:rPr>
      </w:pPr>
      <w:r>
        <w:rPr>
          <w:rFonts w:eastAsia="仿宋_GB2312"/>
          <w:sz w:val="32"/>
          <w:szCs w:val="32"/>
        </w:rPr>
        <w:t>1.“用而未尽”工业项目指在合同建设期满，存在以下情况之一的工业项目：</w:t>
      </w:r>
    </w:p>
    <w:p>
      <w:pPr>
        <w:spacing w:line="560" w:lineRule="exact"/>
        <w:ind w:firstLine="640" w:firstLineChars="200"/>
        <w:rPr>
          <w:rFonts w:eastAsia="仿宋_GB2312"/>
          <w:sz w:val="32"/>
          <w:szCs w:val="32"/>
        </w:rPr>
      </w:pPr>
      <w:r>
        <w:rPr>
          <w:rFonts w:eastAsia="仿宋_GB2312"/>
          <w:sz w:val="32"/>
          <w:szCs w:val="32"/>
        </w:rPr>
        <w:t>（1）实际开发建设容积率未达到合同约定的。</w:t>
      </w:r>
    </w:p>
    <w:p>
      <w:pPr>
        <w:spacing w:line="560" w:lineRule="exact"/>
        <w:ind w:firstLine="640" w:firstLineChars="200"/>
        <w:rPr>
          <w:rFonts w:eastAsia="仿宋_GB2312"/>
          <w:sz w:val="32"/>
          <w:szCs w:val="32"/>
        </w:rPr>
      </w:pPr>
      <w:r>
        <w:rPr>
          <w:rFonts w:eastAsia="仿宋_GB2312"/>
          <w:sz w:val="32"/>
          <w:szCs w:val="32"/>
        </w:rPr>
        <w:t>（2）土地开发建设面积比例达到1/3 以上但不足70%的。</w:t>
      </w:r>
    </w:p>
    <w:p>
      <w:pPr>
        <w:spacing w:line="560" w:lineRule="exact"/>
        <w:ind w:firstLine="640" w:firstLineChars="200"/>
        <w:rPr>
          <w:rFonts w:eastAsia="仿宋_GB2312"/>
          <w:sz w:val="32"/>
          <w:szCs w:val="32"/>
        </w:rPr>
      </w:pPr>
      <w:r>
        <w:rPr>
          <w:rFonts w:eastAsia="仿宋_GB2312"/>
          <w:sz w:val="32"/>
          <w:szCs w:val="32"/>
        </w:rPr>
        <w:t>（3）用地范围内未开发建设用地面积达到 10 亩（含）以上的。</w:t>
      </w:r>
    </w:p>
    <w:p>
      <w:pPr>
        <w:spacing w:line="560" w:lineRule="exact"/>
        <w:ind w:firstLine="640" w:firstLineChars="200"/>
        <w:rPr>
          <w:rFonts w:eastAsia="仿宋_GB2312"/>
          <w:sz w:val="32"/>
          <w:szCs w:val="32"/>
        </w:rPr>
      </w:pPr>
      <w:r>
        <w:rPr>
          <w:rFonts w:eastAsia="仿宋_GB2312"/>
          <w:sz w:val="32"/>
          <w:szCs w:val="32"/>
        </w:rPr>
        <w:t>（4）项目（含经批准分期实施的）未经住建、自然资源和规划部门验收，尚未办理不动产权证的。</w:t>
      </w:r>
    </w:p>
    <w:p>
      <w:pPr>
        <w:spacing w:line="560" w:lineRule="exact"/>
        <w:ind w:firstLine="640" w:firstLineChars="200"/>
        <w:rPr>
          <w:rFonts w:eastAsia="仿宋_GB2312"/>
          <w:sz w:val="32"/>
          <w:szCs w:val="32"/>
        </w:rPr>
      </w:pPr>
      <w:r>
        <w:rPr>
          <w:rFonts w:eastAsia="仿宋_GB2312"/>
          <w:sz w:val="32"/>
          <w:szCs w:val="32"/>
        </w:rPr>
        <w:t>2.“建而未投”工业项目指合同建设期满，存在以下情况之一的工业项目：</w:t>
      </w:r>
    </w:p>
    <w:p>
      <w:pPr>
        <w:spacing w:line="560" w:lineRule="exact"/>
        <w:ind w:firstLine="640" w:firstLineChars="200"/>
        <w:rPr>
          <w:rFonts w:eastAsia="仿宋_GB2312"/>
          <w:sz w:val="32"/>
          <w:szCs w:val="32"/>
        </w:rPr>
      </w:pPr>
      <w:r>
        <w:rPr>
          <w:rFonts w:eastAsia="仿宋_GB2312"/>
          <w:sz w:val="32"/>
          <w:szCs w:val="32"/>
        </w:rPr>
        <w:t>（1）土地开发建设面积符合要求，但固定资产投资强度达到合同约定的 25%以上但不足 70%的。</w:t>
      </w:r>
    </w:p>
    <w:p>
      <w:pPr>
        <w:spacing w:line="560" w:lineRule="exact"/>
        <w:ind w:firstLine="640" w:firstLineChars="200"/>
        <w:rPr>
          <w:rFonts w:eastAsia="仿宋_GB2312"/>
          <w:sz w:val="32"/>
          <w:szCs w:val="32"/>
        </w:rPr>
      </w:pPr>
      <w:r>
        <w:rPr>
          <w:rFonts w:eastAsia="仿宋_GB2312"/>
          <w:sz w:val="32"/>
          <w:szCs w:val="32"/>
        </w:rPr>
        <w:t>（2）厂房已竣工，未按合同约定时间投入生产，闲置状态1年以上的。</w:t>
      </w:r>
    </w:p>
    <w:p>
      <w:pPr>
        <w:spacing w:line="560" w:lineRule="exact"/>
        <w:ind w:firstLine="640" w:firstLineChars="200"/>
        <w:rPr>
          <w:rFonts w:eastAsia="仿宋_GB2312"/>
          <w:sz w:val="32"/>
          <w:szCs w:val="32"/>
        </w:rPr>
      </w:pPr>
      <w:r>
        <w:rPr>
          <w:rFonts w:eastAsia="仿宋_GB2312"/>
          <w:sz w:val="32"/>
          <w:szCs w:val="32"/>
        </w:rPr>
        <w:t>3.“投而未达”工业项目指合同建设期满，存在以下情况之一的工业项目：</w:t>
      </w:r>
    </w:p>
    <w:p>
      <w:pPr>
        <w:spacing w:line="560" w:lineRule="exact"/>
        <w:ind w:firstLine="640" w:firstLineChars="200"/>
        <w:rPr>
          <w:rFonts w:eastAsia="仿宋_GB2312"/>
          <w:sz w:val="32"/>
          <w:szCs w:val="32"/>
        </w:rPr>
      </w:pPr>
      <w:r>
        <w:rPr>
          <w:rFonts w:eastAsia="仿宋_GB2312"/>
          <w:sz w:val="32"/>
          <w:szCs w:val="32"/>
        </w:rPr>
        <w:t>（1）对于已经签订合同的工业项目，建设开发面积和投资强度符合要求，但约定达产年份亩均税收均未达到合同的约定标准的。</w:t>
      </w:r>
    </w:p>
    <w:p>
      <w:pPr>
        <w:spacing w:line="560" w:lineRule="exact"/>
        <w:ind w:firstLine="640" w:firstLineChars="200"/>
        <w:rPr>
          <w:rFonts w:eastAsia="仿宋_GB2312"/>
          <w:sz w:val="32"/>
          <w:szCs w:val="32"/>
        </w:rPr>
      </w:pPr>
      <w:r>
        <w:rPr>
          <w:rFonts w:eastAsia="仿宋_GB2312"/>
          <w:sz w:val="32"/>
          <w:szCs w:val="32"/>
        </w:rPr>
        <w:t>（2）对于没有签订合同或者签了合同但没有约定亩均税收要求的工业项目，2018年度亩均税收低于3万元（鹿城区、龙湾区、瓯海区以及省级产业平台低于5万元）的。对于经登记备案的出租工业项目（厂房），承租企业税收可以合并计算。</w:t>
      </w:r>
    </w:p>
    <w:p>
      <w:pPr>
        <w:spacing w:line="560" w:lineRule="exact"/>
        <w:ind w:firstLine="640" w:firstLineChars="200"/>
        <w:rPr>
          <w:rFonts w:eastAsia="仿宋_GB2312"/>
          <w:sz w:val="32"/>
          <w:szCs w:val="32"/>
        </w:rPr>
      </w:pPr>
      <w:r>
        <w:rPr>
          <w:rFonts w:eastAsia="仿宋_GB2312"/>
          <w:sz w:val="32"/>
          <w:szCs w:val="32"/>
        </w:rPr>
        <w:t>项目合同是指工业项目投资合同、土地使用权出让合同、招商合同（协议）等政府或部门与投资企业签订的约定土地开发要求、明确违约责任和处置措施的合约。</w:t>
      </w:r>
    </w:p>
    <w:p>
      <w:pPr>
        <w:spacing w:line="560" w:lineRule="exact"/>
        <w:ind w:firstLine="640" w:firstLineChars="200"/>
        <w:rPr>
          <w:rFonts w:eastAsia="仿宋_GB2312"/>
          <w:sz w:val="32"/>
          <w:szCs w:val="32"/>
        </w:rPr>
      </w:pPr>
      <w:r>
        <w:rPr>
          <w:rFonts w:eastAsia="仿宋_GB2312"/>
          <w:sz w:val="32"/>
          <w:szCs w:val="32"/>
        </w:rPr>
        <w:t>4.空置、出租及不规范使用的工业厂房指工业项目竣工投产后存在以下情况之一的厂房：</w:t>
      </w:r>
    </w:p>
    <w:p>
      <w:pPr>
        <w:spacing w:line="560" w:lineRule="exact"/>
        <w:ind w:firstLine="640" w:firstLineChars="200"/>
        <w:rPr>
          <w:rFonts w:eastAsia="仿宋_GB2312"/>
          <w:sz w:val="32"/>
          <w:szCs w:val="32"/>
        </w:rPr>
      </w:pPr>
      <w:r>
        <w:rPr>
          <w:rFonts w:eastAsia="仿宋_GB2312"/>
          <w:sz w:val="32"/>
          <w:szCs w:val="32"/>
        </w:rPr>
        <w:t>（1）厂房空置1年以上且面积在500平方米以上的；</w:t>
      </w:r>
    </w:p>
    <w:p>
      <w:pPr>
        <w:spacing w:line="560" w:lineRule="exact"/>
        <w:ind w:firstLine="640" w:firstLineChars="200"/>
        <w:rPr>
          <w:rFonts w:eastAsia="仿宋_GB2312"/>
          <w:sz w:val="32"/>
          <w:szCs w:val="32"/>
        </w:rPr>
      </w:pPr>
      <w:r>
        <w:rPr>
          <w:rFonts w:eastAsia="仿宋_GB2312"/>
          <w:sz w:val="32"/>
          <w:szCs w:val="32"/>
        </w:rPr>
        <w:t>（2）厂房用于出租且面积在500平方米以上的；</w:t>
      </w:r>
    </w:p>
    <w:p>
      <w:pPr>
        <w:spacing w:line="560" w:lineRule="exact"/>
        <w:ind w:firstLine="640" w:firstLineChars="200"/>
        <w:rPr>
          <w:rFonts w:eastAsia="仿宋_GB2312"/>
          <w:sz w:val="32"/>
          <w:szCs w:val="32"/>
        </w:rPr>
      </w:pPr>
      <w:r>
        <w:rPr>
          <w:rFonts w:eastAsia="仿宋_GB2312"/>
          <w:sz w:val="32"/>
          <w:szCs w:val="32"/>
        </w:rPr>
        <w:t>（3）未经属地政府批准擅自改变厂房用途（工改商、工改居），或者经过批准但超期使用的。</w:t>
      </w:r>
    </w:p>
    <w:p>
      <w:pPr>
        <w:autoSpaceDE w:val="0"/>
        <w:autoSpaceDN w:val="0"/>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sz w:val="32"/>
          <w:szCs w:val="32"/>
        </w:rPr>
        <w:t>三、处置意见</w:t>
      </w:r>
    </w:p>
    <w:p>
      <w:pPr>
        <w:pStyle w:val="7"/>
        <w:adjustRightInd/>
        <w:spacing w:line="560" w:lineRule="exact"/>
        <w:ind w:firstLine="641"/>
        <w:jc w:val="both"/>
        <w:rPr>
          <w:rFonts w:ascii="楷体" w:hAnsi="楷体" w:eastAsia="楷体" w:cs="Times New Roman"/>
          <w:kern w:val="2"/>
          <w:sz w:val="32"/>
          <w:szCs w:val="32"/>
        </w:rPr>
      </w:pPr>
      <w:r>
        <w:rPr>
          <w:rFonts w:hint="eastAsia" w:ascii="楷体" w:hAnsi="楷体" w:eastAsia="楷体" w:cs="Times New Roman"/>
          <w:kern w:val="2"/>
          <w:sz w:val="32"/>
          <w:szCs w:val="32"/>
        </w:rPr>
        <w:t>（一）</w:t>
      </w:r>
      <w:r>
        <w:rPr>
          <w:rFonts w:ascii="楷体" w:hAnsi="楷体" w:eastAsia="楷体" w:cs="Times New Roman"/>
          <w:kern w:val="2"/>
          <w:sz w:val="32"/>
          <w:szCs w:val="32"/>
        </w:rPr>
        <w:t>“用而未尽”“建而未投”</w:t>
      </w:r>
      <w:r>
        <w:rPr>
          <w:rFonts w:hint="eastAsia" w:ascii="楷体" w:hAnsi="楷体" w:eastAsia="楷体" w:cs="Times New Roman"/>
          <w:kern w:val="2"/>
          <w:sz w:val="32"/>
          <w:szCs w:val="32"/>
        </w:rPr>
        <w:t>“投而未达”</w:t>
      </w:r>
      <w:r>
        <w:rPr>
          <w:rFonts w:ascii="楷体" w:hAnsi="楷体" w:eastAsia="楷体" w:cs="Times New Roman"/>
          <w:kern w:val="2"/>
          <w:sz w:val="32"/>
          <w:szCs w:val="32"/>
        </w:rPr>
        <w:t>工业</w:t>
      </w:r>
      <w:r>
        <w:rPr>
          <w:rFonts w:hint="eastAsia" w:ascii="楷体" w:hAnsi="楷体" w:eastAsia="楷体" w:cs="Times New Roman"/>
          <w:kern w:val="2"/>
          <w:sz w:val="32"/>
          <w:szCs w:val="32"/>
        </w:rPr>
        <w:t>项目处置</w:t>
      </w:r>
    </w:p>
    <w:p>
      <w:pPr>
        <w:autoSpaceDE w:val="0"/>
        <w:autoSpaceDN w:val="0"/>
        <w:spacing w:line="560" w:lineRule="exact"/>
        <w:ind w:firstLine="640" w:firstLineChars="200"/>
        <w:rPr>
          <w:rFonts w:eastAsia="仿宋_GB2312"/>
          <w:color w:val="000000"/>
          <w:sz w:val="32"/>
          <w:szCs w:val="32"/>
        </w:rPr>
      </w:pPr>
      <w:r>
        <w:rPr>
          <w:rFonts w:hint="eastAsia" w:ascii="仿宋_GB2312" w:eastAsia="仿宋_GB2312"/>
          <w:b/>
          <w:color w:val="000000"/>
          <w:sz w:val="32"/>
          <w:szCs w:val="32"/>
        </w:rPr>
        <w:t>1.</w:t>
      </w:r>
      <w:r>
        <w:rPr>
          <w:rFonts w:hint="eastAsia" w:ascii="仿宋_GB2312" w:eastAsia="仿宋_GB2312"/>
          <w:b/>
          <w:color w:val="000000"/>
          <w:sz w:val="32"/>
          <w:szCs w:val="32"/>
          <w:lang w:eastAsia="zh-CN"/>
        </w:rPr>
        <w:t>实行</w:t>
      </w:r>
      <w:r>
        <w:rPr>
          <w:rFonts w:ascii="仿宋_GB2312" w:eastAsia="仿宋_GB2312"/>
          <w:b/>
          <w:color w:val="000000"/>
          <w:sz w:val="32"/>
          <w:szCs w:val="32"/>
        </w:rPr>
        <w:t>限期</w:t>
      </w:r>
      <w:r>
        <w:rPr>
          <w:rFonts w:hint="eastAsia" w:ascii="仿宋_GB2312" w:eastAsia="仿宋_GB2312"/>
          <w:b/>
          <w:color w:val="000000"/>
          <w:sz w:val="32"/>
          <w:szCs w:val="32"/>
        </w:rPr>
        <w:t>建设</w:t>
      </w:r>
      <w:r>
        <w:rPr>
          <w:rFonts w:ascii="仿宋_GB2312" w:eastAsia="仿宋_GB2312"/>
          <w:b/>
          <w:color w:val="000000"/>
          <w:sz w:val="32"/>
          <w:szCs w:val="32"/>
        </w:rPr>
        <w:t>。</w:t>
      </w:r>
      <w:r>
        <w:rPr>
          <w:rFonts w:hint="eastAsia" w:eastAsia="仿宋_GB2312"/>
          <w:color w:val="000000"/>
          <w:sz w:val="32"/>
          <w:szCs w:val="32"/>
        </w:rPr>
        <w:t>对于“</w:t>
      </w:r>
      <w:r>
        <w:rPr>
          <w:rFonts w:eastAsia="仿宋_GB2312"/>
          <w:color w:val="000000"/>
          <w:sz w:val="32"/>
          <w:szCs w:val="32"/>
        </w:rPr>
        <w:t>用而未尽</w:t>
      </w:r>
      <w:r>
        <w:rPr>
          <w:rFonts w:hint="eastAsia" w:eastAsia="仿宋_GB2312"/>
          <w:color w:val="000000"/>
          <w:sz w:val="32"/>
          <w:szCs w:val="32"/>
        </w:rPr>
        <w:t>”“建而未投”的工业项目</w:t>
      </w:r>
      <w:r>
        <w:rPr>
          <w:rFonts w:eastAsia="仿宋_GB2312"/>
          <w:color w:val="000000"/>
          <w:sz w:val="32"/>
          <w:szCs w:val="32"/>
        </w:rPr>
        <w:t>，</w:t>
      </w:r>
      <w:r>
        <w:rPr>
          <w:rFonts w:hint="eastAsia" w:eastAsia="仿宋_GB2312"/>
          <w:color w:val="000000"/>
          <w:sz w:val="32"/>
          <w:szCs w:val="32"/>
        </w:rPr>
        <w:t>属地政府（园区管委会）</w:t>
      </w:r>
      <w:r>
        <w:rPr>
          <w:rFonts w:eastAsia="仿宋_GB2312"/>
          <w:color w:val="000000"/>
          <w:sz w:val="32"/>
          <w:szCs w:val="32"/>
        </w:rPr>
        <w:t>督促企业通过追加投资</w:t>
      </w:r>
      <w:r>
        <w:rPr>
          <w:rFonts w:hint="eastAsia" w:eastAsia="仿宋_GB2312"/>
          <w:color w:val="000000"/>
          <w:sz w:val="32"/>
          <w:szCs w:val="32"/>
        </w:rPr>
        <w:t>方式，</w:t>
      </w:r>
      <w:r>
        <w:rPr>
          <w:rFonts w:eastAsia="仿宋_GB2312"/>
          <w:color w:val="000000"/>
          <w:sz w:val="32"/>
          <w:szCs w:val="32"/>
        </w:rPr>
        <w:t>限期</w:t>
      </w:r>
      <w:r>
        <w:rPr>
          <w:rFonts w:hint="eastAsia" w:eastAsia="仿宋_GB2312"/>
          <w:color w:val="000000"/>
          <w:sz w:val="32"/>
          <w:szCs w:val="32"/>
        </w:rPr>
        <w:t>半</w:t>
      </w:r>
      <w:r>
        <w:rPr>
          <w:rFonts w:eastAsia="仿宋_GB2312"/>
          <w:color w:val="000000"/>
          <w:sz w:val="32"/>
          <w:szCs w:val="32"/>
        </w:rPr>
        <w:t>年内</w:t>
      </w:r>
      <w:r>
        <w:rPr>
          <w:rFonts w:hint="eastAsia" w:eastAsia="仿宋_GB2312"/>
          <w:color w:val="000000"/>
          <w:sz w:val="32"/>
          <w:szCs w:val="32"/>
        </w:rPr>
        <w:t>启动</w:t>
      </w:r>
      <w:r>
        <w:rPr>
          <w:rFonts w:eastAsia="仿宋_GB2312"/>
          <w:color w:val="000000"/>
          <w:sz w:val="32"/>
          <w:szCs w:val="32"/>
        </w:rPr>
        <w:t>厂房</w:t>
      </w:r>
      <w:r>
        <w:rPr>
          <w:rFonts w:hint="eastAsia" w:eastAsia="仿宋_GB2312"/>
          <w:color w:val="000000"/>
          <w:sz w:val="32"/>
          <w:szCs w:val="32"/>
        </w:rPr>
        <w:t>及配套用房</w:t>
      </w:r>
      <w:r>
        <w:rPr>
          <w:rFonts w:eastAsia="仿宋_GB2312"/>
          <w:color w:val="000000"/>
          <w:sz w:val="32"/>
          <w:szCs w:val="32"/>
        </w:rPr>
        <w:t>扩建、设备技改</w:t>
      </w:r>
      <w:r>
        <w:rPr>
          <w:rFonts w:hint="eastAsia" w:eastAsia="仿宋_GB2312"/>
          <w:color w:val="000000"/>
          <w:sz w:val="32"/>
          <w:szCs w:val="32"/>
        </w:rPr>
        <w:t>、开工生产，</w:t>
      </w:r>
      <w:r>
        <w:rPr>
          <w:rFonts w:hint="eastAsia" w:eastAsia="仿宋_GB2312"/>
          <w:sz w:val="32"/>
          <w:szCs w:val="32"/>
        </w:rPr>
        <w:t>完成项目验收、办理不动产权证；</w:t>
      </w:r>
      <w:r>
        <w:rPr>
          <w:rFonts w:hint="eastAsia" w:eastAsia="仿宋_GB2312"/>
          <w:color w:val="000000"/>
          <w:sz w:val="32"/>
          <w:szCs w:val="32"/>
        </w:rPr>
        <w:t>1年内（大项目2年内）完成开发建设，</w:t>
      </w:r>
      <w:r>
        <w:rPr>
          <w:rFonts w:eastAsia="仿宋_GB2312"/>
          <w:color w:val="000000"/>
          <w:sz w:val="32"/>
          <w:szCs w:val="32"/>
        </w:rPr>
        <w:t>达到合同约定建设容积率</w:t>
      </w:r>
      <w:r>
        <w:rPr>
          <w:rFonts w:hint="eastAsia" w:eastAsia="仿宋_GB2312"/>
          <w:color w:val="000000"/>
          <w:sz w:val="32"/>
          <w:szCs w:val="32"/>
        </w:rPr>
        <w:t>、土地开发比例、投资强度。</w:t>
      </w:r>
    </w:p>
    <w:p>
      <w:pPr>
        <w:autoSpaceDE w:val="0"/>
        <w:autoSpaceDN w:val="0"/>
        <w:spacing w:line="560" w:lineRule="exact"/>
        <w:ind w:firstLine="640" w:firstLineChars="200"/>
        <w:rPr>
          <w:rFonts w:hint="eastAsia" w:ascii="仿宋_GB2312" w:eastAsia="仿宋_GB2312"/>
          <w:sz w:val="32"/>
          <w:szCs w:val="32"/>
          <w:lang w:eastAsia="zh-CN"/>
        </w:rPr>
      </w:pPr>
      <w:r>
        <w:rPr>
          <w:rFonts w:hint="eastAsia" w:ascii="仿宋_GB2312" w:eastAsia="仿宋_GB2312"/>
          <w:b/>
          <w:sz w:val="32"/>
          <w:szCs w:val="32"/>
          <w:lang w:eastAsia="zh-CN"/>
        </w:rPr>
        <w:t>2.强化工业项目合同履约管理。</w:t>
      </w:r>
      <w:r>
        <w:rPr>
          <w:rFonts w:hint="eastAsia" w:ascii="仿宋_GB2312" w:eastAsia="仿宋_GB2312"/>
          <w:sz w:val="32"/>
          <w:szCs w:val="32"/>
          <w:lang w:eastAsia="zh-CN"/>
        </w:rPr>
        <w:t>加强工业项目投资管理合同履约兑现日常监管，将工业项目投资管理合同执行情况列为政府重点巡查工作内容，审计部门每年对工业项目投资管理合同履约情况开展专项审计，并定期向属地政府进行通报。对合同约定达产年份亩均税收未达到合同约定标准的工业项目，均须严格按照双合同管理相关规定履行违约责任，兑现违约造成的税收等方面经济损失。同时，对于生产经营正常而税收明显异常的企业，必要时可采取税务辅导等举措予以帮扶，及时做好沟通，及时抓好整改，进一步优化公平有序的营商环境，促进经济高质量发展。</w:t>
      </w:r>
    </w:p>
    <w:p>
      <w:pPr>
        <w:autoSpaceDE w:val="0"/>
        <w:autoSpaceDN w:val="0"/>
        <w:spacing w:line="560" w:lineRule="exact"/>
        <w:ind w:firstLine="640" w:firstLineChars="200"/>
        <w:rPr>
          <w:rFonts w:eastAsia="仿宋_GB2312"/>
          <w:color w:val="000000"/>
          <w:sz w:val="32"/>
          <w:szCs w:val="32"/>
        </w:rPr>
      </w:pPr>
      <w:r>
        <w:rPr>
          <w:rFonts w:hint="eastAsia" w:ascii="仿宋_GB2312" w:eastAsia="仿宋_GB2312"/>
          <w:b/>
          <w:sz w:val="32"/>
          <w:szCs w:val="32"/>
        </w:rPr>
        <w:t>3.</w:t>
      </w:r>
      <w:r>
        <w:rPr>
          <w:rFonts w:hint="eastAsia" w:ascii="仿宋_GB2312" w:eastAsia="仿宋_GB2312"/>
          <w:b/>
          <w:color w:val="000000"/>
          <w:sz w:val="32"/>
          <w:szCs w:val="32"/>
          <w:lang w:eastAsia="zh-CN"/>
        </w:rPr>
        <w:t>实行</w:t>
      </w:r>
      <w:r>
        <w:rPr>
          <w:rFonts w:hint="eastAsia" w:ascii="仿宋_GB2312" w:eastAsia="仿宋_GB2312"/>
          <w:b/>
          <w:sz w:val="32"/>
          <w:szCs w:val="32"/>
        </w:rPr>
        <w:t>资源要素差异化配置</w:t>
      </w:r>
      <w:r>
        <w:rPr>
          <w:rFonts w:ascii="仿宋_GB2312" w:eastAsia="仿宋_GB2312"/>
          <w:b/>
          <w:sz w:val="32"/>
          <w:szCs w:val="32"/>
        </w:rPr>
        <w:t>。</w:t>
      </w:r>
      <w:r>
        <w:rPr>
          <w:rFonts w:eastAsia="仿宋_GB2312"/>
          <w:color w:val="000000"/>
          <w:sz w:val="32"/>
          <w:szCs w:val="32"/>
        </w:rPr>
        <w:t>各地按照</w:t>
      </w:r>
      <w:r>
        <w:rPr>
          <w:rFonts w:hint="eastAsia" w:eastAsia="仿宋_GB2312"/>
          <w:color w:val="000000"/>
          <w:sz w:val="32"/>
          <w:szCs w:val="32"/>
        </w:rPr>
        <w:t>亩均效益</w:t>
      </w:r>
      <w:r>
        <w:rPr>
          <w:rFonts w:eastAsia="仿宋_GB2312"/>
          <w:color w:val="000000"/>
          <w:sz w:val="32"/>
          <w:szCs w:val="32"/>
        </w:rPr>
        <w:t>综合评价</w:t>
      </w:r>
      <w:r>
        <w:rPr>
          <w:rFonts w:hint="eastAsia" w:eastAsia="仿宋_GB2312"/>
          <w:color w:val="000000"/>
          <w:sz w:val="32"/>
          <w:szCs w:val="32"/>
        </w:rPr>
        <w:t>及</w:t>
      </w:r>
      <w:r>
        <w:rPr>
          <w:rFonts w:eastAsia="仿宋_GB2312"/>
          <w:color w:val="000000"/>
          <w:sz w:val="32"/>
          <w:szCs w:val="32"/>
        </w:rPr>
        <w:t>要素资源差别化配置办法，</w:t>
      </w:r>
      <w:r>
        <w:rPr>
          <w:rFonts w:hint="eastAsia" w:eastAsia="仿宋_GB2312"/>
          <w:color w:val="000000"/>
          <w:sz w:val="32"/>
          <w:szCs w:val="32"/>
        </w:rPr>
        <w:t>在用能、用水、排污、融资、奖评</w:t>
      </w:r>
      <w:r>
        <w:rPr>
          <w:rFonts w:eastAsia="仿宋_GB2312"/>
          <w:color w:val="000000"/>
          <w:sz w:val="32"/>
          <w:szCs w:val="32"/>
        </w:rPr>
        <w:t>等资源配置上采取限制性或差异化措施</w:t>
      </w:r>
      <w:r>
        <w:rPr>
          <w:rFonts w:hint="eastAsia" w:eastAsia="仿宋_GB2312"/>
          <w:color w:val="000000"/>
          <w:sz w:val="32"/>
          <w:szCs w:val="32"/>
        </w:rPr>
        <w:t>，</w:t>
      </w:r>
      <w:r>
        <w:rPr>
          <w:rFonts w:eastAsia="仿宋_GB2312"/>
          <w:color w:val="000000"/>
          <w:sz w:val="32"/>
          <w:szCs w:val="32"/>
        </w:rPr>
        <w:t>倒逼其</w:t>
      </w:r>
      <w:r>
        <w:rPr>
          <w:rFonts w:hint="eastAsia" w:eastAsia="仿宋_GB2312"/>
          <w:color w:val="000000"/>
          <w:sz w:val="32"/>
          <w:szCs w:val="32"/>
        </w:rPr>
        <w:t>整改</w:t>
      </w:r>
      <w:r>
        <w:rPr>
          <w:rFonts w:eastAsia="仿宋_GB2312"/>
          <w:color w:val="000000"/>
          <w:sz w:val="32"/>
          <w:szCs w:val="32"/>
        </w:rPr>
        <w:t>提升。</w:t>
      </w:r>
      <w:r>
        <w:rPr>
          <w:rFonts w:hint="eastAsia" w:eastAsia="仿宋_GB2312"/>
          <w:color w:val="000000"/>
          <w:sz w:val="32"/>
          <w:szCs w:val="32"/>
        </w:rPr>
        <w:t>对于我市产业导向目录限制和淘汰类的现存企业，</w:t>
      </w:r>
      <w:r>
        <w:rPr>
          <w:rFonts w:eastAsia="仿宋_GB2312"/>
          <w:color w:val="000000"/>
          <w:sz w:val="32"/>
          <w:szCs w:val="32"/>
        </w:rPr>
        <w:t>通过制定和实施淘汰计划</w:t>
      </w:r>
      <w:r>
        <w:rPr>
          <w:rFonts w:hint="eastAsia" w:eastAsia="仿宋_GB2312"/>
          <w:color w:val="000000"/>
          <w:sz w:val="32"/>
          <w:szCs w:val="32"/>
        </w:rPr>
        <w:t>，</w:t>
      </w:r>
      <w:r>
        <w:rPr>
          <w:rFonts w:eastAsia="仿宋_GB2312"/>
          <w:color w:val="000000"/>
          <w:sz w:val="32"/>
          <w:szCs w:val="32"/>
        </w:rPr>
        <w:t>按照先易后难、有序处置的原则</w:t>
      </w:r>
      <w:r>
        <w:rPr>
          <w:rFonts w:hint="eastAsia" w:eastAsia="仿宋_GB2312"/>
          <w:color w:val="000000"/>
          <w:sz w:val="32"/>
          <w:szCs w:val="32"/>
        </w:rPr>
        <w:t>，</w:t>
      </w:r>
      <w:r>
        <w:rPr>
          <w:rFonts w:eastAsia="仿宋_GB2312"/>
          <w:color w:val="000000"/>
          <w:sz w:val="32"/>
          <w:szCs w:val="32"/>
        </w:rPr>
        <w:t>采取</w:t>
      </w:r>
      <w:r>
        <w:rPr>
          <w:rFonts w:hint="eastAsia" w:eastAsia="仿宋_GB2312"/>
          <w:color w:val="000000"/>
          <w:sz w:val="32"/>
          <w:szCs w:val="32"/>
          <w:lang w:eastAsia="zh-CN"/>
        </w:rPr>
        <w:t>多种</w:t>
      </w:r>
      <w:r>
        <w:rPr>
          <w:rFonts w:eastAsia="仿宋_GB2312"/>
          <w:color w:val="000000"/>
          <w:sz w:val="32"/>
          <w:szCs w:val="32"/>
        </w:rPr>
        <w:t>措施，分批次</w:t>
      </w:r>
      <w:r>
        <w:rPr>
          <w:rFonts w:hint="eastAsia" w:eastAsia="仿宋_GB2312"/>
          <w:color w:val="000000"/>
          <w:sz w:val="32"/>
          <w:szCs w:val="32"/>
          <w:lang w:eastAsia="zh-CN"/>
        </w:rPr>
        <w:t>提升低效企业、淘汰落后产能</w:t>
      </w:r>
      <w:r>
        <w:rPr>
          <w:rFonts w:hint="eastAsia" w:eastAsia="仿宋_GB2312"/>
          <w:color w:val="000000"/>
          <w:sz w:val="32"/>
          <w:szCs w:val="32"/>
        </w:rPr>
        <w:t>，</w:t>
      </w:r>
      <w:r>
        <w:rPr>
          <w:rFonts w:eastAsia="仿宋_GB2312"/>
          <w:color w:val="000000"/>
          <w:sz w:val="32"/>
          <w:szCs w:val="32"/>
        </w:rPr>
        <w:t>腾出发展空间承接优质</w:t>
      </w:r>
      <w:r>
        <w:rPr>
          <w:rFonts w:hint="eastAsia" w:eastAsia="仿宋_GB2312"/>
          <w:color w:val="000000"/>
          <w:sz w:val="32"/>
          <w:szCs w:val="32"/>
        </w:rPr>
        <w:t>产业</w:t>
      </w:r>
      <w:r>
        <w:rPr>
          <w:rFonts w:eastAsia="仿宋_GB2312"/>
          <w:color w:val="000000"/>
          <w:sz w:val="32"/>
          <w:szCs w:val="32"/>
        </w:rPr>
        <w:t>项目。</w:t>
      </w:r>
    </w:p>
    <w:p>
      <w:pPr>
        <w:autoSpaceDE w:val="0"/>
        <w:autoSpaceDN w:val="0"/>
        <w:spacing w:line="560" w:lineRule="exact"/>
        <w:ind w:firstLine="640" w:firstLineChars="200"/>
        <w:rPr>
          <w:rFonts w:eastAsia="仿宋_GB2312"/>
          <w:color w:val="000000"/>
          <w:sz w:val="32"/>
          <w:szCs w:val="32"/>
        </w:rPr>
      </w:pPr>
      <w:r>
        <w:rPr>
          <w:rFonts w:hint="eastAsia" w:ascii="仿宋_GB2312" w:eastAsia="仿宋_GB2312"/>
          <w:b/>
          <w:sz w:val="32"/>
          <w:szCs w:val="32"/>
        </w:rPr>
        <w:t>4.</w:t>
      </w:r>
      <w:r>
        <w:rPr>
          <w:rFonts w:hint="eastAsia" w:ascii="仿宋_GB2312" w:eastAsia="仿宋_GB2312"/>
          <w:b/>
          <w:sz w:val="32"/>
          <w:szCs w:val="32"/>
          <w:lang w:eastAsia="zh-CN"/>
        </w:rPr>
        <w:t>实施</w:t>
      </w:r>
      <w:r>
        <w:rPr>
          <w:rFonts w:hint="eastAsia" w:ascii="仿宋_GB2312" w:eastAsia="仿宋_GB2312"/>
          <w:b/>
          <w:sz w:val="32"/>
          <w:szCs w:val="32"/>
        </w:rPr>
        <w:t>回购利用</w:t>
      </w:r>
      <w:r>
        <w:rPr>
          <w:rFonts w:ascii="仿宋_GB2312" w:eastAsia="仿宋_GB2312"/>
          <w:b/>
          <w:sz w:val="32"/>
          <w:szCs w:val="32"/>
        </w:rPr>
        <w:t>。</w:t>
      </w:r>
      <w:r>
        <w:rPr>
          <w:rFonts w:eastAsia="仿宋_GB2312"/>
          <w:color w:val="000000"/>
          <w:sz w:val="32"/>
          <w:szCs w:val="32"/>
        </w:rPr>
        <w:t>对</w:t>
      </w:r>
      <w:r>
        <w:rPr>
          <w:rFonts w:hint="eastAsia" w:eastAsia="仿宋_GB2312"/>
          <w:color w:val="000000"/>
          <w:sz w:val="32"/>
          <w:szCs w:val="32"/>
        </w:rPr>
        <w:t>于通过</w:t>
      </w:r>
      <w:r>
        <w:rPr>
          <w:rFonts w:eastAsia="仿宋_GB2312"/>
          <w:color w:val="000000"/>
          <w:sz w:val="32"/>
          <w:szCs w:val="32"/>
        </w:rPr>
        <w:t>限期</w:t>
      </w:r>
      <w:r>
        <w:rPr>
          <w:rFonts w:hint="eastAsia" w:eastAsia="仿宋_GB2312"/>
          <w:color w:val="000000"/>
          <w:sz w:val="32"/>
          <w:szCs w:val="32"/>
        </w:rPr>
        <w:t>建设</w:t>
      </w:r>
      <w:r>
        <w:rPr>
          <w:rFonts w:eastAsia="仿宋_GB2312"/>
          <w:color w:val="000000"/>
          <w:sz w:val="32"/>
          <w:szCs w:val="32"/>
        </w:rPr>
        <w:t>仍难以</w:t>
      </w:r>
      <w:r>
        <w:rPr>
          <w:rFonts w:hint="eastAsia" w:eastAsia="仿宋_GB2312"/>
          <w:color w:val="000000"/>
          <w:sz w:val="32"/>
          <w:szCs w:val="32"/>
        </w:rPr>
        <w:t>开工或拒不执行的企业、</w:t>
      </w:r>
      <w:r>
        <w:rPr>
          <w:rFonts w:eastAsia="仿宋_GB2312"/>
          <w:color w:val="000000"/>
          <w:sz w:val="32"/>
          <w:szCs w:val="32"/>
        </w:rPr>
        <w:t>关停企业</w:t>
      </w:r>
      <w:r>
        <w:rPr>
          <w:rFonts w:hint="eastAsia" w:eastAsia="仿宋_GB2312"/>
          <w:color w:val="000000"/>
          <w:sz w:val="32"/>
          <w:szCs w:val="32"/>
        </w:rPr>
        <w:t>的未开发土地，按照规定</w:t>
      </w:r>
      <w:r>
        <w:rPr>
          <w:rFonts w:eastAsia="仿宋_GB2312"/>
          <w:color w:val="000000"/>
          <w:sz w:val="32"/>
          <w:szCs w:val="32"/>
        </w:rPr>
        <w:t>由</w:t>
      </w:r>
      <w:r>
        <w:rPr>
          <w:rFonts w:hint="eastAsia" w:eastAsia="仿宋_GB2312"/>
          <w:color w:val="000000"/>
          <w:sz w:val="32"/>
          <w:szCs w:val="32"/>
        </w:rPr>
        <w:t>属地政府（工业园区管委会）协议收回</w:t>
      </w:r>
      <w:r>
        <w:rPr>
          <w:rFonts w:hint="eastAsia" w:eastAsia="仿宋_GB2312"/>
          <w:color w:val="000000"/>
          <w:sz w:val="32"/>
          <w:szCs w:val="32"/>
          <w:lang w:eastAsia="zh-CN"/>
        </w:rPr>
        <w:t>，其中合同规定属地政府有优先回购权的，实行优先回购，</w:t>
      </w:r>
      <w:r>
        <w:rPr>
          <w:rFonts w:eastAsia="仿宋_GB2312"/>
          <w:color w:val="000000"/>
          <w:sz w:val="32"/>
          <w:szCs w:val="32"/>
        </w:rPr>
        <w:t>土地</w:t>
      </w:r>
      <w:r>
        <w:rPr>
          <w:rFonts w:hint="eastAsia" w:eastAsia="仿宋_GB2312"/>
          <w:color w:val="000000"/>
          <w:sz w:val="32"/>
          <w:szCs w:val="32"/>
        </w:rPr>
        <w:t>回购</w:t>
      </w:r>
      <w:r>
        <w:rPr>
          <w:rFonts w:eastAsia="仿宋_GB2312"/>
          <w:color w:val="000000"/>
          <w:sz w:val="32"/>
          <w:szCs w:val="32"/>
        </w:rPr>
        <w:t>价格按</w:t>
      </w:r>
      <w:r>
        <w:rPr>
          <w:rFonts w:hint="eastAsia" w:eastAsia="仿宋_GB2312"/>
          <w:color w:val="000000"/>
          <w:sz w:val="32"/>
          <w:szCs w:val="32"/>
        </w:rPr>
        <w:t>合同约定或相关文件规定执行</w:t>
      </w:r>
      <w:r>
        <w:rPr>
          <w:rFonts w:eastAsia="仿宋_GB2312"/>
          <w:color w:val="000000"/>
          <w:sz w:val="32"/>
          <w:szCs w:val="32"/>
        </w:rPr>
        <w:t>。</w:t>
      </w:r>
    </w:p>
    <w:p>
      <w:pPr>
        <w:autoSpaceDE w:val="0"/>
        <w:autoSpaceDN w:val="0"/>
        <w:spacing w:line="560" w:lineRule="exact"/>
        <w:ind w:firstLine="640" w:firstLineChars="200"/>
        <w:rPr>
          <w:rFonts w:eastAsia="黑体"/>
          <w:color w:val="000000"/>
          <w:kern w:val="0"/>
          <w:sz w:val="32"/>
          <w:szCs w:val="32"/>
        </w:rPr>
      </w:pPr>
      <w:r>
        <w:rPr>
          <w:rFonts w:hint="eastAsia" w:ascii="仿宋_GB2312" w:eastAsia="仿宋_GB2312"/>
          <w:b/>
          <w:sz w:val="32"/>
          <w:szCs w:val="32"/>
        </w:rPr>
        <w:t>5.</w:t>
      </w:r>
      <w:r>
        <w:rPr>
          <w:rFonts w:hint="eastAsia" w:ascii="仿宋_GB2312" w:eastAsia="仿宋_GB2312"/>
          <w:b/>
          <w:sz w:val="32"/>
          <w:szCs w:val="32"/>
          <w:lang w:eastAsia="zh-CN"/>
        </w:rPr>
        <w:t>实行</w:t>
      </w:r>
      <w:r>
        <w:rPr>
          <w:rFonts w:ascii="仿宋_GB2312" w:eastAsia="仿宋_GB2312"/>
          <w:b/>
          <w:sz w:val="32"/>
          <w:szCs w:val="32"/>
        </w:rPr>
        <w:t>分割转让。</w:t>
      </w:r>
      <w:r>
        <w:rPr>
          <w:rFonts w:eastAsia="仿宋_GB2312"/>
          <w:color w:val="000000"/>
          <w:sz w:val="32"/>
          <w:szCs w:val="32"/>
        </w:rPr>
        <w:t>允许</w:t>
      </w:r>
      <w:r>
        <w:rPr>
          <w:rFonts w:hint="eastAsia" w:eastAsia="仿宋_GB2312"/>
          <w:color w:val="000000"/>
          <w:sz w:val="32"/>
          <w:szCs w:val="32"/>
        </w:rPr>
        <w:t>供地6年以上“</w:t>
      </w:r>
      <w:r>
        <w:rPr>
          <w:rFonts w:eastAsia="仿宋_GB2312"/>
          <w:color w:val="000000"/>
          <w:sz w:val="32"/>
          <w:szCs w:val="32"/>
        </w:rPr>
        <w:t>用而未尽</w:t>
      </w:r>
      <w:r>
        <w:rPr>
          <w:rFonts w:hint="eastAsia" w:eastAsia="仿宋_GB2312"/>
          <w:color w:val="000000"/>
          <w:sz w:val="32"/>
          <w:szCs w:val="32"/>
        </w:rPr>
        <w:t>”工业项目，</w:t>
      </w:r>
      <w:r>
        <w:rPr>
          <w:rFonts w:eastAsia="仿宋_GB2312"/>
          <w:color w:val="000000"/>
          <w:sz w:val="32"/>
          <w:szCs w:val="32"/>
        </w:rPr>
        <w:t>限期1年内对未开发利用工业</w:t>
      </w:r>
      <w:r>
        <w:rPr>
          <w:rFonts w:hint="eastAsia" w:eastAsia="仿宋_GB2312"/>
          <w:color w:val="000000"/>
          <w:sz w:val="32"/>
          <w:szCs w:val="32"/>
        </w:rPr>
        <w:t>用</w:t>
      </w:r>
      <w:r>
        <w:rPr>
          <w:rFonts w:eastAsia="仿宋_GB2312"/>
          <w:color w:val="000000"/>
          <w:sz w:val="32"/>
          <w:szCs w:val="32"/>
        </w:rPr>
        <w:t>地进行分割转让，引入产业链企业</w:t>
      </w:r>
      <w:r>
        <w:rPr>
          <w:rFonts w:hint="eastAsia" w:eastAsia="仿宋_GB2312"/>
          <w:color w:val="000000"/>
          <w:sz w:val="32"/>
          <w:szCs w:val="32"/>
        </w:rPr>
        <w:t>。分割项目须对原项目合同履约情况进行评估和相应处置，</w:t>
      </w:r>
      <w:r>
        <w:rPr>
          <w:rFonts w:eastAsia="仿宋_GB2312"/>
          <w:color w:val="000000"/>
          <w:sz w:val="32"/>
          <w:szCs w:val="32"/>
        </w:rPr>
        <w:t>转让方案须经属地政府</w:t>
      </w:r>
      <w:r>
        <w:rPr>
          <w:rFonts w:hint="eastAsia" w:eastAsia="仿宋_GB2312"/>
          <w:kern w:val="0"/>
          <w:sz w:val="32"/>
          <w:szCs w:val="32"/>
        </w:rPr>
        <w:t>（工业园区管委会）</w:t>
      </w:r>
      <w:r>
        <w:rPr>
          <w:rFonts w:eastAsia="仿宋_GB2312"/>
          <w:color w:val="000000"/>
          <w:sz w:val="32"/>
          <w:szCs w:val="32"/>
        </w:rPr>
        <w:t>批准同意</w:t>
      </w:r>
      <w:r>
        <w:rPr>
          <w:rFonts w:hint="eastAsia" w:eastAsia="仿宋_GB2312"/>
          <w:color w:val="000000"/>
          <w:sz w:val="32"/>
          <w:szCs w:val="32"/>
        </w:rPr>
        <w:t>，并按照不低于市场评估价补缴土地出让金</w:t>
      </w:r>
      <w:r>
        <w:rPr>
          <w:rFonts w:eastAsia="仿宋_GB2312"/>
          <w:color w:val="000000"/>
          <w:sz w:val="32"/>
          <w:szCs w:val="32"/>
        </w:rPr>
        <w:t>。受让企业项目必须符合</w:t>
      </w:r>
      <w:r>
        <w:rPr>
          <w:rFonts w:hint="eastAsia" w:eastAsia="仿宋_GB2312"/>
          <w:color w:val="000000"/>
          <w:sz w:val="32"/>
          <w:szCs w:val="32"/>
        </w:rPr>
        <w:t>属地</w:t>
      </w:r>
      <w:r>
        <w:rPr>
          <w:rFonts w:eastAsia="仿宋_GB2312"/>
          <w:color w:val="000000"/>
          <w:sz w:val="32"/>
          <w:szCs w:val="32"/>
        </w:rPr>
        <w:t>产业导向</w:t>
      </w:r>
      <w:r>
        <w:rPr>
          <w:rFonts w:hint="eastAsia" w:eastAsia="仿宋_GB2312"/>
          <w:color w:val="000000"/>
          <w:sz w:val="32"/>
          <w:szCs w:val="32"/>
        </w:rPr>
        <w:t>要求</w:t>
      </w:r>
      <w:r>
        <w:rPr>
          <w:rFonts w:eastAsia="仿宋_GB2312"/>
          <w:color w:val="000000"/>
          <w:sz w:val="32"/>
          <w:szCs w:val="32"/>
        </w:rPr>
        <w:t>，</w:t>
      </w:r>
      <w:r>
        <w:rPr>
          <w:rFonts w:hint="eastAsia" w:eastAsia="仿宋_GB2312"/>
          <w:color w:val="000000"/>
          <w:sz w:val="32"/>
          <w:szCs w:val="32"/>
        </w:rPr>
        <w:t>并参照“标准地”制度</w:t>
      </w:r>
      <w:r>
        <w:rPr>
          <w:rFonts w:hint="eastAsia" w:eastAsia="仿宋_GB2312"/>
          <w:color w:val="000000"/>
          <w:sz w:val="32"/>
          <w:szCs w:val="32"/>
          <w:lang w:eastAsia="zh-CN"/>
        </w:rPr>
        <w:t>相关要求</w:t>
      </w:r>
      <w:r>
        <w:rPr>
          <w:rFonts w:hint="eastAsia" w:eastAsia="仿宋_GB2312"/>
          <w:color w:val="000000"/>
          <w:sz w:val="32"/>
          <w:szCs w:val="32"/>
        </w:rPr>
        <w:t>与属地政府签订土地使用出让权合同和项目投资管理合同。“</w:t>
      </w:r>
      <w:r>
        <w:rPr>
          <w:rFonts w:eastAsia="仿宋_GB2312"/>
          <w:color w:val="000000"/>
          <w:sz w:val="32"/>
          <w:szCs w:val="32"/>
        </w:rPr>
        <w:t>用而未尽</w:t>
      </w:r>
      <w:r>
        <w:rPr>
          <w:rFonts w:hint="eastAsia" w:eastAsia="仿宋_GB2312"/>
          <w:color w:val="000000"/>
          <w:sz w:val="32"/>
          <w:szCs w:val="32"/>
        </w:rPr>
        <w:t>”工业用地</w:t>
      </w:r>
      <w:r>
        <w:rPr>
          <w:rFonts w:eastAsia="仿宋_GB2312"/>
          <w:color w:val="000000"/>
          <w:sz w:val="32"/>
          <w:szCs w:val="32"/>
        </w:rPr>
        <w:t>分割</w:t>
      </w:r>
      <w:r>
        <w:rPr>
          <w:rFonts w:hint="eastAsia" w:eastAsia="仿宋_GB2312"/>
          <w:color w:val="000000"/>
          <w:sz w:val="32"/>
          <w:szCs w:val="32"/>
        </w:rPr>
        <w:t>单元</w:t>
      </w:r>
      <w:r>
        <w:rPr>
          <w:rFonts w:eastAsia="仿宋_GB2312"/>
          <w:color w:val="000000"/>
          <w:sz w:val="32"/>
          <w:szCs w:val="32"/>
        </w:rPr>
        <w:t>面积不得小于</w:t>
      </w:r>
      <w:r>
        <w:rPr>
          <w:rFonts w:hint="eastAsia" w:eastAsia="仿宋_GB2312"/>
          <w:color w:val="000000"/>
          <w:sz w:val="32"/>
          <w:szCs w:val="32"/>
        </w:rPr>
        <w:t>10</w:t>
      </w:r>
      <w:r>
        <w:rPr>
          <w:rFonts w:eastAsia="仿宋_GB2312"/>
          <w:color w:val="000000"/>
          <w:sz w:val="32"/>
          <w:szCs w:val="32"/>
        </w:rPr>
        <w:t>亩。</w:t>
      </w:r>
    </w:p>
    <w:p>
      <w:pPr>
        <w:autoSpaceDE w:val="0"/>
        <w:autoSpaceDN w:val="0"/>
        <w:spacing w:line="560" w:lineRule="exact"/>
        <w:ind w:firstLine="640" w:firstLineChars="200"/>
        <w:rPr>
          <w:rFonts w:eastAsia="仿宋_GB2312"/>
          <w:color w:val="000000"/>
          <w:sz w:val="32"/>
          <w:szCs w:val="32"/>
        </w:rPr>
      </w:pPr>
      <w:r>
        <w:rPr>
          <w:rFonts w:hint="eastAsia" w:ascii="仿宋_GB2312" w:eastAsia="仿宋_GB2312"/>
          <w:b/>
          <w:sz w:val="32"/>
          <w:szCs w:val="32"/>
        </w:rPr>
        <w:t>6.</w:t>
      </w:r>
      <w:r>
        <w:rPr>
          <w:rFonts w:hint="eastAsia" w:ascii="仿宋_GB2312" w:eastAsia="仿宋_GB2312"/>
          <w:b/>
          <w:sz w:val="32"/>
          <w:szCs w:val="32"/>
          <w:lang w:eastAsia="zh-CN"/>
        </w:rPr>
        <w:t>推进</w:t>
      </w:r>
      <w:r>
        <w:rPr>
          <w:rFonts w:hint="eastAsia" w:ascii="仿宋_GB2312" w:eastAsia="仿宋_GB2312"/>
          <w:b/>
          <w:sz w:val="32"/>
          <w:szCs w:val="32"/>
        </w:rPr>
        <w:t>整合再改造利用。</w:t>
      </w:r>
      <w:r>
        <w:rPr>
          <w:rFonts w:hint="eastAsia" w:eastAsia="仿宋_GB2312"/>
          <w:color w:val="000000"/>
          <w:sz w:val="32"/>
          <w:szCs w:val="32"/>
        </w:rPr>
        <w:t>鼓励企业通过市场化收购方式（政府成片收储方式）收购片区低效工业用地（适用于温州市区工业限制发展区块之外），对相邻宗地收购后实行整合利用、集中开发建设，优化土地利用规划布局，提高</w:t>
      </w:r>
      <w:r>
        <w:fldChar w:fldCharType="begin"/>
      </w:r>
      <w:r>
        <w:instrText xml:space="preserve"> HYPERLINK "https://www.tuliu.com/tags/174.html" \t "_blank" </w:instrText>
      </w:r>
      <w:r>
        <w:fldChar w:fldCharType="separate"/>
      </w:r>
      <w:r>
        <w:rPr>
          <w:rFonts w:hint="eastAsia" w:eastAsia="仿宋_GB2312"/>
          <w:color w:val="000000"/>
          <w:sz w:val="32"/>
          <w:szCs w:val="32"/>
        </w:rPr>
        <w:t>土地资源利用</w:t>
      </w:r>
      <w:r>
        <w:rPr>
          <w:rFonts w:hint="eastAsia" w:eastAsia="仿宋_GB2312"/>
          <w:color w:val="000000"/>
          <w:sz w:val="32"/>
          <w:szCs w:val="32"/>
        </w:rPr>
        <w:fldChar w:fldCharType="end"/>
      </w:r>
      <w:r>
        <w:rPr>
          <w:rFonts w:hint="eastAsia" w:eastAsia="仿宋_GB2312"/>
          <w:color w:val="000000"/>
          <w:sz w:val="32"/>
          <w:szCs w:val="32"/>
        </w:rPr>
        <w:t>率。</w:t>
      </w:r>
    </w:p>
    <w:p>
      <w:pPr>
        <w:pStyle w:val="7"/>
        <w:adjustRightInd/>
        <w:spacing w:line="560" w:lineRule="exact"/>
        <w:ind w:firstLine="641"/>
        <w:jc w:val="both"/>
        <w:rPr>
          <w:rFonts w:ascii="楷体_GB2312" w:hAnsi="仿宋" w:eastAsia="楷体_GB2312" w:cs="仿宋_GB2312"/>
          <w:color w:val="auto"/>
          <w:sz w:val="32"/>
          <w:szCs w:val="32"/>
        </w:rPr>
      </w:pPr>
      <w:r>
        <w:rPr>
          <w:rFonts w:hint="eastAsia" w:ascii="楷体_GB2312" w:hAnsi="仿宋" w:eastAsia="楷体_GB2312" w:cs="仿宋_GB2312"/>
          <w:color w:val="auto"/>
          <w:sz w:val="32"/>
          <w:szCs w:val="32"/>
        </w:rPr>
        <w:t>（二）空置、出租及不规范使用工业厂房处置</w:t>
      </w:r>
    </w:p>
    <w:p>
      <w:pPr>
        <w:autoSpaceDE w:val="0"/>
        <w:autoSpaceDN w:val="0"/>
        <w:spacing w:line="560" w:lineRule="exact"/>
        <w:ind w:firstLine="640" w:firstLineChars="200"/>
        <w:rPr>
          <w:rFonts w:eastAsia="仿宋_GB2312"/>
          <w:color w:val="FF0000"/>
          <w:sz w:val="32"/>
          <w:szCs w:val="32"/>
        </w:rPr>
      </w:pPr>
      <w:r>
        <w:rPr>
          <w:rFonts w:hint="eastAsia" w:ascii="仿宋_GB2312" w:eastAsia="仿宋_GB2312"/>
          <w:b/>
          <w:sz w:val="32"/>
          <w:szCs w:val="32"/>
        </w:rPr>
        <w:t>1.</w:t>
      </w:r>
      <w:r>
        <w:rPr>
          <w:rFonts w:hint="eastAsia" w:ascii="仿宋_GB2312" w:eastAsia="仿宋_GB2312"/>
          <w:b/>
          <w:sz w:val="32"/>
          <w:szCs w:val="32"/>
          <w:lang w:eastAsia="zh-CN"/>
        </w:rPr>
        <w:t>加强</w:t>
      </w:r>
      <w:r>
        <w:rPr>
          <w:rFonts w:hint="eastAsia" w:ascii="仿宋_GB2312" w:eastAsia="仿宋_GB2312"/>
          <w:b/>
          <w:sz w:val="32"/>
          <w:szCs w:val="32"/>
        </w:rPr>
        <w:t>空置厂房供需对接与服务。</w:t>
      </w:r>
      <w:r>
        <w:rPr>
          <w:rFonts w:hint="eastAsia" w:ascii="仿宋_GB2312" w:eastAsia="仿宋_GB2312"/>
          <w:sz w:val="32"/>
          <w:szCs w:val="32"/>
        </w:rPr>
        <w:t>属地政府</w:t>
      </w:r>
      <w:r>
        <w:rPr>
          <w:rFonts w:hint="eastAsia" w:eastAsia="仿宋_GB2312"/>
          <w:sz w:val="32"/>
          <w:szCs w:val="32"/>
        </w:rPr>
        <w:t>建立空置厂房供需对接和出租与转让服务平台，及时发布厂房供需信息、入驻企业标准，帮助空置厂房有序流转盘活。</w:t>
      </w:r>
    </w:p>
    <w:p>
      <w:pPr>
        <w:autoSpaceDE w:val="0"/>
        <w:autoSpaceDN w:val="0"/>
        <w:spacing w:line="560" w:lineRule="exact"/>
        <w:ind w:firstLine="640" w:firstLineChars="200"/>
        <w:rPr>
          <w:rFonts w:ascii="仿宋" w:hAnsi="仿宋" w:eastAsia="仿宋"/>
          <w:sz w:val="32"/>
          <w:szCs w:val="32"/>
        </w:rPr>
      </w:pPr>
      <w:r>
        <w:rPr>
          <w:rFonts w:hint="eastAsia" w:ascii="仿宋_GB2312" w:eastAsia="仿宋_GB2312"/>
          <w:b/>
          <w:sz w:val="32"/>
          <w:szCs w:val="32"/>
        </w:rPr>
        <w:t>2.</w:t>
      </w:r>
      <w:r>
        <w:rPr>
          <w:rFonts w:ascii="仿宋_GB2312" w:eastAsia="仿宋_GB2312"/>
          <w:b/>
          <w:sz w:val="32"/>
          <w:szCs w:val="32"/>
        </w:rPr>
        <w:t>实施厂房</w:t>
      </w:r>
      <w:r>
        <w:rPr>
          <w:rFonts w:hint="eastAsia" w:ascii="仿宋_GB2312" w:eastAsia="仿宋_GB2312"/>
          <w:b/>
          <w:sz w:val="32"/>
          <w:szCs w:val="32"/>
        </w:rPr>
        <w:t>租赁备案</w:t>
      </w:r>
      <w:r>
        <w:rPr>
          <w:rFonts w:ascii="仿宋_GB2312" w:eastAsia="仿宋_GB2312"/>
          <w:b/>
          <w:sz w:val="32"/>
          <w:szCs w:val="32"/>
        </w:rPr>
        <w:t>制度。</w:t>
      </w:r>
      <w:r>
        <w:rPr>
          <w:rFonts w:hint="eastAsia" w:eastAsia="仿宋_GB2312"/>
          <w:color w:val="000000"/>
          <w:sz w:val="32"/>
          <w:szCs w:val="32"/>
        </w:rPr>
        <w:t>由属地政府（工业园区管委会）</w:t>
      </w:r>
      <w:r>
        <w:rPr>
          <w:rFonts w:eastAsia="仿宋_GB2312"/>
          <w:color w:val="000000"/>
          <w:sz w:val="32"/>
          <w:szCs w:val="32"/>
        </w:rPr>
        <w:t>对</w:t>
      </w:r>
      <w:r>
        <w:rPr>
          <w:rFonts w:hint="eastAsia" w:eastAsia="仿宋_GB2312"/>
          <w:color w:val="000000"/>
          <w:sz w:val="32"/>
          <w:szCs w:val="32"/>
        </w:rPr>
        <w:t>500平方米</w:t>
      </w:r>
      <w:r>
        <w:rPr>
          <w:rFonts w:eastAsia="仿宋_GB2312"/>
          <w:color w:val="000000"/>
          <w:sz w:val="32"/>
          <w:szCs w:val="32"/>
        </w:rPr>
        <w:t>以上的厂房</w:t>
      </w:r>
      <w:r>
        <w:rPr>
          <w:rFonts w:hint="eastAsia" w:eastAsia="仿宋_GB2312"/>
          <w:color w:val="000000"/>
          <w:sz w:val="32"/>
          <w:szCs w:val="32"/>
        </w:rPr>
        <w:t>承租企业</w:t>
      </w:r>
      <w:r>
        <w:rPr>
          <w:rFonts w:eastAsia="仿宋_GB2312"/>
          <w:color w:val="000000"/>
          <w:sz w:val="32"/>
          <w:szCs w:val="32"/>
        </w:rPr>
        <w:t>设置产业</w:t>
      </w:r>
      <w:r>
        <w:rPr>
          <w:rFonts w:hint="eastAsia" w:eastAsia="仿宋_GB2312"/>
          <w:color w:val="000000"/>
          <w:sz w:val="32"/>
          <w:szCs w:val="32"/>
        </w:rPr>
        <w:t>准入</w:t>
      </w:r>
      <w:r>
        <w:rPr>
          <w:rFonts w:eastAsia="仿宋_GB2312"/>
          <w:color w:val="000000"/>
          <w:sz w:val="32"/>
          <w:szCs w:val="32"/>
        </w:rPr>
        <w:t>和产出效益等入驻</w:t>
      </w:r>
      <w:r>
        <w:rPr>
          <w:rFonts w:hint="eastAsia" w:eastAsia="仿宋_GB2312"/>
          <w:color w:val="000000"/>
          <w:sz w:val="32"/>
          <w:szCs w:val="32"/>
        </w:rPr>
        <w:t>标准</w:t>
      </w:r>
      <w:r>
        <w:rPr>
          <w:rFonts w:eastAsia="仿宋_GB2312"/>
          <w:color w:val="000000"/>
          <w:sz w:val="32"/>
          <w:szCs w:val="32"/>
        </w:rPr>
        <w:t>，</w:t>
      </w:r>
      <w:r>
        <w:rPr>
          <w:rFonts w:hint="eastAsia" w:eastAsia="仿宋_GB2312"/>
          <w:color w:val="000000"/>
          <w:sz w:val="32"/>
          <w:szCs w:val="32"/>
        </w:rPr>
        <w:t>对于非备案厂房采取税务、环保、消防安全等方面指导服务以及用能、用水配置差异化政策</w:t>
      </w:r>
      <w:r>
        <w:rPr>
          <w:rFonts w:eastAsia="仿宋_GB2312"/>
          <w:color w:val="000000"/>
          <w:sz w:val="32"/>
          <w:szCs w:val="32"/>
        </w:rPr>
        <w:t>。</w:t>
      </w:r>
      <w:r>
        <w:rPr>
          <w:rFonts w:hint="eastAsia" w:eastAsia="仿宋_GB2312"/>
          <w:color w:val="000000"/>
          <w:sz w:val="32"/>
          <w:szCs w:val="32"/>
        </w:rPr>
        <w:t>统筹建立统一信息管理系统对闲置工业厂房流转进行备案管理。</w:t>
      </w:r>
    </w:p>
    <w:p>
      <w:pPr>
        <w:autoSpaceDE w:val="0"/>
        <w:autoSpaceDN w:val="0"/>
        <w:spacing w:line="560" w:lineRule="exact"/>
        <w:ind w:firstLine="640" w:firstLineChars="200"/>
        <w:rPr>
          <w:rFonts w:eastAsia="仿宋_GB2312"/>
          <w:color w:val="000000"/>
          <w:sz w:val="32"/>
          <w:szCs w:val="32"/>
        </w:rPr>
      </w:pPr>
      <w:r>
        <w:rPr>
          <w:rFonts w:hint="eastAsia" w:ascii="仿宋_GB2312" w:eastAsia="仿宋_GB2312"/>
          <w:b/>
          <w:sz w:val="32"/>
          <w:szCs w:val="32"/>
        </w:rPr>
        <w:t>3.实施违规改变功能项目整治。</w:t>
      </w:r>
      <w:r>
        <w:rPr>
          <w:rFonts w:hint="eastAsia" w:eastAsia="仿宋_GB2312"/>
          <w:color w:val="000000"/>
          <w:sz w:val="32"/>
          <w:szCs w:val="32"/>
        </w:rPr>
        <w:t>对于擅自改变用途（工改商、工改居）的项目，由属地政府（工业园区管委会）限期其半年内整改，恢复原来功能。对于超期限临时改变用途的厂房，在补缴相关规费后，限期半年内恢复原来功能；如有特殊原因需继续改变功能的，须报当地政府重新审核批准。对违章项目企业要列入政府征信系统管理。</w:t>
      </w:r>
    </w:p>
    <w:p>
      <w:pPr>
        <w:pStyle w:val="7"/>
        <w:adjustRightInd/>
        <w:spacing w:line="560" w:lineRule="exact"/>
        <w:ind w:firstLine="641"/>
        <w:jc w:val="both"/>
        <w:rPr>
          <w:rFonts w:ascii="楷体_GB2312" w:hAnsi="仿宋" w:eastAsia="楷体_GB2312" w:cs="仿宋_GB2312"/>
          <w:color w:val="auto"/>
          <w:sz w:val="32"/>
          <w:szCs w:val="32"/>
        </w:rPr>
      </w:pPr>
      <w:r>
        <w:rPr>
          <w:rFonts w:hint="eastAsia" w:ascii="楷体_GB2312" w:hAnsi="仿宋" w:eastAsia="楷体_GB2312" w:cs="仿宋_GB2312"/>
          <w:color w:val="auto"/>
          <w:sz w:val="32"/>
          <w:szCs w:val="32"/>
        </w:rPr>
        <w:t>（三）</w:t>
      </w:r>
      <w:r>
        <w:rPr>
          <w:rFonts w:ascii="楷体_GB2312" w:hAnsi="仿宋" w:eastAsia="楷体_GB2312" w:cs="仿宋_GB2312"/>
          <w:color w:val="auto"/>
          <w:sz w:val="32"/>
          <w:szCs w:val="32"/>
        </w:rPr>
        <w:t>司法拍卖工业</w:t>
      </w:r>
      <w:r>
        <w:rPr>
          <w:rFonts w:hint="eastAsia" w:ascii="楷体_GB2312" w:hAnsi="仿宋" w:eastAsia="楷体_GB2312" w:cs="仿宋_GB2312"/>
          <w:color w:val="auto"/>
          <w:sz w:val="32"/>
          <w:szCs w:val="32"/>
        </w:rPr>
        <w:t>项目</w:t>
      </w:r>
      <w:r>
        <w:rPr>
          <w:rFonts w:ascii="楷体_GB2312" w:hAnsi="仿宋" w:eastAsia="楷体_GB2312" w:cs="仿宋_GB2312"/>
          <w:color w:val="auto"/>
          <w:sz w:val="32"/>
          <w:szCs w:val="32"/>
        </w:rPr>
        <w:t>接续管理</w:t>
      </w:r>
    </w:p>
    <w:p>
      <w:pPr>
        <w:autoSpaceDE w:val="0"/>
        <w:autoSpaceDN w:val="0"/>
        <w:spacing w:line="560" w:lineRule="exact"/>
        <w:ind w:firstLine="640" w:firstLineChars="200"/>
        <w:rPr>
          <w:rFonts w:eastAsia="仿宋_GB2312"/>
          <w:color w:val="000000"/>
          <w:sz w:val="32"/>
          <w:szCs w:val="32"/>
        </w:rPr>
      </w:pPr>
      <w:r>
        <w:rPr>
          <w:rFonts w:hint="eastAsia" w:eastAsia="仿宋_GB2312"/>
          <w:color w:val="000000"/>
          <w:sz w:val="32"/>
          <w:szCs w:val="32"/>
        </w:rPr>
        <w:t>建立健全府院联席会议制度，加强司法拍卖工业项目接续管理，法院在拍卖处置工业项目</w:t>
      </w:r>
      <w:r>
        <w:rPr>
          <w:rFonts w:hint="eastAsia" w:eastAsia="仿宋_GB2312"/>
          <w:color w:val="000000"/>
          <w:sz w:val="32"/>
          <w:szCs w:val="32"/>
          <w:lang w:eastAsia="zh-CN"/>
        </w:rPr>
        <w:t>时要</w:t>
      </w:r>
      <w:r>
        <w:rPr>
          <w:rFonts w:hint="eastAsia" w:eastAsia="仿宋_GB2312"/>
          <w:color w:val="000000"/>
          <w:sz w:val="32"/>
          <w:szCs w:val="32"/>
        </w:rPr>
        <w:t>参照工业“标准地”制度管理，在拍卖前设置产业导向、亩均效益等指导性要求，并在拍卖公告中予以明确。</w:t>
      </w:r>
    </w:p>
    <w:p>
      <w:pPr>
        <w:autoSpaceDE w:val="0"/>
        <w:autoSpaceDN w:val="0"/>
        <w:spacing w:line="560" w:lineRule="exact"/>
        <w:ind w:firstLine="640" w:firstLineChars="200"/>
        <w:rPr>
          <w:rFonts w:eastAsia="仿宋_GB2312"/>
          <w:color w:val="000000"/>
          <w:sz w:val="32"/>
          <w:szCs w:val="32"/>
        </w:rPr>
      </w:pPr>
      <w:r>
        <w:rPr>
          <w:rFonts w:hint="eastAsia" w:eastAsia="仿宋_GB2312"/>
          <w:color w:val="000000"/>
          <w:sz w:val="32"/>
          <w:szCs w:val="32"/>
        </w:rPr>
        <w:t>1.拍卖工业项目已签订项目投资合同的并约定产业导向、投资强度、亩均效益等要求的，可按原合同要求延续执行。</w:t>
      </w:r>
    </w:p>
    <w:p>
      <w:pPr>
        <w:autoSpaceDE w:val="0"/>
        <w:autoSpaceDN w:val="0"/>
        <w:spacing w:line="560" w:lineRule="exact"/>
        <w:ind w:firstLine="640" w:firstLineChars="200"/>
        <w:rPr>
          <w:rFonts w:hint="eastAsia" w:eastAsia="仿宋_GB2312"/>
          <w:color w:val="000000"/>
          <w:sz w:val="32"/>
          <w:szCs w:val="32"/>
        </w:rPr>
      </w:pPr>
      <w:r>
        <w:rPr>
          <w:rFonts w:hint="eastAsia" w:eastAsia="仿宋_GB2312"/>
          <w:color w:val="000000"/>
          <w:sz w:val="32"/>
          <w:szCs w:val="32"/>
        </w:rPr>
        <w:t>2.拍卖工业项目没有签订项目投资合同或没有约定产业导向、投资强度、亩均效益等要求，法院应征求同级</w:t>
      </w:r>
      <w:r>
        <w:rPr>
          <w:rFonts w:hint="eastAsia" w:eastAsia="仿宋_GB2312"/>
          <w:color w:val="000000"/>
          <w:sz w:val="32"/>
          <w:szCs w:val="32"/>
          <w:lang w:eastAsia="zh-CN"/>
        </w:rPr>
        <w:t>自然资源和规划局</w:t>
      </w:r>
      <w:r>
        <w:rPr>
          <w:rFonts w:hint="eastAsia" w:eastAsia="仿宋_GB2312"/>
          <w:color w:val="000000"/>
          <w:sz w:val="32"/>
          <w:szCs w:val="32"/>
        </w:rPr>
        <w:t>、经信</w:t>
      </w:r>
      <w:r>
        <w:rPr>
          <w:rFonts w:hint="eastAsia" w:eastAsia="仿宋_GB2312"/>
          <w:color w:val="000000"/>
          <w:sz w:val="32"/>
          <w:szCs w:val="32"/>
          <w:lang w:eastAsia="zh-CN"/>
        </w:rPr>
        <w:t>局</w:t>
      </w:r>
      <w:r>
        <w:rPr>
          <w:rFonts w:hint="eastAsia" w:eastAsia="仿宋_GB2312"/>
          <w:color w:val="000000"/>
          <w:sz w:val="32"/>
          <w:szCs w:val="32"/>
        </w:rPr>
        <w:t>等部门</w:t>
      </w:r>
      <w:r>
        <w:rPr>
          <w:rFonts w:hint="eastAsia" w:eastAsia="仿宋_GB2312"/>
          <w:color w:val="000000"/>
          <w:sz w:val="32"/>
          <w:szCs w:val="32"/>
          <w:lang w:eastAsia="zh-CN"/>
        </w:rPr>
        <w:t>和属地政府</w:t>
      </w:r>
      <w:r>
        <w:rPr>
          <w:rFonts w:hint="eastAsia" w:eastAsia="仿宋_GB2312"/>
          <w:color w:val="000000"/>
          <w:sz w:val="32"/>
          <w:szCs w:val="32"/>
        </w:rPr>
        <w:t>意见，参照“标准地”制度要求，设定拍卖工业用地的产业导向和准入条件等。</w:t>
      </w:r>
    </w:p>
    <w:p>
      <w:pPr>
        <w:autoSpaceDE w:val="0"/>
        <w:autoSpaceDN w:val="0"/>
        <w:spacing w:line="560" w:lineRule="exact"/>
        <w:ind w:firstLine="640" w:firstLineChars="200"/>
        <w:rPr>
          <w:rFonts w:hint="default" w:eastAsia="仿宋_GB2312"/>
          <w:color w:val="000000"/>
          <w:sz w:val="32"/>
          <w:szCs w:val="32"/>
          <w:lang w:val="en-US" w:eastAsia="zh-CN"/>
        </w:rPr>
      </w:pPr>
      <w:r>
        <w:rPr>
          <w:rFonts w:hint="eastAsia" w:eastAsia="仿宋_GB2312"/>
          <w:color w:val="000000"/>
          <w:sz w:val="32"/>
          <w:szCs w:val="32"/>
          <w:lang w:eastAsia="zh-CN"/>
        </w:rPr>
        <w:t>本《指导意见》自</w:t>
      </w:r>
      <w:r>
        <w:rPr>
          <w:rFonts w:hint="eastAsia" w:eastAsia="仿宋_GB2312"/>
          <w:color w:val="000000"/>
          <w:sz w:val="32"/>
          <w:szCs w:val="32"/>
          <w:lang w:val="en-US" w:eastAsia="zh-CN"/>
        </w:rPr>
        <w:t>发布之日</w:t>
      </w:r>
      <w:bookmarkStart w:id="0" w:name="_GoBack"/>
      <w:bookmarkEnd w:id="0"/>
      <w:r>
        <w:rPr>
          <w:rFonts w:hint="eastAsia" w:eastAsia="仿宋_GB2312"/>
          <w:color w:val="000000"/>
          <w:sz w:val="32"/>
          <w:szCs w:val="32"/>
          <w:lang w:val="en-US" w:eastAsia="zh-CN"/>
        </w:rPr>
        <w:t>起施行，有效期3年。各地、各部门要结合实际情况在本《指导意见》的基础上研究制定具体实施办法或工作方案。</w:t>
      </w:r>
    </w:p>
    <w:sectPr>
      <w:footerReference r:id="rId3" w:type="default"/>
      <w:pgSz w:w="11906" w:h="16838"/>
      <w:pgMar w:top="2098" w:right="1474" w:bottom="1984" w:left="1587" w:header="851" w:footer="992" w:gutter="0"/>
      <w:pgNumType w:fmt="numberInDash"/>
      <w:cols w:space="720" w:num="1"/>
      <w:docGrid w:type="linesAndChar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13577"/>
      <w:docPartObj>
        <w:docPartGallery w:val="autotext"/>
      </w:docPartObj>
    </w:sdtPr>
    <w:sdtContent>
      <w:p>
        <w:pPr>
          <w:pStyle w:val="2"/>
          <w:jc w:val="center"/>
        </w:pPr>
        <w:r>
          <w:fldChar w:fldCharType="begin"/>
        </w:r>
        <w:r>
          <w:instrText xml:space="preserve"> PAGE   \* MERGEFORMAT </w:instrText>
        </w:r>
        <w:r>
          <w:fldChar w:fldCharType="separate"/>
        </w:r>
        <w:r>
          <w:rPr>
            <w:lang w:val="zh-CN"/>
          </w:rPr>
          <w:t>-</w:t>
        </w:r>
        <w:r>
          <w:t xml:space="preserve"> 4 -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F8"/>
    <w:rsid w:val="0009491D"/>
    <w:rsid w:val="00164351"/>
    <w:rsid w:val="00191E6F"/>
    <w:rsid w:val="002D72F8"/>
    <w:rsid w:val="002D79B8"/>
    <w:rsid w:val="002E7E7A"/>
    <w:rsid w:val="0038503B"/>
    <w:rsid w:val="00576679"/>
    <w:rsid w:val="0078660F"/>
    <w:rsid w:val="007D4752"/>
    <w:rsid w:val="0085260D"/>
    <w:rsid w:val="0089175D"/>
    <w:rsid w:val="009550BC"/>
    <w:rsid w:val="009C0D50"/>
    <w:rsid w:val="00A1195A"/>
    <w:rsid w:val="00A546F0"/>
    <w:rsid w:val="00AD0A63"/>
    <w:rsid w:val="00E1006D"/>
    <w:rsid w:val="00E809EB"/>
    <w:rsid w:val="00FC0C7A"/>
    <w:rsid w:val="0EA03A09"/>
    <w:rsid w:val="20AD7F04"/>
    <w:rsid w:val="21713554"/>
    <w:rsid w:val="23D80213"/>
    <w:rsid w:val="26A569FC"/>
    <w:rsid w:val="26FC6A5E"/>
    <w:rsid w:val="48CF2C11"/>
    <w:rsid w:val="56E56F21"/>
    <w:rsid w:val="58A3240B"/>
    <w:rsid w:val="5DBA3054"/>
    <w:rsid w:val="77FA01B0"/>
    <w:rsid w:val="79D52996"/>
    <w:rsid w:val="7F781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kern w:val="0"/>
      <w:sz w:val="24"/>
    </w:rPr>
  </w:style>
  <w:style w:type="paragraph" w:customStyle="1" w:styleId="7">
    <w:name w:val="Default"/>
    <w:qFormat/>
    <w:uiPriority w:val="0"/>
    <w:pPr>
      <w:widowControl w:val="0"/>
      <w:autoSpaceDE w:val="0"/>
      <w:autoSpaceDN w:val="0"/>
      <w:adjustRightInd w:val="0"/>
    </w:pPr>
    <w:rPr>
      <w:rFonts w:ascii="Arial Unicode MS" w:hAnsi="Arial Unicode MS" w:eastAsia="宋体" w:cs="Arial Unicode MS"/>
      <w:color w:val="000000"/>
      <w:sz w:val="24"/>
      <w:szCs w:val="24"/>
      <w:lang w:val="en-US" w:eastAsia="zh-CN" w:bidi="ar-SA"/>
    </w:rPr>
  </w:style>
  <w:style w:type="character" w:customStyle="1" w:styleId="8">
    <w:name w:val="页眉 Char"/>
    <w:basedOn w:val="6"/>
    <w:link w:val="3"/>
    <w:semiHidden/>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385</Words>
  <Characters>2198</Characters>
  <Lines>18</Lines>
  <Paragraphs>5</Paragraphs>
  <TotalTime>15</TotalTime>
  <ScaleCrop>false</ScaleCrop>
  <LinksUpToDate>false</LinksUpToDate>
  <CharactersWithSpaces>2578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2019-06-17T09:42:00Z</dcterms:created>
  <dc:creator>user</dc:creator>
  <cp:lastModifiedBy>OO</cp:lastModifiedBy>
  <cp:lastPrinted>2019-07-17T00:17:00Z</cp:lastPrinted>
  <dcterms:modified xsi:type="dcterms:W3CDTF">2019-08-02T03:49:59Z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