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560" w:lineRule="exact"/>
        <w:rPr>
          <w:rFonts w:ascii="黑体" w:eastAsia="黑体" w:cs="黑体"/>
          <w:spacing w:val="15"/>
          <w:sz w:val="28"/>
          <w:szCs w:val="28"/>
        </w:rPr>
      </w:pPr>
      <w:bookmarkStart w:id="0" w:name="_GoBack"/>
      <w:bookmarkEnd w:id="0"/>
    </w:p>
    <w:p>
      <w:pPr>
        <w:widowControl/>
        <w:shd w:val="clear" w:color="auto" w:fill="FFFFFF"/>
        <w:spacing w:before="100" w:beforeAutospacing="1" w:after="100" w:afterAutospacing="1"/>
        <w:jc w:val="center"/>
        <w:rPr>
          <w:rFonts w:ascii="黑体" w:hAnsi="黑体" w:eastAsia="黑体" w:cs="宋体"/>
          <w:kern w:val="0"/>
          <w:sz w:val="44"/>
          <w:szCs w:val="44"/>
        </w:rPr>
      </w:pPr>
      <w:r>
        <w:rPr>
          <w:rFonts w:hint="eastAsia" w:ascii="黑体" w:hAnsi="黑体" w:eastAsia="黑体" w:cs="宋体"/>
          <w:kern w:val="0"/>
          <w:sz w:val="44"/>
          <w:szCs w:val="44"/>
        </w:rPr>
        <w:t>温州市洞头区人民政府灵昆街道办事处</w:t>
      </w:r>
    </w:p>
    <w:p>
      <w:pPr>
        <w:widowControl/>
        <w:shd w:val="clear" w:color="auto" w:fill="FFFFFF"/>
        <w:spacing w:before="100" w:beforeAutospacing="1" w:after="100" w:afterAutospacing="1"/>
        <w:jc w:val="center"/>
        <w:rPr>
          <w:rFonts w:ascii="宋体" w:hAnsi="宋体" w:eastAsia="宋体" w:cs="宋体"/>
          <w:kern w:val="0"/>
          <w:sz w:val="24"/>
          <w:szCs w:val="24"/>
        </w:rPr>
      </w:pPr>
      <w:r>
        <w:rPr>
          <w:rFonts w:hint="eastAsia" w:ascii="黑体" w:hAnsi="黑体" w:eastAsia="黑体" w:cs="宋体"/>
          <w:kern w:val="0"/>
          <w:sz w:val="44"/>
          <w:szCs w:val="44"/>
        </w:rPr>
        <w:t xml:space="preserve">2017年度部门决算 </w:t>
      </w: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w:t>
      </w:r>
      <w:r>
        <w:rPr>
          <w:rFonts w:hint="eastAsia" w:ascii="黑体" w:hAnsi="Times New Roman" w:eastAsia="黑体" w:cs="黑体"/>
          <w:color w:val="000000"/>
          <w:sz w:val="32"/>
          <w:szCs w:val="32"/>
        </w:rPr>
        <w:t>7年度部门决算概况</w:t>
      </w:r>
    </w:p>
    <w:p>
      <w:pPr>
        <w:autoSpaceDE w:val="0"/>
        <w:autoSpaceDN w:val="0"/>
        <w:adjustRightInd w:val="0"/>
        <w:spacing w:line="400" w:lineRule="exact"/>
        <w:ind w:firstLine="588"/>
        <w:rPr>
          <w:rFonts w:ascii="??" w:hAnsi="Times New Roman" w:eastAsia="Times New Roman" w:cs="??"/>
          <w:sz w:val="32"/>
          <w:szCs w:val="32"/>
        </w:rPr>
      </w:pPr>
      <w:r>
        <w:rPr>
          <w:rFonts w:ascii="??" w:hAnsi="Times New Roman" w:eastAsia="Times New Roman" w:cs="??"/>
          <w:sz w:val="32"/>
          <w:szCs w:val="32"/>
        </w:rPr>
        <w:t>（一）主要职能</w:t>
      </w:r>
    </w:p>
    <w:p>
      <w:pPr>
        <w:pStyle w:val="12"/>
        <w:widowControl/>
        <w:wordWrap w:val="0"/>
        <w:spacing w:beforeAutospacing="0" w:afterAutospacing="0" w:line="400" w:lineRule="exact"/>
        <w:ind w:firstLine="420"/>
      </w:pPr>
      <w:r>
        <w:rPr>
          <w:rFonts w:ascii="Arial" w:hAnsi="Arial" w:cs="Arial"/>
          <w:color w:val="333333"/>
          <w:szCs w:val="24"/>
        </w:rPr>
        <w:t>1</w:t>
      </w:r>
      <w:r>
        <w:rPr>
          <w:rFonts w:hint="eastAsia" w:ascii="Arial" w:hAnsi="Arial" w:cs="Arial"/>
          <w:color w:val="333333"/>
          <w:szCs w:val="24"/>
        </w:rPr>
        <w:t>、宣传和贯彻执行党的路线、方针、政策和上级党组织及本街道党工委的决议。</w:t>
      </w:r>
    </w:p>
    <w:p>
      <w:pPr>
        <w:pStyle w:val="12"/>
        <w:widowControl/>
        <w:wordWrap w:val="0"/>
        <w:spacing w:beforeAutospacing="0" w:afterAutospacing="0" w:line="400" w:lineRule="exact"/>
        <w:ind w:firstLine="420"/>
      </w:pPr>
      <w:r>
        <w:rPr>
          <w:rFonts w:ascii="Arial" w:hAnsi="Arial" w:cs="Arial"/>
          <w:color w:val="333333"/>
          <w:szCs w:val="24"/>
        </w:rPr>
        <w:t>2</w:t>
      </w:r>
      <w:r>
        <w:rPr>
          <w:rFonts w:hint="eastAsia" w:ascii="Arial" w:hAnsi="Arial" w:cs="Arial"/>
          <w:color w:val="333333"/>
          <w:szCs w:val="24"/>
        </w:rPr>
        <w:t>、领导街道办事处和群众组织，支持和保证这些机关和组织依照国家法律法规及各自章程充分行使职权。</w:t>
      </w:r>
    </w:p>
    <w:p>
      <w:pPr>
        <w:pStyle w:val="12"/>
        <w:widowControl/>
        <w:wordWrap w:val="0"/>
        <w:spacing w:beforeAutospacing="0" w:afterAutospacing="0" w:line="400" w:lineRule="exact"/>
        <w:ind w:firstLine="420"/>
      </w:pPr>
      <w:r>
        <w:rPr>
          <w:rFonts w:ascii="Arial" w:hAnsi="Arial" w:cs="Arial"/>
          <w:color w:val="333333"/>
          <w:szCs w:val="24"/>
        </w:rPr>
        <w:t>3</w:t>
      </w:r>
      <w:r>
        <w:rPr>
          <w:rFonts w:hint="eastAsia" w:ascii="Arial" w:hAnsi="Arial" w:cs="Arial"/>
          <w:color w:val="333333"/>
          <w:szCs w:val="24"/>
        </w:rPr>
        <w:t>、讨论决定本街道经济建设和社会发展中的重大问题，需由街道办事处或集体经济组织决定的问题，由街道办事处或集体经济组织依法律和有关法规作出决定。</w:t>
      </w:r>
    </w:p>
    <w:p>
      <w:pPr>
        <w:pStyle w:val="12"/>
        <w:widowControl/>
        <w:wordWrap w:val="0"/>
        <w:spacing w:beforeAutospacing="0" w:afterAutospacing="0" w:line="400" w:lineRule="exact"/>
        <w:ind w:firstLine="420"/>
      </w:pPr>
      <w:r>
        <w:rPr>
          <w:rFonts w:ascii="Arial" w:hAnsi="Arial" w:cs="Arial"/>
          <w:color w:val="333333"/>
          <w:szCs w:val="24"/>
        </w:rPr>
        <w:t>4</w:t>
      </w:r>
      <w:r>
        <w:rPr>
          <w:rFonts w:hint="eastAsia" w:ascii="Arial" w:hAnsi="Arial" w:cs="Arial"/>
          <w:color w:val="333333"/>
          <w:szCs w:val="24"/>
        </w:rPr>
        <w:t>、加强党工委自身建设和以党支部为核心的村级组织建设。按照干部管理权限，负责对本级街道村干部的教育、管理、选拔和监督工作，提高</w:t>
      </w:r>
      <w:r>
        <w:rPr>
          <w:rFonts w:ascii="Arial" w:hAnsi="Arial" w:cs="Arial"/>
          <w:color w:val="333333"/>
          <w:szCs w:val="24"/>
        </w:rPr>
        <w:t>-</w:t>
      </w:r>
      <w:r>
        <w:rPr>
          <w:rFonts w:hint="eastAsia" w:ascii="Arial" w:hAnsi="Arial" w:cs="Arial"/>
          <w:color w:val="333333"/>
          <w:szCs w:val="24"/>
        </w:rPr>
        <w:t>干部队伍素质，严格党的组织</w:t>
      </w:r>
      <w:r>
        <w:fldChar w:fldCharType="begin"/>
      </w:r>
      <w:r>
        <w:instrText xml:space="preserve">HYPERLINK "http://www.oh100.com/zuowen/shenghuo/" \t "http://www.oh100.com/a/201208/_blank" </w:instrText>
      </w:r>
      <w:r>
        <w:fldChar w:fldCharType="separate"/>
      </w:r>
      <w:r>
        <w:rPr>
          <w:rStyle w:val="10"/>
          <w:rFonts w:hint="eastAsia" w:ascii="Arial" w:hAnsi="Arial" w:cs="Arial"/>
          <w:color w:val="666666"/>
          <w:szCs w:val="24"/>
          <w:u w:val="single"/>
        </w:rPr>
        <w:t>生活</w:t>
      </w:r>
      <w:r>
        <w:fldChar w:fldCharType="end"/>
      </w:r>
      <w:r>
        <w:rPr>
          <w:rFonts w:hint="eastAsia" w:ascii="Arial" w:hAnsi="Arial" w:cs="Arial"/>
          <w:color w:val="333333"/>
          <w:szCs w:val="24"/>
        </w:rPr>
        <w:t>，维护和执行党的纪律，监督党员切实履行义务，保障党员的权利不受侵犯。监督党员干部和</w:t>
      </w:r>
      <w:r>
        <w:fldChar w:fldCharType="begin"/>
      </w:r>
      <w:r>
        <w:instrText xml:space="preserve">HYPERLINK "http://www.oh100.com/qita/" \t "http://www.oh100.com/a/201208/_blank" </w:instrText>
      </w:r>
      <w:r>
        <w:fldChar w:fldCharType="separate"/>
      </w:r>
      <w:r>
        <w:rPr>
          <w:rStyle w:val="10"/>
          <w:rFonts w:hint="eastAsia" w:ascii="Arial" w:hAnsi="Arial" w:cs="Arial"/>
          <w:color w:val="666666"/>
          <w:szCs w:val="24"/>
          <w:u w:val="single"/>
        </w:rPr>
        <w:t>其他</w:t>
      </w:r>
      <w:r>
        <w:fldChar w:fldCharType="end"/>
      </w:r>
      <w:r>
        <w:rPr>
          <w:rFonts w:hint="eastAsia" w:ascii="Arial" w:hAnsi="Arial" w:cs="Arial"/>
          <w:color w:val="333333"/>
          <w:szCs w:val="24"/>
        </w:rPr>
        <w:t>工作人员严格遵守党纪国法，严格遵守国家的财经制度，不得侵占国家、集体和群众的利益。教育党员干部和群众自觉抵制不良倾向，坚决同各种违法犯罪行为作斗争。</w:t>
      </w:r>
    </w:p>
    <w:p>
      <w:pPr>
        <w:pStyle w:val="12"/>
        <w:widowControl/>
        <w:wordWrap w:val="0"/>
        <w:spacing w:beforeAutospacing="0" w:afterAutospacing="0" w:line="400" w:lineRule="exact"/>
        <w:ind w:firstLine="420"/>
      </w:pPr>
      <w:r>
        <w:rPr>
          <w:rFonts w:ascii="Arial" w:hAnsi="Arial" w:cs="Arial"/>
          <w:color w:val="333333"/>
          <w:szCs w:val="24"/>
        </w:rPr>
        <w:t>5</w:t>
      </w:r>
      <w:r>
        <w:rPr>
          <w:rFonts w:hint="eastAsia" w:ascii="Arial" w:hAnsi="Arial" w:cs="Arial"/>
          <w:color w:val="333333"/>
          <w:szCs w:val="24"/>
        </w:rPr>
        <w:t>、密切联系群众，经常了解群众对街道村党员干部工作的批评和意见，维护群众的正当权利和利益。</w:t>
      </w:r>
    </w:p>
    <w:p>
      <w:pPr>
        <w:pStyle w:val="12"/>
        <w:widowControl/>
        <w:wordWrap w:val="0"/>
        <w:spacing w:beforeAutospacing="0" w:afterAutospacing="0" w:line="400" w:lineRule="exact"/>
        <w:ind w:firstLine="420"/>
      </w:pPr>
      <w:r>
        <w:rPr>
          <w:rFonts w:ascii="Arial" w:hAnsi="Arial" w:cs="Arial"/>
          <w:color w:val="333333"/>
          <w:szCs w:val="24"/>
        </w:rPr>
        <w:t>6</w:t>
      </w:r>
      <w:r>
        <w:rPr>
          <w:rFonts w:hint="eastAsia" w:ascii="Arial" w:hAnsi="Arial" w:cs="Arial"/>
          <w:color w:val="333333"/>
          <w:szCs w:val="24"/>
        </w:rPr>
        <w:t>、对要求入党的积极分子进行教育和培养，做好经常性的发展党员工作，重视在农村基层工作的青年和妇女中发展党员。</w:t>
      </w:r>
    </w:p>
    <w:p>
      <w:pPr>
        <w:pStyle w:val="12"/>
        <w:widowControl/>
        <w:wordWrap w:val="0"/>
        <w:spacing w:beforeAutospacing="0" w:afterAutospacing="0" w:line="400" w:lineRule="exact"/>
        <w:ind w:firstLine="420"/>
      </w:pPr>
      <w:r>
        <w:rPr>
          <w:rFonts w:ascii="Arial" w:hAnsi="Arial" w:cs="Arial"/>
          <w:color w:val="333333"/>
          <w:szCs w:val="24"/>
        </w:rPr>
        <w:t>7</w:t>
      </w:r>
      <w:r>
        <w:rPr>
          <w:rFonts w:hint="eastAsia" w:ascii="Arial" w:hAnsi="Arial" w:cs="Arial"/>
          <w:color w:val="333333"/>
          <w:szCs w:val="24"/>
        </w:rPr>
        <w:t>、领导本街道的三个文明建设，做好社会治安综合治理及计划生育、环境保护、维护稳定等工作。对本街道重大的突发性事件，迅速反应、及时处置，并立即向上级党委报告情况。</w:t>
      </w:r>
    </w:p>
    <w:p>
      <w:pPr>
        <w:autoSpaceDE w:val="0"/>
        <w:autoSpaceDN w:val="0"/>
        <w:adjustRightInd w:val="0"/>
        <w:spacing w:line="560" w:lineRule="exact"/>
        <w:ind w:firstLine="588"/>
        <w:rPr>
          <w:rFonts w:ascii="??" w:hAnsi="Times New Roman" w:eastAsia="Times New Roman" w:cs="??"/>
          <w:sz w:val="32"/>
          <w:szCs w:val="32"/>
        </w:rPr>
      </w:pPr>
      <w:r>
        <w:rPr>
          <w:rFonts w:ascii="??" w:hAnsi="Times New Roman" w:eastAsia="Times New Roman" w:cs="??"/>
          <w:sz w:val="32"/>
          <w:szCs w:val="32"/>
        </w:rPr>
        <w:t>（二）部门决算单位构成</w:t>
      </w:r>
    </w:p>
    <w:p>
      <w:pPr>
        <w:autoSpaceDE w:val="0"/>
        <w:autoSpaceDN w:val="0"/>
        <w:adjustRightInd w:val="0"/>
        <w:spacing w:line="560" w:lineRule="exact"/>
        <w:ind w:firstLine="588"/>
        <w:rPr>
          <w:rFonts w:ascii="黑体" w:hAnsi="Times New Roman" w:eastAsia="黑体" w:cs="黑体"/>
          <w:color w:val="000000"/>
          <w:sz w:val="32"/>
          <w:szCs w:val="32"/>
        </w:rPr>
      </w:pPr>
      <w:r>
        <w:rPr>
          <w:rFonts w:ascii="??" w:hAnsi="Times New Roman" w:eastAsia="Times New Roman" w:cs="??"/>
          <w:sz w:val="30"/>
          <w:szCs w:val="30"/>
          <w:lang w:val="zh-CN"/>
        </w:rPr>
        <w:t>201</w:t>
      </w:r>
      <w:r>
        <w:rPr>
          <w:rFonts w:hint="eastAsia" w:ascii="??" w:hAnsi="Times New Roman" w:cs="??"/>
          <w:sz w:val="30"/>
          <w:szCs w:val="30"/>
          <w:lang w:val="zh-CN"/>
        </w:rPr>
        <w:t>7</w:t>
      </w:r>
      <w:r>
        <w:rPr>
          <w:rFonts w:ascii="??" w:hAnsi="Times New Roman" w:eastAsia="Times New Roman" w:cs="??"/>
          <w:sz w:val="30"/>
          <w:szCs w:val="30"/>
          <w:lang w:val="zh-CN"/>
        </w:rPr>
        <w:t>年度灵昆街道办事处</w:t>
      </w:r>
      <w:r>
        <w:rPr>
          <w:rFonts w:ascii="??" w:hAnsi="Times New Roman" w:eastAsia="Times New Roman" w:cs="??"/>
          <w:sz w:val="32"/>
          <w:szCs w:val="32"/>
        </w:rPr>
        <w:t>部门决算：本级决算</w:t>
      </w: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w:t>
      </w:r>
      <w:r>
        <w:rPr>
          <w:rFonts w:hint="eastAsia" w:ascii="黑体" w:hAnsi="Times New Roman" w:eastAsia="黑体" w:cs="黑体"/>
          <w:sz w:val="32"/>
          <w:szCs w:val="32"/>
          <w:lang w:val="zh-CN"/>
        </w:rPr>
        <w:t>7年度部门决算报表</w:t>
      </w:r>
    </w:p>
    <w:tbl>
      <w:tblPr>
        <w:tblW w:w="20787"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4"/>
        <w:gridCol w:w="33"/>
        <w:gridCol w:w="329"/>
        <w:gridCol w:w="41"/>
        <w:gridCol w:w="75"/>
        <w:gridCol w:w="260"/>
        <w:gridCol w:w="81"/>
        <w:gridCol w:w="76"/>
        <w:gridCol w:w="219"/>
        <w:gridCol w:w="121"/>
        <w:gridCol w:w="76"/>
        <w:gridCol w:w="416"/>
        <w:gridCol w:w="261"/>
        <w:gridCol w:w="182"/>
        <w:gridCol w:w="14"/>
        <w:gridCol w:w="350"/>
        <w:gridCol w:w="353"/>
        <w:gridCol w:w="337"/>
        <w:gridCol w:w="122"/>
        <w:gridCol w:w="125"/>
        <w:gridCol w:w="432"/>
        <w:gridCol w:w="168"/>
        <w:gridCol w:w="261"/>
        <w:gridCol w:w="131"/>
        <w:gridCol w:w="92"/>
        <w:gridCol w:w="48"/>
        <w:gridCol w:w="420"/>
        <w:gridCol w:w="171"/>
        <w:gridCol w:w="182"/>
        <w:gridCol w:w="106"/>
        <w:gridCol w:w="339"/>
        <w:gridCol w:w="140"/>
        <w:gridCol w:w="95"/>
        <w:gridCol w:w="244"/>
        <w:gridCol w:w="168"/>
        <w:gridCol w:w="251"/>
        <w:gridCol w:w="198"/>
        <w:gridCol w:w="169"/>
        <w:gridCol w:w="280"/>
        <w:gridCol w:w="125"/>
        <w:gridCol w:w="70"/>
        <w:gridCol w:w="580"/>
        <w:gridCol w:w="21"/>
        <w:gridCol w:w="215"/>
        <w:gridCol w:w="330"/>
        <w:gridCol w:w="295"/>
        <w:gridCol w:w="125"/>
        <w:gridCol w:w="111"/>
        <w:gridCol w:w="71"/>
        <w:gridCol w:w="322"/>
        <w:gridCol w:w="89"/>
        <w:gridCol w:w="23"/>
        <w:gridCol w:w="211"/>
        <w:gridCol w:w="226"/>
        <w:gridCol w:w="403"/>
        <w:gridCol w:w="39"/>
        <w:gridCol w:w="95"/>
        <w:gridCol w:w="11"/>
        <w:gridCol w:w="7"/>
        <w:gridCol w:w="94"/>
        <w:gridCol w:w="889"/>
        <w:gridCol w:w="214"/>
        <w:gridCol w:w="682"/>
        <w:gridCol w:w="104"/>
        <w:gridCol w:w="806"/>
        <w:gridCol w:w="274"/>
        <w:gridCol w:w="173"/>
        <w:gridCol w:w="565"/>
        <w:gridCol w:w="105"/>
        <w:gridCol w:w="6"/>
        <w:gridCol w:w="721"/>
        <w:gridCol w:w="33"/>
        <w:gridCol w:w="1246"/>
        <w:gridCol w:w="324"/>
        <w:gridCol w:w="1406"/>
        <w:gridCol w:w="2396"/>
      </w:tblGrid>
      <w:tr>
        <w:trPr>
          <w:gridBefore w:val="3"/>
          <w:gridAfter w:val="1"/>
          <w:wBefore w:w="376" w:type="dxa"/>
          <w:wAfter w:w="2396" w:type="dxa"/>
          <w:trHeight w:val="555" w:hRule="atLeast"/>
        </w:trPr>
        <w:tc>
          <w:tcPr>
            <w:tcW w:w="18015" w:type="dxa"/>
            <w:gridSpan w:val="72"/>
            <w:tcBorders>
              <w:top w:val="nil"/>
              <w:left w:val="nil"/>
              <w:bottom w:val="nil"/>
              <w:right w:val="single" w:color="808080" w:sz="4" w:space="0"/>
            </w:tcBorders>
            <w:shd w:val="clear" w:color="000000" w:fill="FFFFFF"/>
            <w:vAlign w:val="center"/>
          </w:tcPr>
          <w:p>
            <w:pPr>
              <w:widowControl/>
              <w:ind w:firstLine="2880" w:firstLineChars="800"/>
              <w:rPr>
                <w:rFonts w:ascii="黑体" w:hAnsi="黑体" w:eastAsia="黑体" w:cs="Arial"/>
                <w:color w:val="000000"/>
                <w:kern w:val="0"/>
                <w:sz w:val="36"/>
                <w:szCs w:val="36"/>
              </w:rPr>
            </w:pPr>
          </w:p>
          <w:p>
            <w:pPr>
              <w:widowControl/>
              <w:ind w:firstLine="2520" w:firstLineChars="700"/>
              <w:rPr>
                <w:rFonts w:ascii="黑体" w:hAnsi="黑体" w:eastAsia="黑体" w:cs="Arial"/>
                <w:color w:val="000000"/>
                <w:kern w:val="0"/>
                <w:sz w:val="36"/>
                <w:szCs w:val="36"/>
              </w:rPr>
            </w:pPr>
            <w:r>
              <w:rPr>
                <w:rFonts w:hint="eastAsia" w:ascii="黑体" w:hAnsi="黑体" w:eastAsia="黑体" w:cs="Arial"/>
                <w:color w:val="000000"/>
                <w:kern w:val="0"/>
                <w:sz w:val="36"/>
                <w:szCs w:val="36"/>
              </w:rPr>
              <w:t>2017年度部门收支决算总表</w:t>
            </w:r>
          </w:p>
        </w:tc>
      </w:tr>
      <w:tr>
        <w:trPr>
          <w:gridBefore w:val="3"/>
          <w:gridAfter w:val="9"/>
          <w:wBefore w:w="376" w:type="dxa"/>
          <w:wAfter w:w="6802" w:type="dxa"/>
          <w:trHeight w:val="300" w:hRule="atLeast"/>
        </w:trPr>
        <w:tc>
          <w:tcPr>
            <w:tcW w:w="4193" w:type="dxa"/>
            <w:gridSpan w:val="22"/>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16" w:type="dxa"/>
            <w:gridSpan w:val="42"/>
            <w:tcBorders>
              <w:top w:val="nil"/>
              <w:left w:val="nil"/>
              <w:bottom w:val="nil"/>
              <w:right w:val="nil"/>
            </w:tcBorders>
            <w:shd w:val="clear" w:color="000000" w:fill="FFFFFF"/>
            <w:vAlign w:val="center"/>
          </w:tcPr>
          <w:p>
            <w:pPr>
              <w:widowControl/>
              <w:ind w:firstLine="3850" w:firstLineChars="1750"/>
              <w:rPr>
                <w:rFonts w:ascii="宋体" w:hAnsi="宋体" w:eastAsia="宋体" w:cs="Arial"/>
                <w:color w:val="000000"/>
                <w:kern w:val="0"/>
                <w:sz w:val="22"/>
              </w:rPr>
            </w:pPr>
            <w:r>
              <w:rPr>
                <w:rFonts w:hint="eastAsia" w:ascii="宋体" w:hAnsi="宋体" w:eastAsia="宋体" w:cs="Arial"/>
                <w:color w:val="000000"/>
                <w:kern w:val="0"/>
                <w:sz w:val="22"/>
              </w:rPr>
              <w:t>公开01表</w:t>
            </w:r>
          </w:p>
        </w:tc>
      </w:tr>
      <w:tr>
        <w:trPr>
          <w:gridBefore w:val="3"/>
          <w:gridAfter w:val="11"/>
          <w:wBefore w:w="376" w:type="dxa"/>
          <w:wAfter w:w="7249" w:type="dxa"/>
          <w:trHeight w:val="315" w:hRule="atLeast"/>
        </w:trPr>
        <w:tc>
          <w:tcPr>
            <w:tcW w:w="7004" w:type="dxa"/>
            <w:gridSpan w:val="36"/>
            <w:tcBorders>
              <w:top w:val="nil"/>
              <w:left w:val="nil"/>
              <w:right w:val="nil"/>
            </w:tcBorders>
            <w:shd w:val="clear" w:color="000000"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w:t>
            </w:r>
          </w:p>
        </w:tc>
        <w:tc>
          <w:tcPr>
            <w:tcW w:w="6158" w:type="dxa"/>
            <w:gridSpan w:val="26"/>
            <w:tcBorders>
              <w:top w:val="nil"/>
              <w:left w:val="nil"/>
              <w:right w:val="nil"/>
            </w:tcBorders>
            <w:shd w:val="clear" w:color="000000" w:fill="FFFFFF"/>
            <w:vAlign w:val="center"/>
          </w:tcPr>
          <w:p>
            <w:pPr>
              <w:widowControl/>
              <w:ind w:right="880" w:firstLine="1100" w:firstLineChars="500"/>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rPr>
          <w:gridBefore w:val="3"/>
          <w:gridAfter w:val="20"/>
          <w:wBefore w:w="376" w:type="dxa"/>
          <w:wAfter w:w="10151" w:type="dxa"/>
          <w:trHeight w:val="420" w:hRule="atLeast"/>
        </w:trPr>
        <w:tc>
          <w:tcPr>
            <w:tcW w:w="5014" w:type="dxa"/>
            <w:gridSpan w:val="26"/>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收      入</w:t>
            </w:r>
          </w:p>
        </w:tc>
        <w:tc>
          <w:tcPr>
            <w:tcW w:w="5246" w:type="dxa"/>
            <w:gridSpan w:val="27"/>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      出</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 目</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一、财政拨款</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8,990.33</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896.73</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一般公共预算</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4,490.33</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政府性基金预算</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二、上级补助收入</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三、事业收入</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四、经营收入</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五、附属单位上缴收入</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七、文化体育与传媒支出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六、其他收入</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3,747.44</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300.00</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九、医疗卫生与计划生育支出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89.50</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7,079.50</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206.63</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十四、资源勘探信息等支出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900.00</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十八、国土海洋气象等支出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二十一、其他支出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二十二、债务还本支出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二十三、债务付息支出</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本年收入合计</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12,737.77</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本年支出合计</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10,165.06</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七、用事业基金弥补收支差额</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二十四、结余分配</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八、年初结转和结余</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2,658.78</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交纳所得税</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基本支出结转</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2,658.78</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提取职工福利基金</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项目支出结转和结余</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转入事业基金</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经营结余</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二十五、年末结转和结余</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5,231.49</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基本支出结转</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5,231.49</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项目支出结转和结余</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经营结余</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Before w:val="3"/>
          <w:gridAfter w:val="20"/>
          <w:wBefore w:w="376" w:type="dxa"/>
          <w:wAfter w:w="10151" w:type="dxa"/>
          <w:trHeight w:val="300" w:hRule="atLeast"/>
        </w:trPr>
        <w:tc>
          <w:tcPr>
            <w:tcW w:w="3109" w:type="dxa"/>
            <w:gridSpan w:val="17"/>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收  入  总  计</w:t>
            </w:r>
          </w:p>
        </w:tc>
        <w:tc>
          <w:tcPr>
            <w:tcW w:w="1905" w:type="dxa"/>
            <w:gridSpan w:val="9"/>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15,396.55</w:t>
            </w:r>
          </w:p>
        </w:tc>
        <w:tc>
          <w:tcPr>
            <w:tcW w:w="3933" w:type="dxa"/>
            <w:gridSpan w:val="20"/>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  出  总  计</w:t>
            </w:r>
          </w:p>
        </w:tc>
        <w:tc>
          <w:tcPr>
            <w:tcW w:w="1313" w:type="dxa"/>
            <w:gridSpan w:val="7"/>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15,396.55</w:t>
            </w:r>
          </w:p>
        </w:tc>
      </w:tr>
      <w:tr>
        <w:trPr>
          <w:gridBefore w:val="3"/>
          <w:wBefore w:w="376" w:type="dxa"/>
          <w:trHeight w:val="1402" w:hRule="atLeast"/>
        </w:trPr>
        <w:tc>
          <w:tcPr>
            <w:tcW w:w="20411" w:type="dxa"/>
            <w:gridSpan w:val="73"/>
            <w:tcBorders>
              <w:top w:val="nil"/>
              <w:left w:val="nil"/>
              <w:bottom w:val="nil"/>
              <w:right w:val="nil"/>
            </w:tcBorders>
            <w:shd w:val="clear" w:color="000000" w:fill="FFFFFF"/>
            <w:vAlign w:val="center"/>
          </w:tcPr>
          <w:p>
            <w:pPr>
              <w:widowControl/>
              <w:ind w:firstLine="880" w:firstLineChars="200"/>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2017年度部门收入决算总表(分单位)</w:t>
            </w:r>
          </w:p>
          <w:p>
            <w:pPr>
              <w:widowControl/>
              <w:ind w:firstLine="880" w:firstLineChars="200"/>
              <w:rPr>
                <w:rFonts w:ascii="黑体" w:hAnsi="黑体" w:eastAsia="黑体" w:cs="Arial"/>
                <w:color w:val="000000"/>
                <w:kern w:val="0"/>
                <w:sz w:val="44"/>
                <w:szCs w:val="44"/>
              </w:rPr>
            </w:pPr>
            <w:r>
              <w:rPr>
                <w:rFonts w:hint="eastAsia" w:ascii="黑体" w:hAnsi="黑体" w:eastAsia="黑体" w:cs="Arial"/>
                <w:color w:val="000000"/>
                <w:kern w:val="0"/>
                <w:sz w:val="44"/>
                <w:szCs w:val="44"/>
              </w:rPr>
              <w:t xml:space="preserve">                                 </w:t>
            </w:r>
            <w:r>
              <w:rPr>
                <w:rFonts w:hint="eastAsia" w:ascii="宋体" w:hAnsi="宋体" w:eastAsia="宋体" w:cs="Arial"/>
                <w:color w:val="000000"/>
                <w:kern w:val="0"/>
                <w:sz w:val="22"/>
              </w:rPr>
              <w:t>公开02-1表</w:t>
            </w:r>
          </w:p>
          <w:p>
            <w:pPr>
              <w:widowControl/>
              <w:ind w:left="-659" w:leftChars="-314" w:firstLine="660" w:firstLineChars="300"/>
              <w:rPr>
                <w:rFonts w:ascii="黑体" w:hAnsi="黑体" w:eastAsia="黑体" w:cs="Arial"/>
                <w:color w:val="000000"/>
                <w:kern w:val="0"/>
                <w:sz w:val="44"/>
                <w:szCs w:val="44"/>
              </w:rPr>
            </w:pPr>
            <w:r>
              <w:rPr>
                <w:rFonts w:hint="eastAsia" w:ascii="宋体" w:hAnsi="宋体" w:eastAsia="宋体" w:cs="Arial"/>
                <w:color w:val="000000"/>
                <w:kern w:val="0"/>
                <w:sz w:val="22"/>
              </w:rPr>
              <w:t>编制单位：温州市洞头区人民政府灵昆街道办事处                            金额单位：万元</w:t>
            </w:r>
          </w:p>
        </w:tc>
      </w:tr>
      <w:tr>
        <w:trPr>
          <w:gridAfter w:val="16"/>
          <w:wAfter w:w="9944" w:type="dxa"/>
          <w:trHeight w:val="570" w:hRule="atLeast"/>
        </w:trPr>
        <w:tc>
          <w:tcPr>
            <w:tcW w:w="1325" w:type="dxa"/>
            <w:gridSpan w:val="11"/>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单位名称</w:t>
            </w:r>
          </w:p>
        </w:tc>
        <w:tc>
          <w:tcPr>
            <w:tcW w:w="873" w:type="dxa"/>
            <w:gridSpan w:val="4"/>
            <w:vMerge w:val="restart"/>
            <w:tcBorders>
              <w:top w:val="single" w:color="000000" w:sz="4" w:space="0"/>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总计</w:t>
            </w:r>
          </w:p>
        </w:tc>
        <w:tc>
          <w:tcPr>
            <w:tcW w:w="1040" w:type="dxa"/>
            <w:gridSpan w:val="3"/>
            <w:vMerge w:val="restart"/>
            <w:tcBorders>
              <w:top w:val="single" w:color="000000" w:sz="4" w:space="0"/>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上年结转</w:t>
            </w:r>
          </w:p>
        </w:tc>
        <w:tc>
          <w:tcPr>
            <w:tcW w:w="2737" w:type="dxa"/>
            <w:gridSpan w:val="14"/>
            <w:tcBorders>
              <w:top w:val="single" w:color="000000" w:sz="4" w:space="0"/>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财政拨款</w:t>
            </w:r>
          </w:p>
        </w:tc>
        <w:tc>
          <w:tcPr>
            <w:tcW w:w="758" w:type="dxa"/>
            <w:gridSpan w:val="4"/>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事业收入</w:t>
            </w:r>
          </w:p>
        </w:tc>
        <w:tc>
          <w:tcPr>
            <w:tcW w:w="842" w:type="dxa"/>
            <w:gridSpan w:val="5"/>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经营收入</w:t>
            </w:r>
          </w:p>
        </w:tc>
        <w:tc>
          <w:tcPr>
            <w:tcW w:w="816" w:type="dxa"/>
            <w:gridSpan w:val="3"/>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其他收入</w:t>
            </w:r>
          </w:p>
        </w:tc>
        <w:tc>
          <w:tcPr>
            <w:tcW w:w="750" w:type="dxa"/>
            <w:gridSpan w:val="3"/>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上级补助收入</w:t>
            </w:r>
          </w:p>
        </w:tc>
        <w:tc>
          <w:tcPr>
            <w:tcW w:w="616" w:type="dxa"/>
            <w:gridSpan w:val="5"/>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附属单位上缴收入</w:t>
            </w:r>
          </w:p>
        </w:tc>
        <w:tc>
          <w:tcPr>
            <w:tcW w:w="1086" w:type="dxa"/>
            <w:gridSpan w:val="8"/>
            <w:vMerge w:val="restart"/>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用事业基金弥补收支差额</w:t>
            </w:r>
          </w:p>
        </w:tc>
      </w:tr>
      <w:tr>
        <w:trPr>
          <w:gridAfter w:val="16"/>
          <w:wAfter w:w="9944" w:type="dxa"/>
          <w:trHeight w:val="840" w:hRule="atLeast"/>
        </w:trPr>
        <w:tc>
          <w:tcPr>
            <w:tcW w:w="1325" w:type="dxa"/>
            <w:gridSpan w:val="11"/>
            <w:vMerge w:val="continue"/>
            <w:tcBorders>
              <w:top w:val="nil"/>
              <w:left w:val="single" w:color="000000" w:sz="4" w:space="0"/>
              <w:bottom w:val="single" w:color="000000" w:sz="4" w:space="0"/>
              <w:right w:val="single" w:color="000000" w:sz="4" w:space="0"/>
            </w:tcBorders>
            <w:shd w:val="clear" w:color="auto" w:fill="auto"/>
            <w:vAlign w:val="center"/>
          </w:tcPr>
          <w:p>
            <w:pPr>
              <w:widowControl/>
              <w:ind w:left="-659" w:leftChars="-314" w:firstLine="528" w:firstLineChars="330"/>
              <w:jc w:val="left"/>
              <w:rPr>
                <w:rFonts w:ascii="宋体" w:hAnsi="宋体" w:eastAsia="宋体" w:cs="Arial"/>
                <w:kern w:val="0"/>
                <w:sz w:val="16"/>
                <w:szCs w:val="16"/>
              </w:rPr>
            </w:pPr>
          </w:p>
        </w:tc>
        <w:tc>
          <w:tcPr>
            <w:tcW w:w="873" w:type="dxa"/>
            <w:gridSpan w:val="4"/>
            <w:vMerge w:val="continue"/>
            <w:tcBorders>
              <w:top w:val="nil"/>
              <w:left w:val="nil"/>
              <w:bottom w:val="single" w:color="000000" w:sz="4" w:space="0"/>
              <w:right w:val="single" w:color="000000" w:sz="4" w:space="0"/>
            </w:tcBorders>
            <w:shd w:val="clear" w:color="auto" w:fill="auto"/>
            <w:vAlign w:val="center"/>
          </w:tcPr>
          <w:p>
            <w:pPr>
              <w:widowControl/>
              <w:ind w:left="-659" w:leftChars="-314" w:firstLine="528" w:firstLineChars="330"/>
              <w:jc w:val="left"/>
              <w:rPr>
                <w:rFonts w:ascii="宋体" w:hAnsi="宋体" w:eastAsia="宋体" w:cs="Arial"/>
                <w:kern w:val="0"/>
                <w:sz w:val="16"/>
                <w:szCs w:val="16"/>
              </w:rPr>
            </w:pPr>
          </w:p>
        </w:tc>
        <w:tc>
          <w:tcPr>
            <w:tcW w:w="1040" w:type="dxa"/>
            <w:gridSpan w:val="3"/>
            <w:vMerge w:val="continue"/>
            <w:tcBorders>
              <w:top w:val="nil"/>
              <w:left w:val="nil"/>
              <w:bottom w:val="single" w:color="000000" w:sz="4" w:space="0"/>
              <w:right w:val="single" w:color="000000" w:sz="4" w:space="0"/>
            </w:tcBorders>
            <w:shd w:val="clear" w:color="auto" w:fill="auto"/>
            <w:vAlign w:val="center"/>
          </w:tcPr>
          <w:p>
            <w:pPr>
              <w:widowControl/>
              <w:ind w:left="-659" w:leftChars="-314" w:firstLine="528" w:firstLineChars="330"/>
              <w:jc w:val="left"/>
              <w:rPr>
                <w:rFonts w:ascii="宋体" w:hAnsi="宋体" w:eastAsia="宋体" w:cs="Arial"/>
                <w:kern w:val="0"/>
                <w:sz w:val="16"/>
                <w:szCs w:val="16"/>
              </w:rPr>
            </w:pPr>
          </w:p>
        </w:tc>
        <w:tc>
          <w:tcPr>
            <w:tcW w:w="847" w:type="dxa"/>
            <w:gridSpan w:val="4"/>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合计</w:t>
            </w:r>
          </w:p>
        </w:tc>
        <w:tc>
          <w:tcPr>
            <w:tcW w:w="952" w:type="dxa"/>
            <w:gridSpan w:val="5"/>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一般公共 预算</w:t>
            </w:r>
          </w:p>
        </w:tc>
        <w:tc>
          <w:tcPr>
            <w:tcW w:w="938" w:type="dxa"/>
            <w:gridSpan w:val="5"/>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政府性基金</w:t>
            </w:r>
          </w:p>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预算</w:t>
            </w:r>
          </w:p>
        </w:tc>
        <w:tc>
          <w:tcPr>
            <w:tcW w:w="758"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842"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816"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75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616"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86" w:type="dxa"/>
            <w:gridSpan w:val="8"/>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r>
      <w:tr>
        <w:trPr>
          <w:gridAfter w:val="16"/>
          <w:wAfter w:w="9944" w:type="dxa"/>
          <w:trHeight w:val="570" w:hRule="atLeast"/>
        </w:trPr>
        <w:tc>
          <w:tcPr>
            <w:tcW w:w="1325" w:type="dxa"/>
            <w:gridSpan w:val="11"/>
            <w:tcBorders>
              <w:top w:val="nil"/>
              <w:left w:val="single" w:color="000000" w:sz="4" w:space="0"/>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栏  次</w:t>
            </w:r>
          </w:p>
        </w:tc>
        <w:tc>
          <w:tcPr>
            <w:tcW w:w="873" w:type="dxa"/>
            <w:gridSpan w:val="4"/>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1</w:t>
            </w:r>
          </w:p>
        </w:tc>
        <w:tc>
          <w:tcPr>
            <w:tcW w:w="1040" w:type="dxa"/>
            <w:gridSpan w:val="3"/>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2</w:t>
            </w:r>
          </w:p>
        </w:tc>
        <w:tc>
          <w:tcPr>
            <w:tcW w:w="847" w:type="dxa"/>
            <w:gridSpan w:val="4"/>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3</w:t>
            </w:r>
          </w:p>
        </w:tc>
        <w:tc>
          <w:tcPr>
            <w:tcW w:w="952" w:type="dxa"/>
            <w:gridSpan w:val="5"/>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4</w:t>
            </w:r>
          </w:p>
        </w:tc>
        <w:tc>
          <w:tcPr>
            <w:tcW w:w="938" w:type="dxa"/>
            <w:gridSpan w:val="5"/>
            <w:tcBorders>
              <w:top w:val="nil"/>
              <w:left w:val="nil"/>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5</w:t>
            </w:r>
          </w:p>
        </w:tc>
        <w:tc>
          <w:tcPr>
            <w:tcW w:w="758"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6</w:t>
            </w:r>
          </w:p>
        </w:tc>
        <w:tc>
          <w:tcPr>
            <w:tcW w:w="842"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w:t>
            </w:r>
          </w:p>
        </w:tc>
        <w:tc>
          <w:tcPr>
            <w:tcW w:w="816"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w:t>
            </w:r>
          </w:p>
        </w:tc>
        <w:tc>
          <w:tcPr>
            <w:tcW w:w="750"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9</w:t>
            </w:r>
          </w:p>
        </w:tc>
        <w:tc>
          <w:tcPr>
            <w:tcW w:w="616"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10</w:t>
            </w:r>
          </w:p>
        </w:tc>
        <w:tc>
          <w:tcPr>
            <w:tcW w:w="1086" w:type="dxa"/>
            <w:gridSpan w:val="8"/>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11</w:t>
            </w:r>
          </w:p>
        </w:tc>
      </w:tr>
      <w:tr>
        <w:trPr>
          <w:gridAfter w:val="16"/>
          <w:wAfter w:w="9944" w:type="dxa"/>
          <w:trHeight w:val="683" w:hRule="atLeast"/>
        </w:trPr>
        <w:tc>
          <w:tcPr>
            <w:tcW w:w="1325" w:type="dxa"/>
            <w:gridSpan w:val="11"/>
            <w:tcBorders>
              <w:top w:val="nil"/>
              <w:left w:val="single" w:color="000000" w:sz="4" w:space="0"/>
              <w:bottom w:val="single" w:color="000000" w:sz="4"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合  计</w:t>
            </w:r>
          </w:p>
        </w:tc>
        <w:tc>
          <w:tcPr>
            <w:tcW w:w="873" w:type="dxa"/>
            <w:gridSpan w:val="4"/>
            <w:tcBorders>
              <w:top w:val="nil"/>
              <w:left w:val="nil"/>
              <w:bottom w:val="single" w:color="000000" w:sz="4"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15,396.55</w:t>
            </w:r>
          </w:p>
        </w:tc>
        <w:tc>
          <w:tcPr>
            <w:tcW w:w="1040" w:type="dxa"/>
            <w:gridSpan w:val="3"/>
            <w:tcBorders>
              <w:top w:val="nil"/>
              <w:left w:val="nil"/>
              <w:bottom w:val="single" w:color="000000" w:sz="4"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2,658.78</w:t>
            </w:r>
          </w:p>
        </w:tc>
        <w:tc>
          <w:tcPr>
            <w:tcW w:w="847" w:type="dxa"/>
            <w:gridSpan w:val="4"/>
            <w:tcBorders>
              <w:top w:val="nil"/>
              <w:left w:val="nil"/>
              <w:bottom w:val="single" w:color="000000" w:sz="4"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8,990.33</w:t>
            </w:r>
          </w:p>
        </w:tc>
        <w:tc>
          <w:tcPr>
            <w:tcW w:w="952" w:type="dxa"/>
            <w:gridSpan w:val="5"/>
            <w:tcBorders>
              <w:top w:val="nil"/>
              <w:left w:val="nil"/>
              <w:bottom w:val="single" w:color="000000" w:sz="4"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4,490.33</w:t>
            </w:r>
          </w:p>
        </w:tc>
        <w:tc>
          <w:tcPr>
            <w:tcW w:w="938" w:type="dxa"/>
            <w:gridSpan w:val="5"/>
            <w:tcBorders>
              <w:top w:val="nil"/>
              <w:left w:val="nil"/>
              <w:bottom w:val="single" w:color="000000" w:sz="4"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4,500.00</w:t>
            </w:r>
          </w:p>
        </w:tc>
        <w:tc>
          <w:tcPr>
            <w:tcW w:w="758"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84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816"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3,747.44</w:t>
            </w:r>
          </w:p>
        </w:tc>
        <w:tc>
          <w:tcPr>
            <w:tcW w:w="75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616"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1086" w:type="dxa"/>
            <w:gridSpan w:val="8"/>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　</w:t>
            </w:r>
          </w:p>
        </w:tc>
      </w:tr>
      <w:tr>
        <w:trPr>
          <w:gridAfter w:val="16"/>
          <w:wAfter w:w="9944" w:type="dxa"/>
          <w:trHeight w:val="822" w:hRule="atLeast"/>
        </w:trPr>
        <w:tc>
          <w:tcPr>
            <w:tcW w:w="1325" w:type="dxa"/>
            <w:gridSpan w:val="11"/>
            <w:tcBorders>
              <w:top w:val="nil"/>
              <w:left w:val="single" w:color="000000" w:sz="4" w:space="0"/>
              <w:bottom w:val="single" w:color="000000" w:sz="12" w:space="0"/>
              <w:right w:val="single" w:color="000000" w:sz="4" w:space="0"/>
            </w:tcBorders>
            <w:shd w:val="clear" w:color="000000" w:fill="FFFFFF"/>
            <w:vAlign w:val="center"/>
          </w:tcPr>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温州市洞头</w:t>
            </w:r>
          </w:p>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区人民政府</w:t>
            </w:r>
          </w:p>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灵昆街道办</w:t>
            </w:r>
          </w:p>
          <w:p>
            <w:pPr>
              <w:widowControl/>
              <w:ind w:left="-659" w:leftChars="-314" w:firstLine="528" w:firstLineChars="330"/>
              <w:jc w:val="center"/>
              <w:rPr>
                <w:rFonts w:ascii="宋体" w:hAnsi="宋体" w:eastAsia="宋体" w:cs="Arial"/>
                <w:kern w:val="0"/>
                <w:sz w:val="16"/>
                <w:szCs w:val="16"/>
              </w:rPr>
            </w:pPr>
            <w:r>
              <w:rPr>
                <w:rFonts w:hint="eastAsia" w:ascii="宋体" w:hAnsi="宋体" w:eastAsia="宋体" w:cs="Arial"/>
                <w:kern w:val="0"/>
                <w:sz w:val="16"/>
                <w:szCs w:val="16"/>
              </w:rPr>
              <w:t>事处</w:t>
            </w:r>
          </w:p>
        </w:tc>
        <w:tc>
          <w:tcPr>
            <w:tcW w:w="873" w:type="dxa"/>
            <w:gridSpan w:val="4"/>
            <w:tcBorders>
              <w:top w:val="nil"/>
              <w:left w:val="nil"/>
              <w:bottom w:val="single" w:color="000000" w:sz="12"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15,396.55</w:t>
            </w:r>
          </w:p>
        </w:tc>
        <w:tc>
          <w:tcPr>
            <w:tcW w:w="1040" w:type="dxa"/>
            <w:gridSpan w:val="3"/>
            <w:tcBorders>
              <w:top w:val="nil"/>
              <w:left w:val="nil"/>
              <w:bottom w:val="single" w:color="000000" w:sz="12"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2,658.78</w:t>
            </w:r>
          </w:p>
        </w:tc>
        <w:tc>
          <w:tcPr>
            <w:tcW w:w="847" w:type="dxa"/>
            <w:gridSpan w:val="4"/>
            <w:tcBorders>
              <w:top w:val="nil"/>
              <w:left w:val="nil"/>
              <w:bottom w:val="single" w:color="000000" w:sz="12"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8,990.33</w:t>
            </w:r>
          </w:p>
        </w:tc>
        <w:tc>
          <w:tcPr>
            <w:tcW w:w="952" w:type="dxa"/>
            <w:gridSpan w:val="5"/>
            <w:tcBorders>
              <w:top w:val="nil"/>
              <w:left w:val="nil"/>
              <w:bottom w:val="single" w:color="000000" w:sz="12"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4,490.33</w:t>
            </w:r>
          </w:p>
        </w:tc>
        <w:tc>
          <w:tcPr>
            <w:tcW w:w="938" w:type="dxa"/>
            <w:gridSpan w:val="5"/>
            <w:tcBorders>
              <w:top w:val="nil"/>
              <w:left w:val="nil"/>
              <w:bottom w:val="single" w:color="000000" w:sz="12" w:space="0"/>
              <w:right w:val="single" w:color="000000" w:sz="4" w:space="0"/>
            </w:tcBorders>
            <w:shd w:val="clear" w:color="000000" w:fill="FFFFFF"/>
            <w:vAlign w:val="center"/>
          </w:tcPr>
          <w:p>
            <w:pPr>
              <w:widowControl/>
              <w:ind w:left="-659" w:leftChars="-314" w:firstLine="495" w:firstLineChars="330"/>
              <w:jc w:val="right"/>
              <w:rPr>
                <w:rFonts w:ascii="宋体" w:hAnsi="宋体" w:eastAsia="宋体" w:cs="Arial"/>
                <w:kern w:val="0"/>
                <w:sz w:val="15"/>
                <w:szCs w:val="15"/>
              </w:rPr>
            </w:pPr>
            <w:r>
              <w:rPr>
                <w:rFonts w:hint="eastAsia" w:ascii="宋体" w:hAnsi="宋体" w:eastAsia="宋体" w:cs="Arial"/>
                <w:kern w:val="0"/>
                <w:sz w:val="15"/>
                <w:szCs w:val="15"/>
              </w:rPr>
              <w:t>4,500.00</w:t>
            </w:r>
          </w:p>
        </w:tc>
        <w:tc>
          <w:tcPr>
            <w:tcW w:w="758" w:type="dxa"/>
            <w:gridSpan w:val="4"/>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842" w:type="dxa"/>
            <w:gridSpan w:val="5"/>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816" w:type="dxa"/>
            <w:gridSpan w:val="3"/>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3,747.44</w:t>
            </w:r>
          </w:p>
        </w:tc>
        <w:tc>
          <w:tcPr>
            <w:tcW w:w="750" w:type="dxa"/>
            <w:gridSpan w:val="3"/>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616" w:type="dxa"/>
            <w:gridSpan w:val="5"/>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5"/>
                <w:szCs w:val="15"/>
              </w:rPr>
            </w:pPr>
            <w:r>
              <w:rPr>
                <w:rFonts w:hint="eastAsia" w:ascii="宋体" w:hAnsi="宋体" w:eastAsia="宋体" w:cs="Arial"/>
                <w:kern w:val="0"/>
                <w:sz w:val="15"/>
                <w:szCs w:val="15"/>
              </w:rPr>
              <w:t>0.00　</w:t>
            </w:r>
          </w:p>
        </w:tc>
        <w:tc>
          <w:tcPr>
            <w:tcW w:w="1086" w:type="dxa"/>
            <w:gridSpan w:val="8"/>
            <w:tcBorders>
              <w:top w:val="nil"/>
              <w:left w:val="nil"/>
              <w:bottom w:val="single" w:color="000000" w:sz="12"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　</w:t>
            </w:r>
          </w:p>
        </w:tc>
      </w:tr>
      <w:tr>
        <w:trPr>
          <w:gridBefore w:val="3"/>
          <w:gridAfter w:val="2"/>
          <w:wBefore w:w="376" w:type="dxa"/>
          <w:wAfter w:w="3802" w:type="dxa"/>
          <w:trHeight w:val="555" w:hRule="atLeast"/>
        </w:trPr>
        <w:tc>
          <w:tcPr>
            <w:tcW w:w="14279" w:type="dxa"/>
            <w:gridSpan w:val="66"/>
            <w:tcBorders>
              <w:top w:val="nil"/>
              <w:left w:val="nil"/>
              <w:right w:val="nil"/>
            </w:tcBorders>
            <w:shd w:val="clear" w:color="000000" w:fill="FFFFFF"/>
            <w:vAlign w:val="center"/>
          </w:tcPr>
          <w:p>
            <w:pPr>
              <w:widowControl/>
              <w:jc w:val="left"/>
              <w:rPr>
                <w:rFonts w:ascii="宋体" w:hAnsi="宋体" w:eastAsia="宋体" w:cs="Arial"/>
                <w:kern w:val="0"/>
                <w:sz w:val="18"/>
                <w:szCs w:val="18"/>
              </w:rPr>
            </w:pPr>
          </w:p>
          <w:p>
            <w:pPr>
              <w:widowControl/>
              <w:ind w:firstLine="880" w:firstLineChars="200"/>
              <w:rPr>
                <w:rFonts w:ascii="黑体" w:hAnsi="黑体" w:eastAsia="黑体" w:cs="Arial"/>
                <w:color w:val="000000"/>
                <w:kern w:val="0"/>
                <w:sz w:val="44"/>
                <w:szCs w:val="44"/>
              </w:rPr>
            </w:pPr>
          </w:p>
          <w:p>
            <w:pPr>
              <w:widowControl/>
              <w:ind w:firstLine="880" w:firstLineChars="200"/>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2017年度部门收入决算总表(分科目）</w:t>
            </w:r>
          </w:p>
          <w:p>
            <w:pPr>
              <w:widowControl/>
              <w:jc w:val="center"/>
              <w:rPr>
                <w:rFonts w:ascii="黑体" w:hAnsi="黑体" w:eastAsia="黑体" w:cs="Arial"/>
                <w:color w:val="000000"/>
                <w:kern w:val="0"/>
                <w:sz w:val="44"/>
                <w:szCs w:val="44"/>
              </w:rPr>
            </w:pPr>
            <w:r>
              <w:rPr>
                <w:rFonts w:hint="eastAsia" w:ascii="宋体" w:hAnsi="宋体" w:eastAsia="宋体" w:cs="Arial"/>
                <w:color w:val="000000"/>
                <w:kern w:val="0"/>
                <w:sz w:val="22"/>
              </w:rPr>
              <w:t xml:space="preserve">                                    公开02_2表</w:t>
            </w:r>
          </w:p>
        </w:tc>
        <w:tc>
          <w:tcPr>
            <w:tcW w:w="760" w:type="dxa"/>
            <w:gridSpan w:val="3"/>
            <w:tcBorders>
              <w:top w:val="nil"/>
              <w:left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0" w:type="dxa"/>
            <w:gridSpan w:val="2"/>
            <w:tcBorders>
              <w:top w:val="nil"/>
              <w:left w:val="nil"/>
              <w:right w:val="single" w:color="808080" w:sz="4" w:space="0"/>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rPr>
          <w:gridBefore w:val="3"/>
          <w:gridAfter w:val="2"/>
          <w:wBefore w:w="376" w:type="dxa"/>
          <w:wAfter w:w="3802" w:type="dxa"/>
          <w:trHeight w:val="300" w:hRule="atLeast"/>
        </w:trPr>
        <w:tc>
          <w:tcPr>
            <w:tcW w:w="16609" w:type="dxa"/>
            <w:gridSpan w:val="71"/>
            <w:tcBorders>
              <w:top w:val="nil"/>
              <w:left w:val="nil"/>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编制单位：温州市洞头区人民政府灵昆街道办事处                    </w:t>
            </w:r>
            <w:r>
              <w:rPr>
                <w:rFonts w:hint="eastAsia" w:ascii="宋体" w:hAnsi="宋体" w:eastAsia="宋体" w:cs="Arial"/>
                <w:color w:val="000000"/>
                <w:kern w:val="0"/>
                <w:sz w:val="24"/>
              </w:rPr>
              <w:t xml:space="preserve"> </w:t>
            </w:r>
            <w:r>
              <w:rPr>
                <w:rFonts w:hint="eastAsia" w:ascii="宋体" w:hAnsi="宋体" w:eastAsia="宋体" w:cs="Arial"/>
                <w:color w:val="000000"/>
                <w:kern w:val="0"/>
                <w:sz w:val="22"/>
              </w:rPr>
              <w:t xml:space="preserve">            金额单位：万元    </w:t>
            </w:r>
          </w:p>
        </w:tc>
      </w:tr>
      <w:tr>
        <w:trPr>
          <w:gridAfter w:val="19"/>
          <w:wAfter w:w="10056" w:type="dxa"/>
          <w:trHeight w:val="300" w:hRule="atLeast"/>
        </w:trPr>
        <w:tc>
          <w:tcPr>
            <w:tcW w:w="1128" w:type="dxa"/>
            <w:gridSpan w:val="9"/>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科目编码</w:t>
            </w:r>
          </w:p>
        </w:tc>
        <w:tc>
          <w:tcPr>
            <w:tcW w:w="1420" w:type="dxa"/>
            <w:gridSpan w:val="7"/>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科目名称</w:t>
            </w:r>
          </w:p>
        </w:tc>
        <w:tc>
          <w:tcPr>
            <w:tcW w:w="937"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总   计</w:t>
            </w:r>
          </w:p>
        </w:tc>
        <w:tc>
          <w:tcPr>
            <w:tcW w:w="861" w:type="dxa"/>
            <w:gridSpan w:val="3"/>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上年结转</w:t>
            </w:r>
          </w:p>
        </w:tc>
        <w:tc>
          <w:tcPr>
            <w:tcW w:w="2585" w:type="dxa"/>
            <w:gridSpan w:val="14"/>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财政拨款</w:t>
            </w:r>
          </w:p>
        </w:tc>
        <w:tc>
          <w:tcPr>
            <w:tcW w:w="644"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事业收入</w:t>
            </w:r>
          </w:p>
        </w:tc>
        <w:tc>
          <w:tcPr>
            <w:tcW w:w="58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经营收入</w:t>
            </w:r>
          </w:p>
        </w:tc>
        <w:tc>
          <w:tcPr>
            <w:tcW w:w="861"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其他收入</w:t>
            </w:r>
          </w:p>
        </w:tc>
        <w:tc>
          <w:tcPr>
            <w:tcW w:w="629"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上级补助收入</w:t>
            </w:r>
          </w:p>
        </w:tc>
        <w:tc>
          <w:tcPr>
            <w:tcW w:w="549"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附属单位上缴收入</w:t>
            </w:r>
          </w:p>
        </w:tc>
        <w:tc>
          <w:tcPr>
            <w:tcW w:w="537" w:type="dxa"/>
            <w:gridSpan w:val="3"/>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用事业基金弥补收支差额</w:t>
            </w:r>
          </w:p>
        </w:tc>
      </w:tr>
      <w:tr>
        <w:trPr>
          <w:gridAfter w:val="19"/>
          <w:wAfter w:w="10056" w:type="dxa"/>
          <w:trHeight w:val="300" w:hRule="atLeast"/>
        </w:trPr>
        <w:tc>
          <w:tcPr>
            <w:tcW w:w="112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1420" w:type="dxa"/>
            <w:gridSpan w:val="7"/>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937" w:type="dxa"/>
            <w:gridSpan w:val="4"/>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861"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合计</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一般公共预算</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政府性基金预算</w:t>
            </w:r>
          </w:p>
        </w:tc>
        <w:tc>
          <w:tcPr>
            <w:tcW w:w="644"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5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861"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629"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549"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53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r>
      <w:tr>
        <w:trPr>
          <w:gridAfter w:val="19"/>
          <w:wAfter w:w="10056" w:type="dxa"/>
          <w:trHeight w:val="291" w:hRule="atLeast"/>
        </w:trPr>
        <w:tc>
          <w:tcPr>
            <w:tcW w:w="376" w:type="dxa"/>
            <w:gridSpan w:val="3"/>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类</w:t>
            </w:r>
          </w:p>
        </w:tc>
        <w:tc>
          <w:tcPr>
            <w:tcW w:w="376" w:type="dxa"/>
            <w:gridSpan w:val="3"/>
            <w:vMerge w:val="restar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款</w:t>
            </w:r>
          </w:p>
        </w:tc>
        <w:tc>
          <w:tcPr>
            <w:tcW w:w="376" w:type="dxa"/>
            <w:gridSpan w:val="3"/>
            <w:vMerge w:val="restar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项</w:t>
            </w:r>
          </w:p>
        </w:tc>
        <w:tc>
          <w:tcPr>
            <w:tcW w:w="1420" w:type="dxa"/>
            <w:gridSpan w:val="7"/>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2</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3</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4</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5</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w:t>
            </w:r>
          </w:p>
        </w:tc>
        <w:tc>
          <w:tcPr>
            <w:tcW w:w="5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7</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8</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9</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11</w:t>
            </w:r>
          </w:p>
        </w:tc>
      </w:tr>
      <w:tr>
        <w:trPr>
          <w:gridAfter w:val="19"/>
          <w:wAfter w:w="10056" w:type="dxa"/>
          <w:trHeight w:val="389" w:hRule="atLeast"/>
        </w:trPr>
        <w:tc>
          <w:tcPr>
            <w:tcW w:w="37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376"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376"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6"/>
                <w:szCs w:val="16"/>
              </w:rPr>
            </w:pP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合计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15,396.55</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2,658.78</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8,990.33</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4,490.33</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4,500.00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3,747.44</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一般公共服务支出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6,128.22</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2,658.78</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548.00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548.00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2,921.44</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20103</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政府办公厅（室）及相关机构事务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6,128.22</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2,658.78</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548.00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548.00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2,921.44</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2010301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6,128.22</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2,658.78</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548.00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548.00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2,921.44</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205</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教育支出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20501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教育管理事务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131.26</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515"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2050102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一般行政管理事务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131.26</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131.26</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131.26</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207</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文化体育与传媒支出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47"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20701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文化</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5"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2070101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152"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社会保障和就业支出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人力资源和社会保障管理事务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141.00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141.00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141.00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2080101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81.00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81.00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81.00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2080102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一般行政管理事务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60.00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60.00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60.00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20805</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行政事业单位离退休</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59.00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59.00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59.00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2080501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归口管理的行政单位离退休</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59.00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59.00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59.00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20808</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抚恤</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22.00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22.00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2080803</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在乡复员、退伍军人生活补助</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22.00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22.00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20819</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最低生活保障</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46.00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46.00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46.00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2081901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城市最低生活保障金支出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46.00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46.00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46.00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20825</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其他生活救助</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32.00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32.00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2082502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其他农村生活救助</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32.00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32.00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210</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医疗卫生与计划生育支出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89.50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89.50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21003</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基层医疗卫生机构</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39.50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39.50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2100302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乡镇卫生院</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39.50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39.50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21011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行政事业单位医疗</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50.00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2101101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行政单位医疗★</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节能环保支出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21101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环境保护管理事务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2110102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一般行政管理事务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城乡社区支出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7,079.50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6,253.50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1,753.50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4,500.00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826.00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21201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城乡社区管理事务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605.00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605.00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605.00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　</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2120101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120.00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120.00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120.00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2120102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一般行政管理事务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485.00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485.00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485.00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919"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21208</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国有土地使用权出让收入及对应专项债务收入安排的支出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4,500.00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4,500.00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　</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4,500.00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2120801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征地和拆迁补偿支出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2,000.00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2,000.00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2,000.00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2120802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土地开发支出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2120804</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农村基础设施建设支出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1,000.00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682"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2120899</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其他国有土地使用权出让收入安排的支出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　</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500.00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21299</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其他城乡社区支出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1,974.50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1,148.50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1,148.50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826.00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2129999</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其他城乡社区支出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1,974.50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1,148.50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1,148.50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826.00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213</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农林水支出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206.63</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206.63</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206.63</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21301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农业</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146.63</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146.63</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146.63</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2130101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2130102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一般行政管理事务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99.33</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99.33</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99.33</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2130199</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其他农业支出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7.30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7.30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7.30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21302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林业</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2130201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19"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21303</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水利</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30.00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46"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2130301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30.00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432"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214</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交通运输支出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585"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21404</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成品油价格改革对交通运输的补贴</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11.44</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0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2140402</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对农村道路客运的补贴</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11.44</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11.44</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11.44</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487"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215</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资源勘探信息等支出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900.00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900.00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900.00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61"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21506</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安全生产监管</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100.00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483"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2150601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行政运行</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58.00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58.00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58.00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514"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2150699</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其他安全生产监管支出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42.00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42.00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42.00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570"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21599</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其他资源勘探电力信息等支出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800.00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529"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2159999</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其他资源勘探信息等支出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800.00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417"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229</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其他支出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444"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22999</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bCs/>
                <w:kern w:val="0"/>
                <w:sz w:val="16"/>
                <w:szCs w:val="16"/>
              </w:rPr>
            </w:pPr>
            <w:r>
              <w:rPr>
                <w:rFonts w:hint="eastAsia" w:ascii="宋体" w:hAnsi="宋体" w:cs="Arial"/>
                <w:bCs/>
                <w:kern w:val="0"/>
                <w:sz w:val="16"/>
                <w:szCs w:val="16"/>
              </w:rPr>
              <w:t>其他支出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400.00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9"/>
          <w:wAfter w:w="10056" w:type="dxa"/>
          <w:trHeight w:val="389" w:hRule="atLeast"/>
        </w:trPr>
        <w:tc>
          <w:tcPr>
            <w:tcW w:w="1128" w:type="dxa"/>
            <w:gridSpan w:val="9"/>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2299901</w:t>
            </w:r>
          </w:p>
        </w:tc>
        <w:tc>
          <w:tcPr>
            <w:tcW w:w="1420" w:type="dxa"/>
            <w:gridSpan w:val="7"/>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xml:space="preserve">  其他支出</w:t>
            </w:r>
          </w:p>
        </w:tc>
        <w:tc>
          <w:tcPr>
            <w:tcW w:w="937"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400.00</w:t>
            </w:r>
          </w:p>
        </w:tc>
        <w:tc>
          <w:tcPr>
            <w:tcW w:w="861"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Cs/>
                <w:kern w:val="0"/>
                <w:sz w:val="16"/>
                <w:szCs w:val="16"/>
              </w:rPr>
            </w:pPr>
            <w:r>
              <w:rPr>
                <w:rFonts w:hint="eastAsia" w:ascii="宋体" w:hAnsi="宋体" w:cs="Arial"/>
                <w:bCs/>
                <w:kern w:val="0"/>
                <w:sz w:val="16"/>
                <w:szCs w:val="16"/>
              </w:rPr>
              <w:t>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400.00</w:t>
            </w:r>
          </w:p>
        </w:tc>
        <w:tc>
          <w:tcPr>
            <w:tcW w:w="862" w:type="dxa"/>
            <w:gridSpan w:val="5"/>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400.00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44"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861"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62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0.00</w:t>
            </w:r>
          </w:p>
        </w:tc>
        <w:tc>
          <w:tcPr>
            <w:tcW w:w="549" w:type="dxa"/>
            <w:gridSpan w:val="4"/>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537"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Before w:val="5"/>
          <w:gridAfter w:val="8"/>
          <w:wBefore w:w="492" w:type="dxa"/>
          <w:wAfter w:w="6237" w:type="dxa"/>
          <w:trHeight w:val="555" w:hRule="atLeast"/>
        </w:trPr>
        <w:tc>
          <w:tcPr>
            <w:tcW w:w="14058" w:type="dxa"/>
            <w:gridSpan w:val="63"/>
            <w:tcBorders>
              <w:top w:val="nil"/>
              <w:left w:val="nil"/>
              <w:right w:val="single" w:color="808080" w:sz="4" w:space="0"/>
            </w:tcBorders>
            <w:vAlign w:val="center"/>
          </w:tcPr>
          <w:p>
            <w:pPr>
              <w:widowControl/>
              <w:ind w:firstLine="880" w:firstLineChars="200"/>
              <w:jc w:val="left"/>
              <w:rPr>
                <w:rFonts w:ascii="黑体" w:hAnsi="黑体" w:eastAsia="黑体" w:cs="Arial"/>
                <w:color w:val="000000"/>
                <w:kern w:val="0"/>
                <w:sz w:val="44"/>
                <w:szCs w:val="44"/>
              </w:rPr>
            </w:pPr>
          </w:p>
          <w:p>
            <w:pPr>
              <w:widowControl/>
              <w:ind w:firstLine="880" w:firstLineChars="200"/>
              <w:jc w:val="left"/>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2017年度部门支出决算总表(分单位)</w:t>
            </w:r>
          </w:p>
          <w:p>
            <w:pPr>
              <w:widowControl/>
              <w:jc w:val="left"/>
              <w:rPr>
                <w:rFonts w:ascii="宋体" w:hAnsi="宋体" w:eastAsia="宋体" w:cs="Arial"/>
                <w:kern w:val="0"/>
                <w:sz w:val="22"/>
              </w:rPr>
            </w:pPr>
            <w:r>
              <w:rPr>
                <w:rFonts w:hint="eastAsia" w:ascii="宋体" w:hAnsi="宋体" w:eastAsia="宋体" w:cs="Arial"/>
                <w:kern w:val="0"/>
                <w:sz w:val="18"/>
                <w:szCs w:val="18"/>
              </w:rPr>
              <w:t xml:space="preserve">                                                                               </w:t>
            </w:r>
            <w:r>
              <w:rPr>
                <w:rFonts w:hint="eastAsia" w:ascii="宋体" w:hAnsi="宋体" w:eastAsia="宋体" w:cs="Arial"/>
                <w:kern w:val="0"/>
                <w:sz w:val="22"/>
              </w:rPr>
              <w:t xml:space="preserve">      公开03-1表</w:t>
            </w:r>
          </w:p>
        </w:tc>
      </w:tr>
      <w:tr>
        <w:trPr>
          <w:gridBefore w:val="2"/>
          <w:gridAfter w:val="10"/>
          <w:wBefore w:w="47" w:type="dxa"/>
          <w:wAfter w:w="6975" w:type="dxa"/>
          <w:trHeight w:val="301" w:hRule="atLeast"/>
        </w:trPr>
        <w:tc>
          <w:tcPr>
            <w:tcW w:w="13765" w:type="dxa"/>
            <w:gridSpan w:val="64"/>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                              金额单位：万元</w:t>
            </w:r>
          </w:p>
          <w:p>
            <w:pPr>
              <w:jc w:val="right"/>
              <w:rPr>
                <w:rFonts w:ascii="宋体" w:hAnsi="宋体" w:eastAsia="宋体" w:cs="Arial"/>
                <w:color w:val="000000"/>
                <w:kern w:val="0"/>
                <w:sz w:val="22"/>
              </w:rPr>
            </w:pPr>
            <w:r>
              <w:rPr>
                <w:rFonts w:hint="eastAsia" w:ascii="宋体" w:hAnsi="宋体" w:eastAsia="宋体" w:cs="Arial"/>
                <w:color w:val="000000"/>
                <w:kern w:val="0"/>
                <w:sz w:val="22"/>
              </w:rPr>
              <w:t>_1表</w:t>
            </w:r>
          </w:p>
        </w:tc>
      </w:tr>
      <w:tr>
        <w:trPr>
          <w:gridBefore w:val="1"/>
          <w:gridAfter w:val="18"/>
          <w:wBefore w:w="14" w:type="dxa"/>
          <w:wAfter w:w="10045" w:type="dxa"/>
          <w:trHeight w:val="515" w:hRule="atLeast"/>
        </w:trPr>
        <w:tc>
          <w:tcPr>
            <w:tcW w:w="1988" w:type="dxa"/>
            <w:gridSpan w:val="1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单位名称</w:t>
            </w:r>
          </w:p>
        </w:tc>
        <w:tc>
          <w:tcPr>
            <w:tcW w:w="1236"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总计</w:t>
            </w:r>
          </w:p>
        </w:tc>
        <w:tc>
          <w:tcPr>
            <w:tcW w:w="2597"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545"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341"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事业单位经营支出</w:t>
            </w:r>
          </w:p>
        </w:tc>
        <w:tc>
          <w:tcPr>
            <w:tcW w:w="1247"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对附属单位补助支出</w:t>
            </w:r>
          </w:p>
        </w:tc>
        <w:tc>
          <w:tcPr>
            <w:tcW w:w="774"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上缴上级支出</w:t>
            </w:r>
          </w:p>
        </w:tc>
      </w:tr>
      <w:tr>
        <w:trPr>
          <w:gridBefore w:val="1"/>
          <w:gridAfter w:val="18"/>
          <w:wBefore w:w="14" w:type="dxa"/>
          <w:wAfter w:w="10045" w:type="dxa"/>
          <w:trHeight w:val="361" w:hRule="atLeast"/>
        </w:trPr>
        <w:tc>
          <w:tcPr>
            <w:tcW w:w="1988" w:type="dxa"/>
            <w:gridSpan w:val="1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36"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79"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人员支出</w:t>
            </w:r>
          </w:p>
        </w:tc>
        <w:tc>
          <w:tcPr>
            <w:tcW w:w="1218"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日常公用支出</w:t>
            </w:r>
          </w:p>
        </w:tc>
        <w:tc>
          <w:tcPr>
            <w:tcW w:w="1545" w:type="dxa"/>
            <w:gridSpan w:val="8"/>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41"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47" w:type="dxa"/>
            <w:gridSpan w:val="8"/>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74" w:type="dxa"/>
            <w:gridSpan w:val="5"/>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rPr>
          <w:gridBefore w:val="1"/>
          <w:gridAfter w:val="18"/>
          <w:wBefore w:w="14" w:type="dxa"/>
          <w:wAfter w:w="10045" w:type="dxa"/>
          <w:trHeight w:val="417" w:hRule="atLeast"/>
        </w:trPr>
        <w:tc>
          <w:tcPr>
            <w:tcW w:w="1988" w:type="dxa"/>
            <w:gridSpan w:val="12"/>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  次</w:t>
            </w:r>
          </w:p>
        </w:tc>
        <w:tc>
          <w:tcPr>
            <w:tcW w:w="1236"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379"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218"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545"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341"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247"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774"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r>
      <w:tr>
        <w:trPr>
          <w:gridBefore w:val="1"/>
          <w:gridAfter w:val="18"/>
          <w:wBefore w:w="14" w:type="dxa"/>
          <w:wAfter w:w="10045" w:type="dxa"/>
          <w:trHeight w:val="557" w:hRule="atLeast"/>
        </w:trPr>
        <w:tc>
          <w:tcPr>
            <w:tcW w:w="1988" w:type="dxa"/>
            <w:gridSpan w:val="12"/>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  计</w:t>
            </w:r>
          </w:p>
        </w:tc>
        <w:tc>
          <w:tcPr>
            <w:tcW w:w="123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10,165.06</w:t>
            </w:r>
          </w:p>
        </w:tc>
        <w:tc>
          <w:tcPr>
            <w:tcW w:w="1379"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1,242.02</w:t>
            </w:r>
          </w:p>
        </w:tc>
        <w:tc>
          <w:tcPr>
            <w:tcW w:w="1218"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122.71</w:t>
            </w:r>
          </w:p>
        </w:tc>
        <w:tc>
          <w:tcPr>
            <w:tcW w:w="154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8,800.33</w:t>
            </w:r>
          </w:p>
        </w:tc>
        <w:tc>
          <w:tcPr>
            <w:tcW w:w="1341"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247"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774"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rPr>
          <w:gridBefore w:val="1"/>
          <w:gridAfter w:val="18"/>
          <w:wBefore w:w="14" w:type="dxa"/>
          <w:wAfter w:w="10045" w:type="dxa"/>
          <w:trHeight w:val="362" w:hRule="atLeast"/>
        </w:trPr>
        <w:tc>
          <w:tcPr>
            <w:tcW w:w="1988" w:type="dxa"/>
            <w:gridSpan w:val="12"/>
            <w:tcBorders>
              <w:top w:val="nil"/>
              <w:left w:val="single" w:color="000000" w:sz="4" w:space="0"/>
              <w:bottom w:val="single" w:color="000000" w:sz="12"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温州市洞头区人民政府灵昆街道办事处</w:t>
            </w:r>
          </w:p>
        </w:tc>
        <w:tc>
          <w:tcPr>
            <w:tcW w:w="1236" w:type="dxa"/>
            <w:gridSpan w:val="5"/>
            <w:tcBorders>
              <w:top w:val="nil"/>
              <w:left w:val="nil"/>
              <w:bottom w:val="single" w:color="000000" w:sz="12"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10,165.06</w:t>
            </w:r>
          </w:p>
        </w:tc>
        <w:tc>
          <w:tcPr>
            <w:tcW w:w="1379" w:type="dxa"/>
            <w:gridSpan w:val="8"/>
            <w:tcBorders>
              <w:top w:val="nil"/>
              <w:left w:val="nil"/>
              <w:bottom w:val="single" w:color="000000" w:sz="12"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1,242.02</w:t>
            </w:r>
          </w:p>
        </w:tc>
        <w:tc>
          <w:tcPr>
            <w:tcW w:w="1218" w:type="dxa"/>
            <w:gridSpan w:val="5"/>
            <w:tcBorders>
              <w:top w:val="nil"/>
              <w:left w:val="nil"/>
              <w:bottom w:val="single" w:color="000000" w:sz="12"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122.71</w:t>
            </w:r>
          </w:p>
        </w:tc>
        <w:tc>
          <w:tcPr>
            <w:tcW w:w="1545" w:type="dxa"/>
            <w:gridSpan w:val="8"/>
            <w:tcBorders>
              <w:top w:val="nil"/>
              <w:left w:val="nil"/>
              <w:bottom w:val="single" w:color="000000" w:sz="12"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8,800.33</w:t>
            </w:r>
          </w:p>
        </w:tc>
        <w:tc>
          <w:tcPr>
            <w:tcW w:w="1341" w:type="dxa"/>
            <w:gridSpan w:val="6"/>
            <w:tcBorders>
              <w:top w:val="nil"/>
              <w:left w:val="nil"/>
              <w:bottom w:val="single" w:color="000000" w:sz="12"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247" w:type="dxa"/>
            <w:gridSpan w:val="8"/>
            <w:tcBorders>
              <w:top w:val="nil"/>
              <w:left w:val="nil"/>
              <w:bottom w:val="single" w:color="000000" w:sz="12"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774" w:type="dxa"/>
            <w:gridSpan w:val="5"/>
            <w:tcBorders>
              <w:top w:val="nil"/>
              <w:left w:val="nil"/>
              <w:bottom w:val="single" w:color="000000" w:sz="12"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r>
      <w:tr>
        <w:trPr>
          <w:gridBefore w:val="5"/>
          <w:gridAfter w:val="5"/>
          <w:wBefore w:w="492" w:type="dxa"/>
          <w:wAfter w:w="5405" w:type="dxa"/>
          <w:trHeight w:val="555" w:hRule="atLeast"/>
        </w:trPr>
        <w:tc>
          <w:tcPr>
            <w:tcW w:w="417" w:type="dxa"/>
            <w:gridSpan w:val="3"/>
            <w:tcBorders>
              <w:top w:val="nil"/>
              <w:left w:val="nil"/>
              <w:bottom w:val="nil"/>
              <w:right w:val="nil"/>
            </w:tcBorders>
            <w:vAlign w:val="center"/>
          </w:tcPr>
          <w:p>
            <w:pPr>
              <w:widowControl/>
              <w:jc w:val="left"/>
              <w:rPr>
                <w:rFonts w:ascii="宋体" w:hAnsi="宋体" w:eastAsia="宋体" w:cs="Arial"/>
                <w:kern w:val="0"/>
                <w:sz w:val="18"/>
                <w:szCs w:val="18"/>
              </w:rPr>
            </w:pPr>
          </w:p>
        </w:tc>
        <w:tc>
          <w:tcPr>
            <w:tcW w:w="416" w:type="dxa"/>
            <w:gridSpan w:val="3"/>
            <w:tcBorders>
              <w:top w:val="nil"/>
              <w:left w:val="nil"/>
              <w:bottom w:val="nil"/>
              <w:right w:val="nil"/>
            </w:tcBorders>
            <w:vAlign w:val="center"/>
          </w:tcPr>
          <w:p>
            <w:pPr>
              <w:widowControl/>
              <w:jc w:val="left"/>
              <w:rPr>
                <w:rFonts w:ascii="宋体" w:hAnsi="宋体" w:eastAsia="宋体" w:cs="Arial"/>
                <w:kern w:val="0"/>
                <w:sz w:val="18"/>
                <w:szCs w:val="18"/>
              </w:rPr>
            </w:pPr>
          </w:p>
        </w:tc>
        <w:tc>
          <w:tcPr>
            <w:tcW w:w="416" w:type="dxa"/>
            <w:tcBorders>
              <w:top w:val="nil"/>
              <w:left w:val="nil"/>
              <w:bottom w:val="nil"/>
              <w:right w:val="nil"/>
            </w:tcBorders>
            <w:vAlign w:val="center"/>
          </w:tcPr>
          <w:p>
            <w:pPr>
              <w:widowControl/>
              <w:jc w:val="left"/>
              <w:rPr>
                <w:rFonts w:ascii="宋体" w:hAnsi="宋体" w:eastAsia="宋体" w:cs="Arial"/>
                <w:kern w:val="0"/>
                <w:sz w:val="18"/>
                <w:szCs w:val="18"/>
              </w:rPr>
            </w:pPr>
          </w:p>
        </w:tc>
        <w:tc>
          <w:tcPr>
            <w:tcW w:w="9991" w:type="dxa"/>
            <w:gridSpan w:val="49"/>
            <w:tcBorders>
              <w:top w:val="nil"/>
              <w:left w:val="nil"/>
              <w:right w:val="nil"/>
            </w:tcBorders>
            <w:vAlign w:val="center"/>
          </w:tcPr>
          <w:p>
            <w:pPr>
              <w:widowControl/>
              <w:jc w:val="left"/>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2017年度部门支出决算总表(分科目)</w:t>
            </w:r>
          </w:p>
          <w:p>
            <w:pPr>
              <w:widowControl/>
              <w:jc w:val="left"/>
              <w:rPr>
                <w:rFonts w:ascii="宋体" w:hAnsi="宋体" w:eastAsia="宋体" w:cs="Arial"/>
                <w:kern w:val="0"/>
                <w:sz w:val="22"/>
              </w:rPr>
            </w:pPr>
            <w:r>
              <w:rPr>
                <w:rFonts w:hint="eastAsia" w:ascii="黑体" w:hAnsi="黑体" w:eastAsia="黑体" w:cs="Arial"/>
                <w:color w:val="000000"/>
                <w:kern w:val="0"/>
                <w:sz w:val="44"/>
                <w:szCs w:val="44"/>
              </w:rPr>
              <w:t xml:space="preserve">                            </w:t>
            </w:r>
            <w:r>
              <w:rPr>
                <w:rFonts w:hint="eastAsia" w:ascii="宋体" w:hAnsi="宋体" w:eastAsia="宋体" w:cs="Arial"/>
                <w:color w:val="000000"/>
                <w:kern w:val="0"/>
                <w:sz w:val="22"/>
              </w:rPr>
              <w:t xml:space="preserve"> 公开表03-2表</w:t>
            </w:r>
          </w:p>
        </w:tc>
        <w:tc>
          <w:tcPr>
            <w:tcW w:w="896" w:type="dxa"/>
            <w:gridSpan w:val="2"/>
            <w:tcBorders>
              <w:top w:val="nil"/>
              <w:left w:val="nil"/>
              <w:bottom w:val="nil"/>
              <w:right w:val="nil"/>
            </w:tcBorders>
            <w:vAlign w:val="center"/>
          </w:tcPr>
          <w:p>
            <w:pPr>
              <w:widowControl/>
              <w:jc w:val="left"/>
              <w:rPr>
                <w:rFonts w:ascii="宋体" w:hAnsi="宋体" w:eastAsia="宋体" w:cs="Arial"/>
                <w:kern w:val="0"/>
                <w:sz w:val="18"/>
                <w:szCs w:val="18"/>
              </w:rPr>
            </w:pPr>
          </w:p>
        </w:tc>
        <w:tc>
          <w:tcPr>
            <w:tcW w:w="1184" w:type="dxa"/>
            <w:gridSpan w:val="3"/>
            <w:tcBorders>
              <w:top w:val="nil"/>
              <w:left w:val="nil"/>
              <w:bottom w:val="nil"/>
              <w:right w:val="nil"/>
            </w:tcBorders>
            <w:vAlign w:val="center"/>
          </w:tcPr>
          <w:p>
            <w:pPr>
              <w:widowControl/>
              <w:jc w:val="left"/>
              <w:rPr>
                <w:rFonts w:ascii="宋体" w:hAnsi="宋体" w:eastAsia="宋体" w:cs="Arial"/>
                <w:kern w:val="0"/>
                <w:sz w:val="18"/>
                <w:szCs w:val="18"/>
              </w:rPr>
            </w:pPr>
          </w:p>
        </w:tc>
        <w:tc>
          <w:tcPr>
            <w:tcW w:w="1570" w:type="dxa"/>
            <w:gridSpan w:val="5"/>
            <w:tcBorders>
              <w:top w:val="nil"/>
              <w:left w:val="nil"/>
              <w:bottom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rPr>
          <w:gridBefore w:val="5"/>
          <w:gridAfter w:val="5"/>
          <w:wBefore w:w="492" w:type="dxa"/>
          <w:wAfter w:w="5405" w:type="dxa"/>
          <w:trHeight w:val="300" w:hRule="atLeast"/>
        </w:trPr>
        <w:tc>
          <w:tcPr>
            <w:tcW w:w="11240" w:type="dxa"/>
            <w:gridSpan w:val="56"/>
            <w:tcBorders>
              <w:top w:val="nil"/>
              <w:left w:val="nil"/>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                         金额单位：万元</w:t>
            </w:r>
          </w:p>
        </w:tc>
        <w:tc>
          <w:tcPr>
            <w:tcW w:w="896" w:type="dxa"/>
            <w:gridSpan w:val="2"/>
            <w:tcBorders>
              <w:top w:val="nil"/>
              <w:left w:val="nil"/>
              <w:right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4" w:type="dxa"/>
            <w:gridSpan w:val="3"/>
            <w:tcBorders>
              <w:top w:val="nil"/>
              <w:left w:val="nil"/>
              <w:right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0" w:type="dxa"/>
            <w:gridSpan w:val="5"/>
            <w:tcBorders>
              <w:top w:val="nil"/>
              <w:left w:val="nil"/>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公开03_2表</w:t>
            </w:r>
          </w:p>
        </w:tc>
      </w:tr>
      <w:tr>
        <w:trPr>
          <w:gridAfter w:val="18"/>
          <w:wAfter w:w="10045" w:type="dxa"/>
          <w:trHeight w:val="460" w:hRule="atLeast"/>
        </w:trPr>
        <w:tc>
          <w:tcPr>
            <w:tcW w:w="1249" w:type="dxa"/>
            <w:gridSpan w:val="10"/>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科目编码</w:t>
            </w:r>
          </w:p>
        </w:tc>
        <w:tc>
          <w:tcPr>
            <w:tcW w:w="2111" w:type="dxa"/>
            <w:gridSpan w:val="9"/>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科目名称</w:t>
            </w:r>
          </w:p>
        </w:tc>
        <w:tc>
          <w:tcPr>
            <w:tcW w:w="1117" w:type="dxa"/>
            <w:gridSpan w:val="5"/>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总计</w:t>
            </w:r>
          </w:p>
        </w:tc>
        <w:tc>
          <w:tcPr>
            <w:tcW w:w="2005" w:type="dxa"/>
            <w:gridSpan w:val="11"/>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基本支出</w:t>
            </w:r>
          </w:p>
        </w:tc>
        <w:tc>
          <w:tcPr>
            <w:tcW w:w="1023" w:type="dxa"/>
            <w:gridSpan w:val="5"/>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项目支出</w:t>
            </w:r>
          </w:p>
        </w:tc>
        <w:tc>
          <w:tcPr>
            <w:tcW w:w="1216" w:type="dxa"/>
            <w:gridSpan w:val="5"/>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事业单位经营支出</w:t>
            </w:r>
          </w:p>
        </w:tc>
        <w:tc>
          <w:tcPr>
            <w:tcW w:w="1013" w:type="dxa"/>
            <w:gridSpan w:val="6"/>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对附属单位补助支出</w:t>
            </w:r>
          </w:p>
        </w:tc>
        <w:tc>
          <w:tcPr>
            <w:tcW w:w="1008" w:type="dxa"/>
            <w:gridSpan w:val="7"/>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上缴上级支出</w:t>
            </w:r>
          </w:p>
        </w:tc>
      </w:tr>
      <w:tr>
        <w:trPr>
          <w:gridAfter w:val="18"/>
          <w:wAfter w:w="10045" w:type="dxa"/>
          <w:trHeight w:val="542" w:hRule="atLeast"/>
        </w:trPr>
        <w:tc>
          <w:tcPr>
            <w:tcW w:w="1249" w:type="dxa"/>
            <w:gridSpan w:val="10"/>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2111" w:type="dxa"/>
            <w:gridSpan w:val="9"/>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117"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19"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人员支出</w:t>
            </w:r>
          </w:p>
        </w:tc>
        <w:tc>
          <w:tcPr>
            <w:tcW w:w="986"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日常公用支出</w:t>
            </w:r>
          </w:p>
        </w:tc>
        <w:tc>
          <w:tcPr>
            <w:tcW w:w="1023"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216" w:type="dxa"/>
            <w:gridSpan w:val="5"/>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13"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08"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r>
      <w:tr>
        <w:trPr>
          <w:gridAfter w:val="17"/>
          <w:wAfter w:w="10038" w:type="dxa"/>
          <w:trHeight w:val="300" w:hRule="atLeast"/>
        </w:trPr>
        <w:tc>
          <w:tcPr>
            <w:tcW w:w="417" w:type="dxa"/>
            <w:gridSpan w:val="4"/>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类</w:t>
            </w:r>
          </w:p>
        </w:tc>
        <w:tc>
          <w:tcPr>
            <w:tcW w:w="416"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款</w:t>
            </w:r>
          </w:p>
        </w:tc>
        <w:tc>
          <w:tcPr>
            <w:tcW w:w="416"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w:t>
            </w:r>
          </w:p>
        </w:tc>
        <w:tc>
          <w:tcPr>
            <w:tcW w:w="2111" w:type="dxa"/>
            <w:gridSpan w:val="9"/>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117"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w:t>
            </w:r>
          </w:p>
        </w:tc>
        <w:tc>
          <w:tcPr>
            <w:tcW w:w="1019"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w:t>
            </w:r>
          </w:p>
        </w:tc>
        <w:tc>
          <w:tcPr>
            <w:tcW w:w="986"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w:t>
            </w:r>
          </w:p>
        </w:tc>
        <w:tc>
          <w:tcPr>
            <w:tcW w:w="1023"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w:t>
            </w:r>
          </w:p>
        </w:tc>
        <w:tc>
          <w:tcPr>
            <w:tcW w:w="1216"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w:t>
            </w:r>
          </w:p>
        </w:tc>
        <w:tc>
          <w:tcPr>
            <w:tcW w:w="1013" w:type="dxa"/>
            <w:gridSpan w:val="6"/>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6</w:t>
            </w:r>
          </w:p>
        </w:tc>
        <w:tc>
          <w:tcPr>
            <w:tcW w:w="1015" w:type="dxa"/>
            <w:gridSpan w:val="8"/>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w:t>
            </w:r>
          </w:p>
        </w:tc>
      </w:tr>
      <w:tr>
        <w:trPr>
          <w:gridAfter w:val="17"/>
          <w:wAfter w:w="10038" w:type="dxa"/>
          <w:trHeight w:val="431" w:hRule="atLeast"/>
        </w:trPr>
        <w:tc>
          <w:tcPr>
            <w:tcW w:w="417"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416"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416"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2111" w:type="dxa"/>
            <w:gridSpan w:val="9"/>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合计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10,165.06</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1,242.02</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122.71</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8,800.33</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444"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一般公共服务支出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896.73</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775.87</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120.85</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r>
      <w:tr>
        <w:trPr>
          <w:gridAfter w:val="17"/>
          <w:wAfter w:w="10038" w:type="dxa"/>
          <w:trHeight w:val="64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20103</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政府办公厅（室）及相关机构事务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896.73</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775.87</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120.85</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r>
      <w:tr>
        <w:trPr>
          <w:gridAfter w:val="17"/>
          <w:wAfter w:w="10038" w:type="dxa"/>
          <w:trHeight w:val="374"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2010301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896.73</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775.87</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120.85</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459"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205</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教育支出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131.26</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131.26</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20501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教育管理事务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131.26</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131.26</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445"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2050102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131.26</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131.26</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207</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文化体育与传媒支出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20701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文化</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2070101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社会保障和就业支出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140.00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160.00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人力资源和社会保障管理事务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141.00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81.00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60.00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2080101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81.00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81.00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2080102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20805</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行政事业单位离退休</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59.00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59.00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2080501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归口管理的行政单位离退休</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59.00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59.00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20808</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抚恤</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22.00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22.00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2080803</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在乡复员、退伍军人生活补助</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22.00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20819</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最低生活保障</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46.00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46.00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2081901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城市最低生活保障金支出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46.00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46.00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20825</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其他生活救助</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32.00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2082502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其他农村生活救助</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32.00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210</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医疗卫生与计划生育支出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89.50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89.50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21003</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基层医疗卫生机构</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39.50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39.50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2100302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乡镇卫生院</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39.50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39.50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21011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行政事业单位医疗</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2101101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行政单位医疗★</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节能环保支出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21101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环境保护管理事务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2110102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城乡社区支出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7,079.50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120.00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6,959.50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21201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城乡社区管理事务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605.00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120.00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485.00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2120101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120.00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120.00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2120102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485.00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485.00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21208</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国有土地使用权出让收入及对应专项债务收入安排的支出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4,500.00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4,500.00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347"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2120801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征地和拆迁补偿支出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389"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2120802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土地开发支出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333"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2120804</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农村基础设施建设支出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501"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2120899</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其他国有土地使用权出让收入安排的支出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319"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21299</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其他城乡社区支出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1,974.50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1,974.50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361"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2129999</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其他城乡社区支出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1,974.50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1,974.50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213</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农林水支出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206.63</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106.63</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21301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农业</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146.63</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106.63</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2130101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2130102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一般行政管理事务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99.33</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99.33</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2130199</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其他农业支出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7.30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7.30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405"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21302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林业</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553"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2130201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347"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21303</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水利</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30.00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347"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2130301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417"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214</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交通运输支出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11.44</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11.44</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21404</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成品油价格改革对交通运输的补贴</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11.44</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11.44</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2140402</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对农村道路客运的补贴</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11.44</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11.44</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215</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资源勘探信息等支出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900.00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56.14</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1.86</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842.00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444"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21506</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安全生产监管</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56.14</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1.86</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375"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2150601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行政运行</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58.00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56.14</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1.86</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270"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2150699</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其他安全生产监管支出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42.00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42.00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668"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21599</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其他资源勘探电力信息等支出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800.00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584"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2159999</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其他资源勘探信息等支出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444"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229</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其他支出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416"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22999</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bCs/>
                <w:kern w:val="0"/>
                <w:sz w:val="16"/>
                <w:szCs w:val="16"/>
              </w:rPr>
            </w:pPr>
            <w:r>
              <w:rPr>
                <w:rFonts w:hint="eastAsia" w:ascii="宋体" w:hAnsi="宋体" w:eastAsia="宋体" w:cs="Arial"/>
                <w:bCs/>
                <w:kern w:val="0"/>
                <w:sz w:val="16"/>
                <w:szCs w:val="16"/>
              </w:rPr>
              <w:t>其他支出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bCs/>
                <w:kern w:val="0"/>
                <w:sz w:val="16"/>
                <w:szCs w:val="16"/>
              </w:rPr>
            </w:pPr>
            <w:r>
              <w:rPr>
                <w:rFonts w:hint="eastAsia" w:ascii="宋体" w:hAnsi="宋体" w:eastAsia="宋体" w:cs="Arial"/>
                <w:bCs/>
                <w:kern w:val="0"/>
                <w:sz w:val="16"/>
                <w:szCs w:val="16"/>
              </w:rPr>
              <w:t>400.00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17"/>
          <w:wAfter w:w="10038" w:type="dxa"/>
          <w:trHeight w:val="556" w:hRule="atLeast"/>
        </w:trPr>
        <w:tc>
          <w:tcPr>
            <w:tcW w:w="1249" w:type="dxa"/>
            <w:gridSpan w:val="10"/>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2299901</w:t>
            </w:r>
          </w:p>
        </w:tc>
        <w:tc>
          <w:tcPr>
            <w:tcW w:w="2111" w:type="dxa"/>
            <w:gridSpan w:val="9"/>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其他支出</w:t>
            </w:r>
          </w:p>
        </w:tc>
        <w:tc>
          <w:tcPr>
            <w:tcW w:w="1117"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400.00</w:t>
            </w:r>
          </w:p>
        </w:tc>
        <w:tc>
          <w:tcPr>
            <w:tcW w:w="1019"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98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23"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400.00</w:t>
            </w:r>
          </w:p>
        </w:tc>
        <w:tc>
          <w:tcPr>
            <w:tcW w:w="121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3" w:type="dxa"/>
            <w:gridSpan w:val="6"/>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15" w:type="dxa"/>
            <w:gridSpan w:val="8"/>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trHeight w:val="871" w:hRule="atLeast"/>
        </w:trPr>
        <w:tc>
          <w:tcPr>
            <w:tcW w:w="20787" w:type="dxa"/>
            <w:gridSpan w:val="76"/>
            <w:tcBorders>
              <w:top w:val="nil"/>
              <w:left w:val="nil"/>
              <w:right w:val="single" w:color="808080" w:sz="4" w:space="0"/>
            </w:tcBorders>
            <w:vAlign w:val="center"/>
          </w:tcPr>
          <w:p>
            <w:pPr>
              <w:widowControl/>
              <w:ind w:firstLine="1760" w:firstLineChars="400"/>
              <w:rPr>
                <w:rFonts w:ascii="黑体" w:hAnsi="黑体" w:eastAsia="黑体" w:cs="Arial"/>
                <w:color w:val="000000"/>
                <w:kern w:val="0"/>
                <w:sz w:val="44"/>
                <w:szCs w:val="44"/>
              </w:rPr>
            </w:pPr>
          </w:p>
          <w:p>
            <w:pPr>
              <w:widowControl/>
              <w:ind w:firstLine="1760" w:firstLineChars="400"/>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2017年度部门财政拨款收支决算总表</w:t>
            </w:r>
          </w:p>
          <w:p>
            <w:pPr>
              <w:widowControl/>
              <w:ind w:firstLine="8360" w:firstLineChars="3800"/>
              <w:rPr>
                <w:rFonts w:ascii="黑体" w:hAnsi="黑体" w:eastAsia="黑体" w:cs="Arial"/>
                <w:color w:val="000000"/>
                <w:kern w:val="0"/>
                <w:sz w:val="44"/>
                <w:szCs w:val="44"/>
              </w:rPr>
            </w:pPr>
            <w:r>
              <w:rPr>
                <w:rFonts w:hint="eastAsia" w:ascii="宋体" w:hAnsi="宋体" w:eastAsia="宋体" w:cs="Arial"/>
                <w:color w:val="000000"/>
                <w:kern w:val="0"/>
                <w:sz w:val="22"/>
              </w:rPr>
              <w:t>公开表04表</w:t>
            </w:r>
          </w:p>
        </w:tc>
      </w:tr>
      <w:tr>
        <w:trPr>
          <w:trHeight w:val="300" w:hRule="atLeast"/>
        </w:trPr>
        <w:tc>
          <w:tcPr>
            <w:tcW w:w="11946" w:type="dxa"/>
            <w:gridSpan w:val="62"/>
            <w:tcBorders>
              <w:top w:val="nil"/>
              <w:left w:val="nil"/>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                                金额单位：万元</w:t>
            </w:r>
          </w:p>
        </w:tc>
        <w:tc>
          <w:tcPr>
            <w:tcW w:w="786" w:type="dxa"/>
            <w:gridSpan w:val="2"/>
            <w:tcBorders>
              <w:top w:val="nil"/>
              <w:left w:val="nil"/>
              <w:right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9" w:type="dxa"/>
            <w:gridSpan w:val="6"/>
            <w:tcBorders>
              <w:top w:val="nil"/>
              <w:left w:val="nil"/>
              <w:right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000" w:type="dxa"/>
            <w:gridSpan w:val="3"/>
            <w:tcBorders>
              <w:top w:val="nil"/>
              <w:left w:val="nil"/>
              <w:right w:val="nil"/>
            </w:tcBorders>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126" w:type="dxa"/>
            <w:gridSpan w:val="3"/>
            <w:tcBorders>
              <w:top w:val="nil"/>
              <w:left w:val="nil"/>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公开04表</w:t>
            </w:r>
          </w:p>
        </w:tc>
      </w:tr>
      <w:tr>
        <w:trPr>
          <w:gridAfter w:val="21"/>
          <w:wAfter w:w="10190" w:type="dxa"/>
          <w:trHeight w:val="300" w:hRule="atLeast"/>
        </w:trPr>
        <w:tc>
          <w:tcPr>
            <w:tcW w:w="3917" w:type="dxa"/>
            <w:gridSpan w:val="21"/>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收     入</w:t>
            </w:r>
          </w:p>
        </w:tc>
        <w:tc>
          <w:tcPr>
            <w:tcW w:w="6680" w:type="dxa"/>
            <w:gridSpan w:val="34"/>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支     出</w:t>
            </w:r>
          </w:p>
        </w:tc>
      </w:tr>
      <w:tr>
        <w:trPr>
          <w:gridAfter w:val="21"/>
          <w:wAfter w:w="10190" w:type="dxa"/>
          <w:trHeight w:val="333" w:hRule="atLeast"/>
        </w:trPr>
        <w:tc>
          <w:tcPr>
            <w:tcW w:w="2184" w:type="dxa"/>
            <w:gridSpan w:val="1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    目</w:t>
            </w:r>
          </w:p>
        </w:tc>
        <w:tc>
          <w:tcPr>
            <w:tcW w:w="717" w:type="dxa"/>
            <w:gridSpan w:val="3"/>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行次</w:t>
            </w:r>
          </w:p>
        </w:tc>
        <w:tc>
          <w:tcPr>
            <w:tcW w:w="1016" w:type="dxa"/>
            <w:gridSpan w:val="4"/>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决算数</w:t>
            </w:r>
          </w:p>
        </w:tc>
        <w:tc>
          <w:tcPr>
            <w:tcW w:w="2397" w:type="dxa"/>
            <w:gridSpan w:val="13"/>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项目（按功能分类）</w:t>
            </w:r>
          </w:p>
        </w:tc>
        <w:tc>
          <w:tcPr>
            <w:tcW w:w="786" w:type="dxa"/>
            <w:gridSpan w:val="4"/>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行次</w:t>
            </w:r>
          </w:p>
        </w:tc>
        <w:tc>
          <w:tcPr>
            <w:tcW w:w="3497" w:type="dxa"/>
            <w:gridSpan w:val="17"/>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决算数</w:t>
            </w:r>
          </w:p>
        </w:tc>
      </w:tr>
      <w:tr>
        <w:trPr>
          <w:gridAfter w:val="21"/>
          <w:wAfter w:w="10190" w:type="dxa"/>
          <w:trHeight w:val="612" w:hRule="atLeast"/>
        </w:trPr>
        <w:tc>
          <w:tcPr>
            <w:tcW w:w="2184" w:type="dxa"/>
            <w:gridSpan w:val="1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71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16"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2397" w:type="dxa"/>
            <w:gridSpan w:val="1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786"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p>
        </w:tc>
        <w:tc>
          <w:tcPr>
            <w:tcW w:w="1076"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小计</w:t>
            </w:r>
          </w:p>
        </w:tc>
        <w:tc>
          <w:tcPr>
            <w:tcW w:w="1076"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一般公共预算财政拨款</w:t>
            </w:r>
          </w:p>
        </w:tc>
        <w:tc>
          <w:tcPr>
            <w:tcW w:w="1345" w:type="dxa"/>
            <w:gridSpan w:val="7"/>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政府性基金预算财政拨款</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栏    次</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w:t>
            </w:r>
          </w:p>
        </w:tc>
        <w:tc>
          <w:tcPr>
            <w:tcW w:w="101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w:t>
            </w:r>
          </w:p>
        </w:tc>
        <w:tc>
          <w:tcPr>
            <w:tcW w:w="2397" w:type="dxa"/>
            <w:gridSpan w:val="1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栏    次</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w:t>
            </w:r>
          </w:p>
        </w:tc>
        <w:tc>
          <w:tcPr>
            <w:tcW w:w="1076"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w:t>
            </w:r>
          </w:p>
        </w:tc>
        <w:tc>
          <w:tcPr>
            <w:tcW w:w="1076" w:type="dxa"/>
            <w:gridSpan w:val="5"/>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w:t>
            </w:r>
          </w:p>
        </w:tc>
        <w:tc>
          <w:tcPr>
            <w:tcW w:w="1345" w:type="dxa"/>
            <w:gridSpan w:val="7"/>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一、一般公共预算财政拨款</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4,490.33</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一、一般公共服务支出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31</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548.00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548.00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二、政府性基金预算财政拨款</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4,500.00</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二、外交支出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32</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三、国防支出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33</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四、公共安全支出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34</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五、教育支出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35</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131.26</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131.26</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6</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六、科学技术支出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36</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七、文化体育与传媒支出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37</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50.00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八、社会保障和就业支出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38</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300.00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9</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九、医疗卫生与计划生育支出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39</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89.50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89.50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10</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十、节能环保支出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100.00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11</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十一、城乡社区支出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41</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6,253.50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1,753.50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4,500.00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12</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十二、农林水支出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42</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206.63</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206.63</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13</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十三、交通运输支出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43</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11.44</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11.44</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14</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十四、资源勘探信息等支出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44</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900.00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900.00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15</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十五、商业服务业等支出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45</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16</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十六、金融支出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46</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17</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十七、援助其他地区支出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47</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18</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十八、国土海洋气象等支出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48</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19</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十九、住房保障支出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49</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20</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二十、粮油物资储备支出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21</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二十一、其他支出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51</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400.00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22</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二十二、债务还本支出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52</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23</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二十三、债务付息支出</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53</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本年收入合计</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24</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8,990.33</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本年支出合计</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77</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8,990.33</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4,490.33</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4,500.00</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25</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78</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rPr>
          <w:gridAfter w:val="21"/>
          <w:wAfter w:w="10190" w:type="dxa"/>
          <w:trHeight w:val="445"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年初财政拨款结转和结余</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26</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年末财政拨款结转和结余</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79</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r>
      <w:tr>
        <w:trPr>
          <w:gridAfter w:val="21"/>
          <w:wAfter w:w="10190" w:type="dxa"/>
          <w:trHeight w:val="417"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一、一般公共预算财政拨款</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27</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80</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二、政府性基金预算财政拨款</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28</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0.00</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xml:space="preserve">    </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81</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29</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397" w:type="dxa"/>
            <w:gridSpan w:val="1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82</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r>
      <w:tr>
        <w:trPr>
          <w:gridAfter w:val="21"/>
          <w:wAfter w:w="10190" w:type="dxa"/>
          <w:trHeight w:val="300" w:hRule="atLeast"/>
        </w:trPr>
        <w:tc>
          <w:tcPr>
            <w:tcW w:w="2184" w:type="dxa"/>
            <w:gridSpan w:val="14"/>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总计</w:t>
            </w:r>
          </w:p>
        </w:tc>
        <w:tc>
          <w:tcPr>
            <w:tcW w:w="717"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30</w:t>
            </w:r>
          </w:p>
        </w:tc>
        <w:tc>
          <w:tcPr>
            <w:tcW w:w="1016"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8,990.33</w:t>
            </w:r>
          </w:p>
        </w:tc>
        <w:tc>
          <w:tcPr>
            <w:tcW w:w="2397" w:type="dxa"/>
            <w:gridSpan w:val="1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总计</w:t>
            </w:r>
          </w:p>
        </w:tc>
        <w:tc>
          <w:tcPr>
            <w:tcW w:w="786" w:type="dxa"/>
            <w:gridSpan w:val="4"/>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83</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8,990.33</w:t>
            </w:r>
          </w:p>
        </w:tc>
        <w:tc>
          <w:tcPr>
            <w:tcW w:w="1076"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4,490.33</w:t>
            </w:r>
          </w:p>
        </w:tc>
        <w:tc>
          <w:tcPr>
            <w:tcW w:w="1345" w:type="dxa"/>
            <w:gridSpan w:val="7"/>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4,500.00</w:t>
            </w:r>
          </w:p>
        </w:tc>
      </w:tr>
    </w:tbl>
    <w:p>
      <w:pPr>
        <w:autoSpaceDE w:val="0"/>
        <w:autoSpaceDN w:val="0"/>
        <w:adjustRightInd w:val="0"/>
        <w:spacing w:line="560" w:lineRule="exact"/>
        <w:rPr>
          <w:rFonts w:ascii="仿宋" w:hAnsi="Times New Roman" w:eastAsia="仿宋" w:cs="仿宋"/>
          <w:sz w:val="32"/>
          <w:szCs w:val="32"/>
        </w:rPr>
      </w:pPr>
    </w:p>
    <w:tbl>
      <w:tblPr>
        <w:tblW w:w="10883" w:type="dxa"/>
        <w:tblInd w:w="-8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16"/>
        <w:gridCol w:w="416"/>
        <w:gridCol w:w="105"/>
        <w:gridCol w:w="311"/>
        <w:gridCol w:w="4099"/>
        <w:gridCol w:w="1135"/>
        <w:gridCol w:w="1203"/>
        <w:gridCol w:w="1162"/>
        <w:gridCol w:w="727"/>
        <w:gridCol w:w="582"/>
        <w:gridCol w:w="727"/>
      </w:tblGrid>
      <w:tr>
        <w:trPr>
          <w:gridBefore w:val="3"/>
          <w:wBefore w:w="937" w:type="dxa"/>
          <w:trHeight w:val="555" w:hRule="atLeast"/>
        </w:trPr>
        <w:tc>
          <w:tcPr>
            <w:tcW w:w="9946" w:type="dxa"/>
            <w:gridSpan w:val="8"/>
            <w:tcBorders>
              <w:top w:val="nil"/>
              <w:left w:val="nil"/>
              <w:bottom w:val="nil"/>
            </w:tcBorders>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2017年度部门一般公共预算支出决算表</w:t>
            </w:r>
          </w:p>
        </w:tc>
      </w:tr>
      <w:tr>
        <w:trPr>
          <w:gridBefore w:val="3"/>
          <w:wBefore w:w="937" w:type="dxa"/>
          <w:trHeight w:val="300" w:hRule="atLeast"/>
        </w:trPr>
        <w:tc>
          <w:tcPr>
            <w:tcW w:w="9946" w:type="dxa"/>
            <w:gridSpan w:val="8"/>
            <w:tcBorders>
              <w:top w:val="nil"/>
              <w:left w:val="nil"/>
              <w:bottom w:val="nil"/>
            </w:tcBorders>
            <w:vAlign w:val="center"/>
          </w:tcPr>
          <w:p>
            <w:pPr>
              <w:widowControl/>
              <w:ind w:right="880" w:firstLine="7260" w:firstLineChars="3300"/>
              <w:rPr>
                <w:rFonts w:ascii="宋体" w:hAnsi="宋体" w:eastAsia="宋体" w:cs="Arial"/>
                <w:color w:val="000000"/>
                <w:kern w:val="0"/>
                <w:sz w:val="22"/>
              </w:rPr>
            </w:pPr>
            <w:r>
              <w:rPr>
                <w:rFonts w:hint="eastAsia" w:ascii="宋体" w:hAnsi="宋体" w:eastAsia="宋体" w:cs="Arial"/>
                <w:color w:val="000000"/>
                <w:kern w:val="0"/>
                <w:sz w:val="22"/>
              </w:rPr>
              <w:t>公开05表</w:t>
            </w:r>
          </w:p>
        </w:tc>
      </w:tr>
      <w:tr>
        <w:trPr>
          <w:gridBefore w:val="3"/>
          <w:wBefore w:w="937" w:type="dxa"/>
          <w:trHeight w:val="300" w:hRule="atLeast"/>
        </w:trPr>
        <w:tc>
          <w:tcPr>
            <w:tcW w:w="8637" w:type="dxa"/>
            <w:gridSpan w:val="6"/>
            <w:tcBorders>
              <w:top w:val="nil"/>
              <w:left w:val="nil"/>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                   金额单位：万元</w:t>
            </w:r>
          </w:p>
        </w:tc>
        <w:tc>
          <w:tcPr>
            <w:tcW w:w="1309" w:type="dxa"/>
            <w:gridSpan w:val="2"/>
            <w:tcBorders>
              <w:top w:val="nil"/>
              <w:left w:val="nil"/>
            </w:tcBorders>
            <w:vAlign w:val="center"/>
          </w:tcPr>
          <w:p>
            <w:pPr>
              <w:widowControl/>
              <w:jc w:val="right"/>
              <w:rPr>
                <w:rFonts w:ascii="宋体" w:hAnsi="宋体" w:eastAsia="宋体" w:cs="Arial"/>
                <w:color w:val="000000"/>
                <w:kern w:val="0"/>
                <w:sz w:val="22"/>
              </w:rPr>
            </w:pPr>
          </w:p>
        </w:tc>
      </w:tr>
      <w:tr>
        <w:trPr>
          <w:gridAfter w:val="1"/>
          <w:wAfter w:w="727" w:type="dxa"/>
          <w:trHeight w:val="495" w:hRule="atLeast"/>
        </w:trPr>
        <w:tc>
          <w:tcPr>
            <w:tcW w:w="1248"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科目编码</w:t>
            </w:r>
          </w:p>
        </w:tc>
        <w:tc>
          <w:tcPr>
            <w:tcW w:w="4099"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13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总   计</w:t>
            </w:r>
          </w:p>
        </w:tc>
        <w:tc>
          <w:tcPr>
            <w:tcW w:w="120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16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3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备注</w:t>
            </w:r>
          </w:p>
        </w:tc>
      </w:tr>
      <w:tr>
        <w:trPr>
          <w:gridAfter w:val="1"/>
          <w:wAfter w:w="727" w:type="dxa"/>
          <w:trHeight w:val="270" w:hRule="atLeast"/>
        </w:trPr>
        <w:tc>
          <w:tcPr>
            <w:tcW w:w="1248"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09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35"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203"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162"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309"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r>
      <w:tr>
        <w:trPr>
          <w:gridAfter w:val="1"/>
          <w:wAfter w:w="727" w:type="dxa"/>
          <w:trHeight w:val="300" w:hRule="atLeast"/>
        </w:trPr>
        <w:tc>
          <w:tcPr>
            <w:tcW w:w="416" w:type="dxa"/>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类</w:t>
            </w:r>
          </w:p>
        </w:tc>
        <w:tc>
          <w:tcPr>
            <w:tcW w:w="416"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款</w:t>
            </w:r>
          </w:p>
        </w:tc>
        <w:tc>
          <w:tcPr>
            <w:tcW w:w="416" w:type="dxa"/>
            <w:gridSpan w:val="2"/>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w:t>
            </w:r>
          </w:p>
        </w:tc>
        <w:tc>
          <w:tcPr>
            <w:tcW w:w="4099"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  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4,490.33</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1,016.00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3,474.33</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一般公共服务支出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20103</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政府办公厅（室）及相关机构事务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2010301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548.00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205</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教育支出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20501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教育管理事务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2050102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131.26</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文化体育与传媒支出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文化</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2070101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社会保障和就业支出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人力资源和社会保障管理事务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141.00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81.00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81.00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81.00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2080102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20805</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行政事业单位离退休</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2080501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归口管理的行政单位离退休</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59.00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20808</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抚恤</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22.00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2080803</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在乡复员、退伍军人生活补助</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22.00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20819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最低生活保障</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46.00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46.00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2081901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城市最低生活保障金支出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46.00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46.00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20825</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其他生活救助</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32.00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2082502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其他农村生活救助</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32.00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医疗卫生与计划生育支出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89.50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21003</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基层医疗卫生机构</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2100302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乡镇卫生院</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39.50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21011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行政事业单位医疗</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2101101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行政单位医疗★</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节能环保支出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环境保护管理事务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2110102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城乡社区支出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1,753.50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1,633.50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城乡社区管理事务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605.00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485.00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2120102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485.00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485.00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其他城乡社区支出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1,148.50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1,148.50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2129999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其他城乡社区支出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1,148.50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1,148.50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农林水支出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206.63</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106.63</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农业</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146.63</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106.63</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2130101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2130102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一般行政管理事务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99.33</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99.33</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2130199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其他农业支出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7.30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7.30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林业</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2130201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21303</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水利</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2130301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214</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交通运输支出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21404</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成品油价格改革对交通运输的补贴</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2140402</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对农村道路客运的补贴</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11.44</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资源勘探信息等支出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842.00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21506</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安全生产监管</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2150601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58.00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58.00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2150699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其他安全生产监管支出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42.00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42.00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其他资源勘探电力信息等支出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2159999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其他资源勘探信息等支出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22999</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rPr>
          <w:gridAfter w:val="1"/>
          <w:wAfter w:w="727"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2299901</w:t>
            </w:r>
          </w:p>
        </w:tc>
        <w:tc>
          <w:tcPr>
            <w:tcW w:w="4099"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其他支出</w:t>
            </w:r>
          </w:p>
        </w:tc>
        <w:tc>
          <w:tcPr>
            <w:tcW w:w="113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203"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6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400.00</w:t>
            </w:r>
          </w:p>
        </w:tc>
        <w:tc>
          <w:tcPr>
            <w:tcW w:w="1309"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bl>
    <w:p>
      <w:pPr>
        <w:autoSpaceDE w:val="0"/>
        <w:autoSpaceDN w:val="0"/>
        <w:adjustRightInd w:val="0"/>
        <w:spacing w:line="560" w:lineRule="exact"/>
        <w:rPr>
          <w:rFonts w:ascii="仿宋" w:hAnsi="Times New Roman" w:eastAsia="仿宋" w:cs="仿宋"/>
          <w:sz w:val="32"/>
          <w:szCs w:val="32"/>
        </w:rPr>
      </w:pPr>
    </w:p>
    <w:tbl>
      <w:tblPr>
        <w:tblW w:w="10192" w:type="dxa"/>
        <w:tblInd w:w="-8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90"/>
        <w:gridCol w:w="355"/>
        <w:gridCol w:w="92"/>
        <w:gridCol w:w="398"/>
        <w:gridCol w:w="2391"/>
        <w:gridCol w:w="490"/>
        <w:gridCol w:w="768"/>
        <w:gridCol w:w="48"/>
        <w:gridCol w:w="797"/>
        <w:gridCol w:w="48"/>
        <w:gridCol w:w="2222"/>
        <w:gridCol w:w="48"/>
        <w:gridCol w:w="2045"/>
      </w:tblGrid>
      <w:tr>
        <w:trPr>
          <w:gridBefore w:val="3"/>
          <w:wBefore w:w="937" w:type="dxa"/>
          <w:trHeight w:val="555" w:hRule="atLeast"/>
        </w:trPr>
        <w:tc>
          <w:tcPr>
            <w:tcW w:w="9255" w:type="dxa"/>
            <w:gridSpan w:val="10"/>
            <w:tcBorders>
              <w:top w:val="nil"/>
              <w:left w:val="nil"/>
              <w:bottom w:val="nil"/>
              <w:right w:val="nil"/>
            </w:tcBorders>
            <w:vAlign w:val="center"/>
          </w:tcPr>
          <w:p>
            <w:pPr>
              <w:widowControl/>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2017年度部门一般公共预算基本支出决算表</w:t>
            </w:r>
          </w:p>
        </w:tc>
      </w:tr>
      <w:tr>
        <w:trPr>
          <w:gridBefore w:val="1"/>
          <w:wBefore w:w="490" w:type="dxa"/>
          <w:trHeight w:val="300" w:hRule="atLeast"/>
        </w:trPr>
        <w:tc>
          <w:tcPr>
            <w:tcW w:w="845" w:type="dxa"/>
            <w:gridSpan w:val="3"/>
            <w:tcBorders>
              <w:top w:val="nil"/>
              <w:left w:val="nil"/>
              <w:bottom w:val="nil"/>
              <w:right w:val="nil"/>
            </w:tcBorders>
            <w:vAlign w:val="center"/>
          </w:tcPr>
          <w:p>
            <w:pPr>
              <w:widowControl/>
              <w:jc w:val="left"/>
              <w:rPr>
                <w:rFonts w:ascii="宋体" w:hAnsi="宋体" w:eastAsia="宋体" w:cs="Arial"/>
                <w:kern w:val="0"/>
                <w:sz w:val="18"/>
                <w:szCs w:val="18"/>
              </w:rPr>
            </w:pPr>
          </w:p>
        </w:tc>
        <w:tc>
          <w:tcPr>
            <w:tcW w:w="2881" w:type="dxa"/>
            <w:gridSpan w:val="2"/>
            <w:tcBorders>
              <w:top w:val="nil"/>
              <w:left w:val="nil"/>
              <w:bottom w:val="nil"/>
              <w:right w:val="nil"/>
            </w:tcBorders>
            <w:vAlign w:val="center"/>
          </w:tcPr>
          <w:p>
            <w:pPr>
              <w:widowControl/>
              <w:jc w:val="left"/>
              <w:rPr>
                <w:rFonts w:ascii="宋体" w:hAnsi="宋体" w:eastAsia="宋体" w:cs="Arial"/>
                <w:kern w:val="0"/>
                <w:sz w:val="18"/>
                <w:szCs w:val="18"/>
              </w:rPr>
            </w:pPr>
          </w:p>
        </w:tc>
        <w:tc>
          <w:tcPr>
            <w:tcW w:w="816" w:type="dxa"/>
            <w:gridSpan w:val="2"/>
            <w:tcBorders>
              <w:top w:val="nil"/>
              <w:left w:val="nil"/>
              <w:bottom w:val="nil"/>
              <w:right w:val="nil"/>
            </w:tcBorders>
            <w:vAlign w:val="center"/>
          </w:tcPr>
          <w:p>
            <w:pPr>
              <w:widowControl/>
              <w:jc w:val="left"/>
              <w:rPr>
                <w:rFonts w:ascii="宋体" w:hAnsi="宋体" w:eastAsia="宋体" w:cs="Arial"/>
                <w:kern w:val="0"/>
                <w:sz w:val="18"/>
                <w:szCs w:val="18"/>
              </w:rPr>
            </w:pPr>
          </w:p>
        </w:tc>
        <w:tc>
          <w:tcPr>
            <w:tcW w:w="845" w:type="dxa"/>
            <w:gridSpan w:val="2"/>
            <w:tcBorders>
              <w:top w:val="nil"/>
              <w:left w:val="nil"/>
              <w:bottom w:val="nil"/>
              <w:right w:val="nil"/>
            </w:tcBorders>
            <w:vAlign w:val="center"/>
          </w:tcPr>
          <w:p>
            <w:pPr>
              <w:widowControl/>
              <w:jc w:val="left"/>
              <w:rPr>
                <w:rFonts w:ascii="宋体" w:hAnsi="宋体" w:eastAsia="宋体" w:cs="Arial"/>
                <w:kern w:val="0"/>
                <w:sz w:val="18"/>
                <w:szCs w:val="18"/>
              </w:rPr>
            </w:pPr>
          </w:p>
        </w:tc>
        <w:tc>
          <w:tcPr>
            <w:tcW w:w="2270" w:type="dxa"/>
            <w:gridSpan w:val="2"/>
            <w:tcBorders>
              <w:top w:val="nil"/>
              <w:left w:val="nil"/>
              <w:bottom w:val="nil"/>
              <w:right w:val="nil"/>
            </w:tcBorders>
            <w:vAlign w:val="bottom"/>
          </w:tcPr>
          <w:p>
            <w:pPr>
              <w:widowControl/>
              <w:jc w:val="left"/>
              <w:rPr>
                <w:rFonts w:ascii="Arial" w:hAnsi="Arial" w:eastAsia="宋体" w:cs="Arial"/>
                <w:kern w:val="0"/>
                <w:sz w:val="20"/>
                <w:szCs w:val="20"/>
              </w:rPr>
            </w:pPr>
            <w:r>
              <w:rPr>
                <w:rFonts w:hint="eastAsia" w:ascii="Arial" w:hAnsi="Arial" w:eastAsia="宋体" w:cs="Arial"/>
                <w:kern w:val="0"/>
                <w:sz w:val="20"/>
                <w:szCs w:val="20"/>
              </w:rPr>
              <w:t xml:space="preserve"> </w:t>
            </w:r>
          </w:p>
        </w:tc>
        <w:tc>
          <w:tcPr>
            <w:tcW w:w="2045" w:type="dxa"/>
            <w:tcBorders>
              <w:top w:val="nil"/>
              <w:left w:val="nil"/>
              <w:bottom w:val="nil"/>
              <w:right w:val="nil"/>
            </w:tcBorders>
            <w:vAlign w:val="center"/>
          </w:tcPr>
          <w:p>
            <w:pPr>
              <w:widowControl/>
              <w:ind w:right="660"/>
              <w:jc w:val="right"/>
              <w:rPr>
                <w:rFonts w:ascii="宋体" w:hAnsi="宋体" w:eastAsia="宋体" w:cs="Arial"/>
                <w:color w:val="000000"/>
                <w:kern w:val="0"/>
                <w:sz w:val="22"/>
              </w:rPr>
            </w:pPr>
            <w:r>
              <w:rPr>
                <w:rFonts w:hint="eastAsia" w:ascii="宋体" w:hAnsi="宋体" w:eastAsia="宋体" w:cs="Arial"/>
                <w:color w:val="000000"/>
                <w:kern w:val="0"/>
                <w:sz w:val="22"/>
              </w:rPr>
              <w:t>公开06表</w:t>
            </w:r>
          </w:p>
        </w:tc>
      </w:tr>
      <w:tr>
        <w:trPr>
          <w:gridBefore w:val="1"/>
          <w:wBefore w:w="490" w:type="dxa"/>
          <w:trHeight w:val="277" w:hRule="atLeast"/>
        </w:trPr>
        <w:tc>
          <w:tcPr>
            <w:tcW w:w="9702" w:type="dxa"/>
            <w:gridSpan w:val="12"/>
            <w:tcBorders>
              <w:top w:val="nil"/>
              <w:left w:val="nil"/>
              <w:bottom w:val="single" w:color="auto" w:sz="4" w:space="0"/>
              <w:right w:val="nil"/>
            </w:tcBorders>
            <w:vAlign w:val="center"/>
          </w:tcPr>
          <w:p>
            <w:pPr>
              <w:widowControl/>
              <w:ind w:left="-659" w:leftChars="-314" w:firstLine="660" w:firstLineChars="300"/>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w:t>
            </w:r>
            <w:r>
              <w:rPr>
                <w:rFonts w:hint="eastAsia" w:ascii="宋体" w:hAnsi="宋体" w:eastAsia="宋体" w:cs="Arial"/>
                <w:kern w:val="0"/>
                <w:sz w:val="18"/>
                <w:szCs w:val="18"/>
              </w:rPr>
              <w:t xml:space="preserve">                             </w:t>
            </w:r>
            <w:r>
              <w:rPr>
                <w:rFonts w:hint="eastAsia" w:ascii="宋体" w:hAnsi="宋体" w:eastAsia="宋体" w:cs="Arial"/>
                <w:color w:val="000000"/>
                <w:kern w:val="0"/>
                <w:sz w:val="22"/>
              </w:rPr>
              <w:t>金额单位：万元</w:t>
            </w:r>
          </w:p>
          <w:p>
            <w:pPr>
              <w:widowControl/>
              <w:ind w:right="220"/>
              <w:jc w:val="right"/>
              <w:rPr>
                <w:rFonts w:ascii="宋体" w:hAnsi="宋体" w:eastAsia="宋体" w:cs="Arial"/>
                <w:color w:val="000000"/>
                <w:kern w:val="0"/>
                <w:sz w:val="22"/>
              </w:rPr>
            </w:pPr>
            <w:r>
              <w:rPr>
                <w:rFonts w:hint="eastAsia" w:ascii="宋体" w:hAnsi="宋体" w:eastAsia="宋体" w:cs="Arial"/>
                <w:kern w:val="0"/>
                <w:sz w:val="18"/>
                <w:szCs w:val="18"/>
              </w:rPr>
              <w:t xml:space="preserve">　 </w:t>
            </w:r>
          </w:p>
        </w:tc>
      </w:tr>
      <w:tr>
        <w:trPr>
          <w:trHeight w:val="403" w:hRule="atLeast"/>
        </w:trPr>
        <w:tc>
          <w:tcPr>
            <w:tcW w:w="498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w:t>
            </w:r>
          </w:p>
        </w:tc>
        <w:tc>
          <w:tcPr>
            <w:tcW w:w="5208"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w:t>
            </w:r>
          </w:p>
        </w:tc>
      </w:tr>
      <w:tr>
        <w:trPr>
          <w:trHeight w:val="300" w:hRule="atLeast"/>
        </w:trPr>
        <w:tc>
          <w:tcPr>
            <w:tcW w:w="8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2881"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25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84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227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2093"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301</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工资福利支出</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861.47</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302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商品和服务支出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74.68</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30101</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基本工资</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151.91</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办公费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4.81</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30102</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津贴补贴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255.81</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印刷费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5.13</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30103</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奖金</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270.56</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30203</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咨询费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30104</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其他社会保障缴费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8.47</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30204</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手续费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30106</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伙食补助费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30205</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水费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2.38</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30107</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绩效工资</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154.27</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30206</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电费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16.65</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30108</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机关事业单位基本养老保险缴费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17.53</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30207</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邮电费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13.80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30109</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职业年金缴费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2.92</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30208</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取暖费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30199</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其他工资福利支出</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物业管理费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303</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对个人和家庭的补助</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75.53</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差旅费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2.30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30301</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离休费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因公出国（境）费用</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30302</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退休费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30213</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维修(护)费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3.80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30303</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退职（役）费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30214</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租赁费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30304</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抚恤金</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30215</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会议费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3.05</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30305</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生活补助</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53.00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30216</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培训费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0.40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30306</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救济费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30217</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0.29</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30307</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医疗费</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30218</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专用材料费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30308</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助学金</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30224</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被装购置费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30309</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奖励金</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30225</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专用燃料费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30310</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生产补贴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30226</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劳务费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12.12</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30311</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住房公积金</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16.53</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30227</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委托业务费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30312</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提租补贴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30228</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工会经费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30313</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购房补贴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福利费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30314</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采暖补贴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公务用车运行维护费</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7.96</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30315</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物业服务补贴</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其他交通费用</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30399</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其他对个人和家庭的补助支出</w:t>
            </w:r>
          </w:p>
        </w:tc>
        <w:tc>
          <w:tcPr>
            <w:tcW w:w="1258"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6.00</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30240</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税金及附加费用</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30299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其他商品和服务支出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304</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对企事业单位的补贴</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30401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企业政策性补贴</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30402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事业单位补贴</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30403</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财政贴息</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30499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其他对企事业单位的补贴</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310</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其他资本性支出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4.32</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房屋建筑物购建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办公设备购置</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4.32</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31003</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专用设备购置</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31005</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基础设施建设</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31006</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大型修缮</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31007</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信息网络及软件购置更新</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31008</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物资储备</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土地补偿</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31010</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安置补助</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31011</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地上附着物和青苗补偿</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31012</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拆迁补偿</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31013</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公务用车购置</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其他交通工具购置</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31099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其他资本性支出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399</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其他支出</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trHeight w:val="300" w:hRule="atLeast"/>
        </w:trPr>
        <w:tc>
          <w:tcPr>
            <w:tcW w:w="845"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81" w:type="dxa"/>
            <w:gridSpan w:val="3"/>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258"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5"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39906</w:t>
            </w:r>
          </w:p>
        </w:tc>
        <w:tc>
          <w:tcPr>
            <w:tcW w:w="2270" w:type="dxa"/>
            <w:gridSpan w:val="2"/>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赠与</w:t>
            </w:r>
          </w:p>
        </w:tc>
        <w:tc>
          <w:tcPr>
            <w:tcW w:w="209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bl>
    <w:p>
      <w:pPr>
        <w:autoSpaceDE w:val="0"/>
        <w:autoSpaceDN w:val="0"/>
        <w:adjustRightInd w:val="0"/>
        <w:spacing w:line="560" w:lineRule="exact"/>
        <w:rPr>
          <w:rFonts w:ascii="仿宋" w:hAnsi="Times New Roman" w:eastAsia="仿宋" w:cs="仿宋"/>
          <w:sz w:val="32"/>
          <w:szCs w:val="32"/>
        </w:rPr>
      </w:pPr>
    </w:p>
    <w:tbl>
      <w:tblPr>
        <w:tblW w:w="14830"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16"/>
        <w:gridCol w:w="416"/>
        <w:gridCol w:w="77"/>
        <w:gridCol w:w="339"/>
        <w:gridCol w:w="3470"/>
        <w:gridCol w:w="882"/>
        <w:gridCol w:w="1016"/>
        <w:gridCol w:w="1151"/>
        <w:gridCol w:w="926"/>
        <w:gridCol w:w="1138"/>
        <w:gridCol w:w="915"/>
        <w:gridCol w:w="4084"/>
      </w:tblGrid>
      <w:tr>
        <w:trPr>
          <w:gridBefore w:val="3"/>
          <w:wBefore w:w="909" w:type="dxa"/>
          <w:trHeight w:val="555" w:hRule="atLeast"/>
        </w:trPr>
        <w:tc>
          <w:tcPr>
            <w:tcW w:w="13921" w:type="dxa"/>
            <w:gridSpan w:val="9"/>
            <w:tcBorders>
              <w:top w:val="nil"/>
              <w:left w:val="nil"/>
              <w:bottom w:val="nil"/>
              <w:right w:val="nil"/>
            </w:tcBorders>
            <w:vAlign w:val="center"/>
          </w:tcPr>
          <w:p>
            <w:pPr>
              <w:widowControl/>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2017年度部门政府性基金收入支出决算表</w:t>
            </w:r>
          </w:p>
          <w:p>
            <w:pPr>
              <w:widowControl/>
              <w:ind w:firstLine="7920" w:firstLineChars="3600"/>
              <w:rPr>
                <w:rFonts w:ascii="宋体" w:hAnsi="宋体" w:cs="Arial"/>
                <w:color w:val="000000"/>
                <w:kern w:val="0"/>
                <w:sz w:val="22"/>
              </w:rPr>
            </w:pPr>
            <w:r>
              <w:rPr>
                <w:rFonts w:hint="eastAsia" w:ascii="宋体" w:hAnsi="宋体" w:cs="Arial"/>
                <w:color w:val="000000"/>
                <w:kern w:val="0"/>
                <w:sz w:val="22"/>
              </w:rPr>
              <w:t>公开07表</w:t>
            </w:r>
          </w:p>
        </w:tc>
      </w:tr>
      <w:tr>
        <w:trPr>
          <w:gridAfter w:val="1"/>
          <w:wAfter w:w="4084" w:type="dxa"/>
          <w:trHeight w:val="300" w:hRule="atLeast"/>
        </w:trPr>
        <w:tc>
          <w:tcPr>
            <w:tcW w:w="8693" w:type="dxa"/>
            <w:gridSpan w:val="9"/>
            <w:tcBorders>
              <w:top w:val="nil"/>
              <w:left w:val="nil"/>
              <w:bottom w:val="single" w:color="000000" w:sz="4" w:space="0"/>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w:t>
            </w:r>
          </w:p>
        </w:tc>
        <w:tc>
          <w:tcPr>
            <w:tcW w:w="2053" w:type="dxa"/>
            <w:gridSpan w:val="2"/>
            <w:tcBorders>
              <w:top w:val="nil"/>
              <w:left w:val="nil"/>
              <w:bottom w:val="single" w:color="000000" w:sz="4" w:space="0"/>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rPr>
          <w:gridAfter w:val="1"/>
          <w:wAfter w:w="4084" w:type="dxa"/>
          <w:trHeight w:val="570" w:hRule="atLeast"/>
        </w:trPr>
        <w:tc>
          <w:tcPr>
            <w:tcW w:w="1248" w:type="dxa"/>
            <w:gridSpan w:val="4"/>
            <w:vMerge w:val="restart"/>
            <w:tcBorders>
              <w:top w:val="single" w:color="000000" w:sz="4" w:space="0"/>
              <w:left w:val="single" w:color="000000" w:sz="4" w:space="0"/>
              <w:bottom w:val="single" w:color="000000" w:sz="4" w:space="0"/>
              <w:right w:val="single" w:color="000000" w:sz="6"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470" w:type="dxa"/>
            <w:vMerge w:val="restart"/>
            <w:tcBorders>
              <w:top w:val="single" w:color="000000" w:sz="4" w:space="0"/>
              <w:left w:val="single" w:color="000000" w:sz="6" w:space="0"/>
              <w:bottom w:val="single" w:color="000000" w:sz="4" w:space="0"/>
              <w:right w:val="single" w:color="000000" w:sz="6"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882" w:type="dxa"/>
            <w:vMerge w:val="restart"/>
            <w:tcBorders>
              <w:top w:val="single" w:color="000000" w:sz="4" w:space="0"/>
              <w:left w:val="single" w:color="000000" w:sz="6" w:space="0"/>
              <w:bottom w:val="single" w:color="000000" w:sz="4" w:space="0"/>
              <w:right w:val="single" w:color="000000" w:sz="6"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年初结余和结转</w:t>
            </w:r>
          </w:p>
        </w:tc>
        <w:tc>
          <w:tcPr>
            <w:tcW w:w="1016" w:type="dxa"/>
            <w:vMerge w:val="restart"/>
            <w:tcBorders>
              <w:top w:val="single" w:color="000000" w:sz="4" w:space="0"/>
              <w:left w:val="single" w:color="000000" w:sz="6" w:space="0"/>
              <w:bottom w:val="single" w:color="000000" w:sz="4" w:space="0"/>
              <w:right w:val="single" w:color="000000" w:sz="6"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w:t>
            </w:r>
          </w:p>
        </w:tc>
        <w:tc>
          <w:tcPr>
            <w:tcW w:w="3215" w:type="dxa"/>
            <w:gridSpan w:val="3"/>
            <w:tcBorders>
              <w:top w:val="single" w:color="000000" w:sz="4" w:space="0"/>
              <w:left w:val="single" w:color="000000" w:sz="6" w:space="0"/>
              <w:bottom w:val="single" w:color="000000" w:sz="4" w:space="0"/>
              <w:right w:val="single" w:color="000000" w:sz="6"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c>
          <w:tcPr>
            <w:tcW w:w="915" w:type="dxa"/>
            <w:vMerge w:val="restart"/>
            <w:tcBorders>
              <w:top w:val="single" w:color="000000" w:sz="4" w:space="0"/>
              <w:left w:val="single" w:color="000000" w:sz="6"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年末结余结转</w:t>
            </w:r>
          </w:p>
        </w:tc>
      </w:tr>
      <w:tr>
        <w:trPr>
          <w:gridAfter w:val="1"/>
          <w:wAfter w:w="4084" w:type="dxa"/>
          <w:trHeight w:val="840" w:hRule="atLeast"/>
        </w:trPr>
        <w:tc>
          <w:tcPr>
            <w:tcW w:w="1248"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7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51"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 计</w:t>
            </w:r>
          </w:p>
        </w:tc>
        <w:tc>
          <w:tcPr>
            <w:tcW w:w="926"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138"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91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rPr>
          <w:gridAfter w:val="1"/>
          <w:wAfter w:w="4084" w:type="dxa"/>
          <w:trHeight w:val="300" w:hRule="atLeast"/>
        </w:trPr>
        <w:tc>
          <w:tcPr>
            <w:tcW w:w="41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类</w:t>
            </w:r>
          </w:p>
        </w:tc>
        <w:tc>
          <w:tcPr>
            <w:tcW w:w="416"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款</w:t>
            </w:r>
          </w:p>
        </w:tc>
        <w:tc>
          <w:tcPr>
            <w:tcW w:w="416"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w:t>
            </w:r>
          </w:p>
        </w:tc>
        <w:tc>
          <w:tcPr>
            <w:tcW w:w="3470"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  计</w:t>
            </w:r>
          </w:p>
        </w:tc>
        <w:tc>
          <w:tcPr>
            <w:tcW w:w="882"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016"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151"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926"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138"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915"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rPr>
          <w:gridAfter w:val="1"/>
          <w:wAfter w:w="4084" w:type="dxa"/>
          <w:trHeight w:val="300" w:hRule="atLeast"/>
        </w:trPr>
        <w:tc>
          <w:tcPr>
            <w:tcW w:w="4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4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7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515"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城乡社区支出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64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21208</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国有土地使用权出让收入及对应专项债务收入安排的支出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4,500.00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556"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2120801</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征地和拆迁补偿支出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543"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2120802</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土地开发支出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487"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2120804</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农村基础设施建设支出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rPr>
          <w:gridAfter w:val="1"/>
          <w:wAfter w:w="4084" w:type="dxa"/>
          <w:trHeight w:val="300" w:hRule="atLeast"/>
        </w:trPr>
        <w:tc>
          <w:tcPr>
            <w:tcW w:w="1248" w:type="dxa"/>
            <w:gridSpan w:val="4"/>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2120899</w:t>
            </w:r>
          </w:p>
        </w:tc>
        <w:tc>
          <w:tcPr>
            <w:tcW w:w="3470" w:type="dxa"/>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其他国有土地使用权出让收入安排的支出</w:t>
            </w:r>
          </w:p>
        </w:tc>
        <w:tc>
          <w:tcPr>
            <w:tcW w:w="882"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500.00</w:t>
            </w:r>
          </w:p>
        </w:tc>
        <w:tc>
          <w:tcPr>
            <w:tcW w:w="1151"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500.00</w:t>
            </w:r>
          </w:p>
        </w:tc>
        <w:tc>
          <w:tcPr>
            <w:tcW w:w="926"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38"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500.00</w:t>
            </w:r>
          </w:p>
        </w:tc>
        <w:tc>
          <w:tcPr>
            <w:tcW w:w="915" w:type="dxa"/>
            <w:tcBorders>
              <w:top w:val="nil"/>
              <w:left w:val="nil"/>
              <w:bottom w:val="single" w:color="000000" w:sz="4" w:space="0"/>
              <w:right w:val="single" w:color="000000" w:sz="4" w:space="0"/>
            </w:tcBorders>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rPr>
          <w:rFonts w:ascii="仿宋" w:hAnsi="Times New Roman" w:eastAsia="仿宋" w:cs="仿宋"/>
          <w:sz w:val="32"/>
          <w:szCs w:val="32"/>
        </w:rPr>
      </w:pPr>
    </w:p>
    <w:tbl>
      <w:tblPr>
        <w:tblW w:w="11898"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3"/>
        <w:gridCol w:w="836"/>
        <w:gridCol w:w="1051"/>
        <w:gridCol w:w="882"/>
        <w:gridCol w:w="1008"/>
        <w:gridCol w:w="1008"/>
        <w:gridCol w:w="826"/>
        <w:gridCol w:w="854"/>
        <w:gridCol w:w="881"/>
        <w:gridCol w:w="728"/>
        <w:gridCol w:w="1050"/>
        <w:gridCol w:w="826"/>
        <w:gridCol w:w="824"/>
        <w:gridCol w:w="215"/>
        <w:gridCol w:w="836"/>
      </w:tblGrid>
      <w:tr>
        <w:trPr>
          <w:gridBefore w:val="2"/>
          <w:wBefore w:w="909" w:type="dxa"/>
          <w:trHeight w:val="555" w:hRule="atLeast"/>
        </w:trPr>
        <w:tc>
          <w:tcPr>
            <w:tcW w:w="10989" w:type="dxa"/>
            <w:gridSpan w:val="13"/>
            <w:tcBorders>
              <w:top w:val="nil"/>
              <w:left w:val="nil"/>
              <w:bottom w:val="nil"/>
              <w:right w:val="nil"/>
            </w:tcBorders>
            <w:vAlign w:val="center"/>
          </w:tcPr>
          <w:p>
            <w:pPr>
              <w:widowControl/>
              <w:rPr>
                <w:rFonts w:ascii="黑体" w:hAnsi="黑体" w:eastAsia="黑体" w:cs="Arial"/>
                <w:color w:val="000000"/>
                <w:kern w:val="0"/>
                <w:sz w:val="44"/>
                <w:szCs w:val="44"/>
              </w:rPr>
            </w:pPr>
            <w:r>
              <w:rPr>
                <w:rFonts w:hint="eastAsia" w:ascii="黑体" w:hAnsi="黑体" w:eastAsia="黑体" w:cs="Arial"/>
                <w:color w:val="000000"/>
                <w:kern w:val="0"/>
                <w:sz w:val="44"/>
                <w:szCs w:val="44"/>
              </w:rPr>
              <w:t>2017年度一般公共预算“三公”经费决算表</w:t>
            </w:r>
          </w:p>
        </w:tc>
      </w:tr>
      <w:tr>
        <w:trPr>
          <w:gridBefore w:val="2"/>
          <w:wBefore w:w="909" w:type="dxa"/>
          <w:trHeight w:val="300" w:hRule="atLeast"/>
        </w:trPr>
        <w:tc>
          <w:tcPr>
            <w:tcW w:w="10989" w:type="dxa"/>
            <w:gridSpan w:val="13"/>
            <w:tcBorders>
              <w:top w:val="nil"/>
              <w:left w:val="nil"/>
              <w:bottom w:val="nil"/>
              <w:right w:val="nil"/>
            </w:tcBorders>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xml:space="preserve">                                              公开08表</w:t>
            </w:r>
          </w:p>
        </w:tc>
      </w:tr>
      <w:tr>
        <w:trPr>
          <w:gridBefore w:val="1"/>
          <w:gridAfter w:val="1"/>
          <w:wBefore w:w="73" w:type="dxa"/>
          <w:wAfter w:w="836" w:type="dxa"/>
          <w:trHeight w:val="300" w:hRule="atLeast"/>
        </w:trPr>
        <w:tc>
          <w:tcPr>
            <w:tcW w:w="10989" w:type="dxa"/>
            <w:gridSpan w:val="13"/>
            <w:tcBorders>
              <w:top w:val="nil"/>
              <w:left w:val="nil"/>
              <w:bottom w:val="nil"/>
              <w:right w:val="nil"/>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编制单位：温州市洞头区人民政府灵昆街道办事处                              金额单位：万元</w:t>
            </w:r>
          </w:p>
        </w:tc>
      </w:tr>
      <w:tr>
        <w:trPr>
          <w:gridAfter w:val="2"/>
          <w:wAfter w:w="1051" w:type="dxa"/>
          <w:trHeight w:val="300" w:hRule="atLeast"/>
        </w:trPr>
        <w:tc>
          <w:tcPr>
            <w:tcW w:w="568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预算数</w:t>
            </w:r>
          </w:p>
        </w:tc>
        <w:tc>
          <w:tcPr>
            <w:tcW w:w="5163"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rPr>
          <w:gridAfter w:val="2"/>
          <w:wAfter w:w="1051" w:type="dxa"/>
          <w:trHeight w:val="300" w:hRule="atLeast"/>
        </w:trPr>
        <w:tc>
          <w:tcPr>
            <w:tcW w:w="909"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051"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2898"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826"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854"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881"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2604" w:type="dxa"/>
            <w:gridSpan w:val="3"/>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824" w:type="dxa"/>
            <w:vMerge w:val="restart"/>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r>
      <w:tr>
        <w:trPr>
          <w:gridAfter w:val="2"/>
          <w:wAfter w:w="1051" w:type="dxa"/>
          <w:trHeight w:val="675" w:hRule="atLeast"/>
        </w:trPr>
        <w:tc>
          <w:tcPr>
            <w:tcW w:w="909"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2"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008"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1008"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82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28"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050"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826" w:type="dxa"/>
            <w:tcBorders>
              <w:top w:val="nil"/>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82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rPr>
          <w:gridAfter w:val="2"/>
          <w:wAfter w:w="1051" w:type="dxa"/>
          <w:trHeight w:val="668" w:hRule="atLeast"/>
        </w:trPr>
        <w:tc>
          <w:tcPr>
            <w:tcW w:w="9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05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88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0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0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85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88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72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0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82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r>
      <w:tr>
        <w:trPr>
          <w:gridAfter w:val="2"/>
          <w:wAfter w:w="1051" w:type="dxa"/>
          <w:trHeight w:val="822" w:hRule="atLeast"/>
        </w:trPr>
        <w:tc>
          <w:tcPr>
            <w:tcW w:w="9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10.00</w:t>
            </w:r>
          </w:p>
        </w:tc>
        <w:tc>
          <w:tcPr>
            <w:tcW w:w="105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88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9.00</w:t>
            </w:r>
          </w:p>
        </w:tc>
        <w:tc>
          <w:tcPr>
            <w:tcW w:w="10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10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9.00</w:t>
            </w: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w:t>
            </w:r>
          </w:p>
        </w:tc>
        <w:tc>
          <w:tcPr>
            <w:tcW w:w="85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8.25</w:t>
            </w:r>
          </w:p>
        </w:tc>
        <w:tc>
          <w:tcPr>
            <w:tcW w:w="88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72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7.96</w:t>
            </w:r>
          </w:p>
        </w:tc>
        <w:tc>
          <w:tcPr>
            <w:tcW w:w="10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0.00</w:t>
            </w: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7.96</w:t>
            </w:r>
          </w:p>
        </w:tc>
        <w:tc>
          <w:tcPr>
            <w:tcW w:w="82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0.29</w:t>
            </w:r>
          </w:p>
        </w:tc>
      </w:tr>
      <w:tr>
        <w:trPr>
          <w:gridAfter w:val="2"/>
          <w:wAfter w:w="1051" w:type="dxa"/>
          <w:trHeight w:val="735" w:hRule="atLeast"/>
        </w:trPr>
        <w:tc>
          <w:tcPr>
            <w:tcW w:w="10847" w:type="dxa"/>
            <w:gridSpan w:val="13"/>
            <w:tcBorders>
              <w:top w:val="single" w:color="000000" w:sz="4" w:space="0"/>
            </w:tcBorders>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autoSpaceDE w:val="0"/>
        <w:autoSpaceDN w:val="0"/>
        <w:adjustRightInd w:val="0"/>
        <w:spacing w:line="560" w:lineRule="exact"/>
        <w:rPr>
          <w:rFonts w:ascii="仿宋" w:hAnsi="Times New Roman" w:eastAsia="仿宋" w:cs="仿宋"/>
          <w:sz w:val="32"/>
          <w:szCs w:val="32"/>
        </w:rPr>
      </w:pPr>
    </w:p>
    <w:p>
      <w:pPr>
        <w:widowControl/>
        <w:shd w:val="clear" w:color="auto" w:fill="FFFFFF"/>
        <w:spacing w:line="600" w:lineRule="atLeast"/>
        <w:ind w:firstLine="640"/>
        <w:rPr>
          <w:rFonts w:ascii="宋体" w:hAnsi="宋体" w:eastAsia="宋体" w:cs="宋体"/>
          <w:kern w:val="0"/>
          <w:sz w:val="24"/>
          <w:szCs w:val="24"/>
        </w:rPr>
      </w:pPr>
      <w:r>
        <w:rPr>
          <w:rFonts w:hint="eastAsia" w:ascii="宋体" w:hAnsi="宋体" w:eastAsia="宋体" w:cs="宋体"/>
          <w:b/>
          <w:bCs/>
          <w:kern w:val="0"/>
          <w:sz w:val="32"/>
          <w:szCs w:val="32"/>
        </w:rPr>
        <w:t xml:space="preserve">三、2017年度部门决算情况说明 </w:t>
      </w:r>
    </w:p>
    <w:p>
      <w:pPr>
        <w:widowControl/>
        <w:shd w:val="clear" w:color="auto" w:fill="FFFFFF"/>
        <w:spacing w:line="600" w:lineRule="atLeast"/>
        <w:ind w:firstLine="640"/>
        <w:rPr>
          <w:rFonts w:ascii="宋体" w:hAnsi="宋体" w:eastAsia="宋体" w:cs="宋体"/>
          <w:kern w:val="0"/>
          <w:sz w:val="24"/>
          <w:szCs w:val="24"/>
        </w:rPr>
      </w:pPr>
      <w:r>
        <w:rPr>
          <w:rFonts w:hint="eastAsia" w:ascii="楷体" w:hAnsi="楷体" w:eastAsia="楷体" w:cs="Arial"/>
          <w:b/>
          <w:bCs/>
          <w:kern w:val="0"/>
          <w:sz w:val="32"/>
          <w:szCs w:val="32"/>
        </w:rPr>
        <w:t>（一）收入支出决算总体情况</w:t>
      </w:r>
    </w:p>
    <w:p>
      <w:pPr>
        <w:widowControl/>
        <w:shd w:val="clear" w:color="auto" w:fill="FFFFFF"/>
        <w:spacing w:line="600" w:lineRule="atLeast"/>
        <w:ind w:firstLine="640"/>
        <w:rPr>
          <w:rFonts w:ascii="宋体" w:hAnsi="宋体" w:eastAsia="宋体" w:cs="宋体"/>
          <w:color w:val="000000"/>
          <w:kern w:val="0"/>
          <w:sz w:val="24"/>
          <w:szCs w:val="24"/>
        </w:rPr>
      </w:pPr>
      <w:r>
        <w:rPr>
          <w:rFonts w:hint="eastAsia" w:ascii="仿宋" w:hAnsi="仿宋" w:eastAsia="仿宋" w:cs="宋体"/>
          <w:kern w:val="0"/>
          <w:sz w:val="32"/>
          <w:szCs w:val="32"/>
        </w:rPr>
        <w:t>1、2017年度收入总计15,396.55万元,</w:t>
      </w:r>
      <w:r>
        <w:rPr>
          <w:rFonts w:hint="eastAsia" w:ascii="仿宋" w:hAnsi="仿宋" w:eastAsia="仿宋" w:cs="宋体"/>
          <w:color w:val="000000"/>
          <w:kern w:val="0"/>
          <w:sz w:val="32"/>
          <w:szCs w:val="32"/>
        </w:rPr>
        <w:t>较上年增加3250.87万元，增长26.77%，主要原因是2017年重点开展了CD级危旧房整治工作和剿灭劣五类、77省道立面整治项目等工作，这些工作量大、面广，收支经费较之上年相应也增加。具体情况如下：</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（1）财政拨款收入8,990.33万元，较上年减少384.41万元，下降4.10%，主要原因是随着灵南小学改扩建工程等一些基建项目完工，财政投入相应比上年减少。</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2）其他收入3,747.44万元，较上年增加3,587.67万元，增长2,245.52%,主要原因是CD级危旧房改造项目、河道清淤工程、77省道立面整治项目等因各种原因没有及时与财政结算，均由街道筹集资金，先予以垫付。其中：CD级危旧房改造项目支出了2242万，河道清淤工程支出了955万元，77省道立面整治项目支出140万元。</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（3）年初结转和结余2,658.78万元，较上年增加47.60万元，增长1.82%,基本与上年持平，主要是工程履约金收支产生的差额。</w:t>
      </w:r>
    </w:p>
    <w:p>
      <w:pPr>
        <w:widowControl/>
        <w:shd w:val="clear" w:color="auto" w:fill="FFFFFF"/>
        <w:spacing w:line="600" w:lineRule="atLeast"/>
        <w:ind w:firstLine="614" w:firstLineChars="192"/>
        <w:rPr>
          <w:rFonts w:ascii="宋体" w:hAnsi="宋体" w:eastAsia="宋体" w:cs="宋体"/>
          <w:kern w:val="0"/>
          <w:sz w:val="24"/>
          <w:szCs w:val="24"/>
        </w:rPr>
      </w:pPr>
      <w:r>
        <w:rPr>
          <w:rFonts w:hint="eastAsia" w:ascii="仿宋" w:hAnsi="仿宋" w:eastAsia="仿宋" w:cs="宋体"/>
          <w:kern w:val="0"/>
          <w:sz w:val="32"/>
          <w:szCs w:val="32"/>
        </w:rPr>
        <w:t>2、2017年度支出总计15,396.55万元，较上</w:t>
      </w:r>
      <w:r>
        <w:rPr>
          <w:rFonts w:hint="eastAsia" w:ascii="仿宋" w:hAnsi="仿宋" w:eastAsia="仿宋" w:cs="宋体"/>
          <w:color w:val="000000"/>
          <w:kern w:val="0"/>
          <w:sz w:val="32"/>
          <w:szCs w:val="32"/>
        </w:rPr>
        <w:t>年增加3250.87万元，增长26.77%，主要原因主要原因是2017年重点开展了CD级危旧房整治工作和剿灭劣五类、77省道立面整治项目等工作，这些工作量大、面广，收支经费较之上年相应也增加。</w:t>
      </w:r>
      <w:r>
        <w:rPr>
          <w:rFonts w:hint="eastAsia" w:ascii="仿宋" w:hAnsi="仿宋" w:eastAsia="仿宋" w:cs="宋体"/>
          <w:kern w:val="0"/>
          <w:sz w:val="32"/>
          <w:szCs w:val="32"/>
        </w:rPr>
        <w:t>具体情况如下：</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1</w:t>
      </w:r>
      <w:r>
        <w:rPr>
          <w:rFonts w:hint="eastAsia" w:ascii="仿宋" w:hAnsi="Times New Roman" w:eastAsia="仿宋" w:cs="仿宋"/>
          <w:color w:val="000000"/>
          <w:sz w:val="32"/>
          <w:szCs w:val="32"/>
        </w:rPr>
        <w:t>）一般公共服务支出896.73万元，主要用于</w:t>
      </w:r>
      <w:r>
        <w:rPr>
          <w:rFonts w:hint="eastAsia" w:ascii="仿宋" w:hAnsi="Times New Roman" w:eastAsia="仿宋" w:cs="仿宋"/>
          <w:b/>
          <w:color w:val="000000"/>
          <w:sz w:val="32"/>
          <w:szCs w:val="32"/>
        </w:rPr>
        <w:t>单位行政人员工资福利以及日常的办公费用支出。</w:t>
      </w:r>
      <w:r>
        <w:rPr>
          <w:rFonts w:hint="eastAsia" w:ascii="仿宋" w:hAnsi="Times New Roman" w:eastAsia="仿宋" w:cs="仿宋"/>
          <w:color w:val="000000"/>
          <w:sz w:val="32"/>
          <w:szCs w:val="32"/>
        </w:rPr>
        <w:t>较上年增加446.73万元，上升99.27</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，主要原因为：2017年机关事业人员工资津补贴等方面有了大幅度的提升调整，并且对2016年和2018年一些津补贴进行了补发和预发。</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）社会保障和就业支出300万元，主要用于</w:t>
      </w:r>
      <w:r>
        <w:rPr>
          <w:rFonts w:hint="eastAsia" w:ascii="仿宋" w:hAnsi="Times New Roman" w:eastAsia="仿宋" w:cs="仿宋"/>
          <w:b/>
          <w:color w:val="000000"/>
          <w:sz w:val="32"/>
          <w:szCs w:val="32"/>
        </w:rPr>
        <w:t>社会救济、低保户、优抚对象的民政事务支出。</w:t>
      </w:r>
      <w:r>
        <w:rPr>
          <w:rFonts w:hint="eastAsia" w:ascii="仿宋" w:hAnsi="Times New Roman" w:eastAsia="仿宋" w:cs="仿宋"/>
          <w:color w:val="000000"/>
          <w:sz w:val="32"/>
          <w:szCs w:val="32"/>
        </w:rPr>
        <w:t>较上年减少21.88万元，下降6.79</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，与上年基本持平。</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3</w:t>
      </w:r>
      <w:r>
        <w:rPr>
          <w:rFonts w:hint="eastAsia" w:ascii="仿宋" w:hAnsi="Times New Roman" w:eastAsia="仿宋" w:cs="仿宋"/>
          <w:color w:val="000000"/>
          <w:sz w:val="32"/>
          <w:szCs w:val="32"/>
        </w:rPr>
        <w:t>）城乡社区支出7079.5万元，主要用于</w:t>
      </w:r>
      <w:r>
        <w:rPr>
          <w:rFonts w:hint="eastAsia" w:ascii="仿宋" w:hAnsi="Times New Roman" w:eastAsia="仿宋" w:cs="仿宋"/>
          <w:b/>
          <w:color w:val="000000"/>
          <w:sz w:val="32"/>
          <w:szCs w:val="32"/>
        </w:rPr>
        <w:t>CD级危旧房改造项目</w:t>
      </w:r>
      <w:r>
        <w:rPr>
          <w:rFonts w:hint="eastAsia" w:ascii="仿宋" w:hAnsi="Times New Roman" w:eastAsia="仿宋" w:cs="仿宋"/>
          <w:color w:val="000000"/>
          <w:sz w:val="32"/>
          <w:szCs w:val="32"/>
        </w:rPr>
        <w:t>、</w:t>
      </w:r>
      <w:r>
        <w:rPr>
          <w:rFonts w:hint="eastAsia" w:ascii="仿宋" w:hAnsi="Times New Roman" w:eastAsia="仿宋" w:cs="仿宋"/>
          <w:b/>
          <w:color w:val="000000"/>
          <w:sz w:val="32"/>
          <w:szCs w:val="32"/>
        </w:rPr>
        <w:t>截污纳管工程、九村旱改水工程、各村小游园设施建设、街道四边三化维护和建设，以及打击违法建筑等各方面。</w:t>
      </w:r>
      <w:r>
        <w:rPr>
          <w:rFonts w:hint="eastAsia" w:ascii="仿宋" w:hAnsi="Times New Roman" w:eastAsia="仿宋" w:cs="仿宋"/>
          <w:color w:val="000000"/>
          <w:sz w:val="32"/>
          <w:szCs w:val="32"/>
        </w:rPr>
        <w:t>较上年增加646.89万元，增长10.06</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，主要原因是CD级危旧房整治项目为本年度新增重点项目，共支出经费为2000万元。</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4</w:t>
      </w:r>
      <w:r>
        <w:rPr>
          <w:rFonts w:hint="eastAsia" w:ascii="仿宋" w:hAnsi="Times New Roman" w:eastAsia="仿宋" w:cs="仿宋"/>
          <w:color w:val="000000"/>
          <w:sz w:val="32"/>
          <w:szCs w:val="32"/>
        </w:rPr>
        <w:t>）资源勘探信息等支出900</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万元，主要用于</w:t>
      </w:r>
      <w:r>
        <w:rPr>
          <w:rFonts w:hint="eastAsia" w:ascii="仿宋" w:hAnsi="Times New Roman" w:eastAsia="仿宋" w:cs="仿宋"/>
          <w:b/>
          <w:color w:val="000000"/>
          <w:sz w:val="32"/>
          <w:szCs w:val="32"/>
        </w:rPr>
        <w:t>标准厂房建设补助</w:t>
      </w:r>
      <w:r>
        <w:rPr>
          <w:rFonts w:ascii="仿宋" w:hAnsi="Times New Roman" w:eastAsia="仿宋" w:cs="仿宋"/>
          <w:b/>
          <w:color w:val="000000"/>
          <w:sz w:val="32"/>
          <w:szCs w:val="32"/>
        </w:rPr>
        <w:t>550</w:t>
      </w:r>
      <w:r>
        <w:rPr>
          <w:rFonts w:hint="eastAsia" w:ascii="仿宋" w:hAnsi="Times New Roman" w:eastAsia="仿宋" w:cs="仿宋"/>
          <w:b/>
          <w:color w:val="000000"/>
          <w:sz w:val="32"/>
          <w:szCs w:val="32"/>
        </w:rPr>
        <w:t>万，北段码头设施建设及安全生产整治补助等支出。</w:t>
      </w:r>
      <w:r>
        <w:rPr>
          <w:rFonts w:hint="eastAsia" w:ascii="仿宋" w:hAnsi="Times New Roman" w:eastAsia="仿宋" w:cs="仿宋"/>
          <w:color w:val="000000"/>
          <w:sz w:val="32"/>
          <w:szCs w:val="32"/>
        </w:rPr>
        <w:t>较上年减少178.94万元，下降16.6</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，主要原因，北段码头设施建设进行完工阶段，相关费用也会相应减少。</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5</w:t>
      </w:r>
      <w:r>
        <w:rPr>
          <w:rFonts w:hint="eastAsia" w:ascii="仿宋" w:hAnsi="Times New Roman" w:eastAsia="仿宋" w:cs="仿宋"/>
          <w:color w:val="000000"/>
          <w:sz w:val="32"/>
          <w:szCs w:val="32"/>
        </w:rPr>
        <w:t>）其他支出400万元，主要用于</w:t>
      </w:r>
      <w:r>
        <w:rPr>
          <w:rFonts w:hint="eastAsia" w:ascii="仿宋" w:hAnsi="Times New Roman" w:eastAsia="仿宋" w:cs="仿宋"/>
          <w:b/>
          <w:color w:val="000000"/>
          <w:sz w:val="32"/>
          <w:szCs w:val="32"/>
        </w:rPr>
        <w:t>工勤人员及代发工资人员以及机关食堂伙食支出。</w:t>
      </w:r>
      <w:r>
        <w:rPr>
          <w:rFonts w:hint="eastAsia" w:ascii="仿宋" w:hAnsi="Times New Roman" w:eastAsia="仿宋" w:cs="仿宋"/>
          <w:color w:val="000000"/>
          <w:sz w:val="32"/>
          <w:szCs w:val="32"/>
        </w:rPr>
        <w:t>较上年减少35.1万元，减少8.07</w:t>
      </w:r>
      <w:r>
        <w:rPr>
          <w:rFonts w:ascii="仿宋" w:hAnsi="Times New Roman" w:eastAsia="仿宋" w:cs="仿宋"/>
          <w:color w:val="000000"/>
          <w:sz w:val="32"/>
          <w:szCs w:val="32"/>
        </w:rPr>
        <w:t>%</w:t>
      </w:r>
      <w:r>
        <w:rPr>
          <w:rFonts w:hint="eastAsia" w:ascii="仿宋" w:hAnsi="Times New Roman" w:eastAsia="仿宋" w:cs="仿宋"/>
          <w:color w:val="000000"/>
          <w:sz w:val="32"/>
          <w:szCs w:val="32"/>
        </w:rPr>
        <w:t>，通过食堂管理机制改进，大大减少开支费用。</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（6）年末结转和结余5,231.49万元，</w:t>
      </w:r>
      <w:r>
        <w:rPr>
          <w:rFonts w:hint="eastAsia" w:ascii="仿宋" w:hAnsi="Times New Roman" w:eastAsia="仿宋" w:cs="仿宋"/>
          <w:color w:val="000000"/>
          <w:sz w:val="32"/>
          <w:szCs w:val="32"/>
        </w:rPr>
        <w:t>主要用于</w:t>
      </w:r>
      <w:r>
        <w:rPr>
          <w:rFonts w:hint="eastAsia" w:ascii="仿宋" w:hAnsi="Times New Roman" w:eastAsia="仿宋" w:cs="仿宋"/>
          <w:b/>
          <w:color w:val="000000"/>
          <w:sz w:val="32"/>
          <w:szCs w:val="32"/>
        </w:rPr>
        <w:t>支付</w:t>
      </w:r>
      <w:r>
        <w:rPr>
          <w:rFonts w:ascii="仿宋" w:hAnsi="Times New Roman" w:eastAsia="仿宋" w:cs="仿宋"/>
          <w:b/>
          <w:color w:val="000000"/>
          <w:sz w:val="32"/>
          <w:szCs w:val="32"/>
        </w:rPr>
        <w:t>201</w:t>
      </w:r>
      <w:r>
        <w:rPr>
          <w:rFonts w:hint="eastAsia" w:ascii="仿宋" w:hAnsi="Times New Roman" w:eastAsia="仿宋" w:cs="仿宋"/>
          <w:b/>
          <w:color w:val="000000"/>
          <w:sz w:val="32"/>
          <w:szCs w:val="32"/>
        </w:rPr>
        <w:t>8年</w:t>
      </w:r>
      <w:r>
        <w:rPr>
          <w:rFonts w:ascii="仿宋" w:hAnsi="Times New Roman" w:eastAsia="仿宋" w:cs="仿宋"/>
          <w:b/>
          <w:color w:val="000000"/>
          <w:sz w:val="32"/>
          <w:szCs w:val="32"/>
        </w:rPr>
        <w:t>1</w:t>
      </w:r>
      <w:r>
        <w:rPr>
          <w:rFonts w:hint="eastAsia" w:ascii="仿宋" w:hAnsi="Times New Roman" w:eastAsia="仿宋" w:cs="仿宋"/>
          <w:b/>
          <w:color w:val="000000"/>
          <w:sz w:val="32"/>
          <w:szCs w:val="32"/>
        </w:rPr>
        <w:t>月份需要支付的基建项目，如截污纳管工程、CD级危旧房改造工程、河道清淤工程、小微水体整治工程等等</w:t>
      </w:r>
      <w:r>
        <w:rPr>
          <w:rFonts w:hint="eastAsia" w:ascii="仿宋" w:hAnsi="仿宋" w:eastAsia="仿宋" w:cs="宋体"/>
          <w:kern w:val="0"/>
          <w:sz w:val="32"/>
          <w:szCs w:val="32"/>
        </w:rPr>
        <w:t>。较上年增加2,572.72万元，增长96.76%，中国惯例，年底收帐，导致年末结转和结余大大增加。</w:t>
      </w:r>
    </w:p>
    <w:p>
      <w:pPr>
        <w:widowControl/>
        <w:shd w:val="clear" w:color="auto" w:fill="FFFFFF"/>
        <w:spacing w:line="600" w:lineRule="atLeast"/>
        <w:ind w:firstLine="640"/>
        <w:rPr>
          <w:rFonts w:ascii="宋体" w:hAnsi="宋体" w:eastAsia="宋体" w:cs="宋体"/>
          <w:kern w:val="0"/>
          <w:sz w:val="24"/>
          <w:szCs w:val="24"/>
        </w:rPr>
      </w:pPr>
      <w:r>
        <w:rPr>
          <w:rFonts w:hint="eastAsia" w:ascii="楷体" w:hAnsi="楷体" w:eastAsia="楷体" w:cs="Arial"/>
          <w:b/>
          <w:bCs/>
          <w:kern w:val="0"/>
          <w:sz w:val="32"/>
          <w:szCs w:val="32"/>
        </w:rPr>
        <w:t>（二）本年收入决算情况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2017年度本年收入合计12,737.77万元，其中：财政拨款8,990.33万元，占70.58%；其他收入3,747.44万元，占29.42%。</w:t>
      </w:r>
      <w:r>
        <w:rPr>
          <w:rFonts w:hint="eastAsia" w:ascii="仿宋" w:hAnsi="Times New Roman" w:eastAsia="仿宋" w:cs="仿宋"/>
          <w:color w:val="000000"/>
          <w:sz w:val="32"/>
          <w:szCs w:val="32"/>
        </w:rPr>
        <w:t>本单位属于行政机关性质，名下无营业性质的产业，资金来源基本来自于财政拨款。</w:t>
      </w:r>
    </w:p>
    <w:p>
      <w:pPr>
        <w:widowControl/>
        <w:shd w:val="clear" w:color="auto" w:fill="FFFFFF"/>
        <w:spacing w:line="600" w:lineRule="atLeast"/>
        <w:ind w:firstLine="640"/>
        <w:rPr>
          <w:rFonts w:ascii="宋体" w:hAnsi="宋体" w:eastAsia="宋体" w:cs="宋体"/>
          <w:kern w:val="0"/>
          <w:sz w:val="24"/>
          <w:szCs w:val="24"/>
        </w:rPr>
      </w:pPr>
      <w:r>
        <w:rPr>
          <w:rFonts w:hint="eastAsia" w:ascii="楷体" w:hAnsi="楷体" w:eastAsia="楷体" w:cs="Arial"/>
          <w:b/>
          <w:bCs/>
          <w:kern w:val="0"/>
          <w:sz w:val="32"/>
          <w:szCs w:val="32"/>
        </w:rPr>
        <w:t>（三）本年支出决算情况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2017年度本年支出合计10,165.06万元，其中：基本支出1,364.73万元，占13.43%；项目支出8,800.33万元，占86.57%。</w:t>
      </w:r>
    </w:p>
    <w:p>
      <w:pPr>
        <w:widowControl/>
        <w:shd w:val="clear" w:color="auto" w:fill="FFFFFF"/>
        <w:spacing w:line="600" w:lineRule="atLeast"/>
        <w:ind w:firstLine="640"/>
        <w:rPr>
          <w:rFonts w:ascii="宋体" w:hAnsi="宋体" w:eastAsia="宋体" w:cs="宋体"/>
          <w:kern w:val="0"/>
          <w:sz w:val="24"/>
          <w:szCs w:val="24"/>
        </w:rPr>
      </w:pPr>
      <w:r>
        <w:rPr>
          <w:rFonts w:hint="eastAsia" w:ascii="楷体" w:hAnsi="楷体" w:eastAsia="楷体" w:cs="Arial"/>
          <w:b/>
          <w:bCs/>
          <w:kern w:val="0"/>
          <w:sz w:val="32"/>
          <w:szCs w:val="32"/>
        </w:rPr>
        <w:t>（四）财政拨款收入支出决算情况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2017年度财政拨款收入总计8,990.33万元，支出总计8,990.33万元，与上年相比，财政拨款收、支总计各减-384.41万元，下降-4.10%，主要原因是2016年前投入的一些基建进入完工审价状态，导致财政拨款减少。</w:t>
      </w:r>
    </w:p>
    <w:p>
      <w:pPr>
        <w:widowControl/>
        <w:shd w:val="clear" w:color="auto" w:fill="FFFFFF"/>
        <w:spacing w:line="600" w:lineRule="atLeast"/>
        <w:ind w:firstLine="640"/>
        <w:rPr>
          <w:rFonts w:ascii="楷体" w:hAnsi="楷体" w:eastAsia="楷体" w:cs="Arial"/>
          <w:b/>
          <w:bCs/>
          <w:kern w:val="0"/>
          <w:sz w:val="32"/>
          <w:szCs w:val="32"/>
        </w:rPr>
      </w:pPr>
      <w:r>
        <w:rPr>
          <w:rFonts w:hint="eastAsia" w:ascii="楷体" w:hAnsi="楷体" w:eastAsia="楷体" w:cs="Arial"/>
          <w:b/>
          <w:bCs/>
          <w:kern w:val="0"/>
          <w:sz w:val="32"/>
          <w:szCs w:val="32"/>
        </w:rPr>
        <w:t>（五）一般公共预算财政拨款支出情况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2017年度部门决算一般公共预算财政拨款支出决算4,490.33万元，比年初预算增加0万元，增长0%。具体情况如下：</w:t>
      </w:r>
    </w:p>
    <w:p>
      <w:pPr>
        <w:autoSpaceDE w:val="0"/>
        <w:autoSpaceDN w:val="0"/>
        <w:adjustRightInd w:val="0"/>
        <w:spacing w:line="560" w:lineRule="exact"/>
        <w:ind w:firstLine="644"/>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．一般公共服务支出政府办公室及机关机构事务行政运行事务支出548万，</w:t>
      </w:r>
      <w:r>
        <w:rPr>
          <w:rFonts w:hint="eastAsia" w:ascii="仿宋" w:hAnsi="仿宋" w:eastAsia="仿宋" w:cs="宋体"/>
          <w:kern w:val="0"/>
          <w:sz w:val="32"/>
          <w:szCs w:val="32"/>
        </w:rPr>
        <w:t>比年初预算增加0万元，增长0%。</w:t>
      </w:r>
      <w:r>
        <w:rPr>
          <w:rFonts w:hint="eastAsia" w:ascii="仿宋" w:hAnsi="Times New Roman" w:eastAsia="仿宋" w:cs="仿宋"/>
          <w:color w:val="000000"/>
          <w:sz w:val="32"/>
          <w:szCs w:val="32"/>
        </w:rPr>
        <w:t>主要是用于公务人员的工资支出以及日常办公事务支出。</w:t>
      </w:r>
    </w:p>
    <w:p>
      <w:pPr>
        <w:autoSpaceDE w:val="0"/>
        <w:autoSpaceDN w:val="0"/>
        <w:adjustRightInd w:val="0"/>
        <w:spacing w:line="560" w:lineRule="exact"/>
        <w:ind w:firstLine="644"/>
        <w:rPr>
          <w:rFonts w:ascii="仿宋" w:hAnsi="仿宋" w:eastAsia="仿宋" w:cs="宋体"/>
          <w:kern w:val="0"/>
          <w:sz w:val="32"/>
          <w:szCs w:val="32"/>
        </w:rPr>
      </w:pPr>
      <w:r>
        <w:rPr>
          <w:rFonts w:hint="eastAsia" w:ascii="仿宋" w:hAnsi="Times New Roman" w:eastAsia="仿宋" w:cs="仿宋"/>
          <w:color w:val="000000"/>
          <w:sz w:val="32"/>
          <w:szCs w:val="32"/>
        </w:rPr>
        <w:t>2、教育支出教育管理事务一般行政管理事务支出131.26万元，</w:t>
      </w:r>
      <w:r>
        <w:rPr>
          <w:rFonts w:hint="eastAsia" w:ascii="仿宋" w:hAnsi="仿宋" w:eastAsia="仿宋" w:cs="宋体"/>
          <w:kern w:val="0"/>
          <w:sz w:val="32"/>
          <w:szCs w:val="32"/>
        </w:rPr>
        <w:t>比年初预算增加0万元，增长0%。主要是用于辖区内各中小学校教育事业的投入和建设。</w:t>
      </w:r>
    </w:p>
    <w:p>
      <w:pPr>
        <w:autoSpaceDE w:val="0"/>
        <w:autoSpaceDN w:val="0"/>
        <w:adjustRightInd w:val="0"/>
        <w:spacing w:line="560" w:lineRule="exact"/>
        <w:ind w:firstLine="644"/>
        <w:rPr>
          <w:rFonts w:ascii="仿宋" w:hAnsi="Times New Roman" w:eastAsia="仿宋" w:cs="仿宋"/>
          <w:color w:val="000000"/>
          <w:sz w:val="32"/>
          <w:szCs w:val="32"/>
        </w:rPr>
      </w:pPr>
      <w:r>
        <w:rPr>
          <w:rFonts w:hint="eastAsia" w:ascii="仿宋" w:hAnsi="仿宋" w:eastAsia="仿宋" w:cs="宋体"/>
          <w:kern w:val="0"/>
          <w:sz w:val="32"/>
          <w:szCs w:val="32"/>
        </w:rPr>
        <w:t>3、文化体育与传媒支出文化行政运行事务支出50万元，比年初预算增加0万元，增长0%。</w:t>
      </w:r>
      <w:r>
        <w:rPr>
          <w:rFonts w:hint="eastAsia" w:ascii="仿宋" w:hAnsi="Times New Roman" w:eastAsia="仿宋" w:cs="仿宋"/>
          <w:color w:val="000000"/>
          <w:sz w:val="32"/>
          <w:szCs w:val="32"/>
        </w:rPr>
        <w:t>主要用于文化事务和图书馆日常运行支出。</w:t>
      </w:r>
    </w:p>
    <w:p>
      <w:pPr>
        <w:autoSpaceDE w:val="0"/>
        <w:autoSpaceDN w:val="0"/>
        <w:adjustRightInd w:val="0"/>
        <w:spacing w:line="560" w:lineRule="exact"/>
        <w:ind w:firstLine="644"/>
        <w:rPr>
          <w:rFonts w:ascii="仿宋" w:hAnsi="仿宋" w:eastAsia="仿宋" w:cs="宋体"/>
          <w:kern w:val="0"/>
          <w:sz w:val="32"/>
          <w:szCs w:val="32"/>
        </w:rPr>
      </w:pPr>
      <w:r>
        <w:rPr>
          <w:rFonts w:hint="eastAsia" w:ascii="仿宋" w:hAnsi="Times New Roman" w:eastAsia="仿宋" w:cs="仿宋"/>
          <w:color w:val="000000"/>
          <w:sz w:val="32"/>
          <w:szCs w:val="32"/>
        </w:rPr>
        <w:t>4．社会保障和就业支出人力资源和社会保障管理事务行政运行支出81万，社会保障和就业支出人力资源和社会保障管理事务一般行政管理事务支出60万元，社会保障和就业支出行政事业单位离退休归口管理的行政单位离退休事务支出59万，社会保障和就业支出抚恤在乡复员、退伍军人生活补助事务支出</w:t>
      </w:r>
      <w:r>
        <w:rPr>
          <w:rFonts w:ascii="仿宋" w:hAnsi="Times New Roman" w:eastAsia="仿宋" w:cs="仿宋"/>
          <w:color w:val="000000"/>
          <w:sz w:val="32"/>
          <w:szCs w:val="32"/>
        </w:rPr>
        <w:t>22</w:t>
      </w:r>
      <w:r>
        <w:rPr>
          <w:rFonts w:hint="eastAsia" w:ascii="仿宋" w:hAnsi="Times New Roman" w:eastAsia="仿宋" w:cs="仿宋"/>
          <w:color w:val="000000"/>
          <w:sz w:val="32"/>
          <w:szCs w:val="32"/>
        </w:rPr>
        <w:t>万元，社会保障和就业支出最低生活保障城市最低生活保障金支出46万元，社会保障和就业支出人力资源和社会保障管理事务其他生活补助其他农村生活救助</w:t>
      </w:r>
      <w:r>
        <w:rPr>
          <w:rFonts w:ascii="仿宋" w:hAnsi="Times New Roman" w:eastAsia="仿宋" w:cs="仿宋"/>
          <w:color w:val="000000"/>
          <w:sz w:val="32"/>
          <w:szCs w:val="32"/>
        </w:rPr>
        <w:t>32</w:t>
      </w:r>
      <w:r>
        <w:rPr>
          <w:rFonts w:hint="eastAsia" w:ascii="仿宋" w:hAnsi="Times New Roman" w:eastAsia="仿宋" w:cs="仿宋"/>
          <w:color w:val="000000"/>
          <w:sz w:val="32"/>
          <w:szCs w:val="32"/>
        </w:rPr>
        <w:t>万元。</w:t>
      </w:r>
      <w:r>
        <w:rPr>
          <w:rFonts w:hint="eastAsia" w:ascii="仿宋" w:hAnsi="仿宋" w:eastAsia="仿宋" w:cs="宋体"/>
          <w:kern w:val="0"/>
          <w:sz w:val="32"/>
          <w:szCs w:val="32"/>
        </w:rPr>
        <w:t>比年初预算增加0万元，增长0%。主要用于社会保障和就业等方面的补助支出。</w:t>
      </w:r>
    </w:p>
    <w:p>
      <w:pPr>
        <w:autoSpaceDE w:val="0"/>
        <w:autoSpaceDN w:val="0"/>
        <w:adjustRightInd w:val="0"/>
        <w:spacing w:line="560" w:lineRule="exact"/>
        <w:ind w:firstLine="644"/>
        <w:rPr>
          <w:rFonts w:ascii="仿宋" w:hAnsi="仿宋" w:eastAsia="仿宋" w:cs="宋体"/>
          <w:kern w:val="0"/>
          <w:sz w:val="32"/>
          <w:szCs w:val="32"/>
        </w:rPr>
      </w:pPr>
      <w:r>
        <w:rPr>
          <w:rFonts w:hint="eastAsia" w:ascii="仿宋" w:hAnsi="仿宋" w:eastAsia="仿宋" w:cs="宋体"/>
          <w:kern w:val="0"/>
          <w:sz w:val="32"/>
          <w:szCs w:val="32"/>
        </w:rPr>
        <w:t>5、医疗卫生与计划生育支出基层医疗卫生机构乡镇卫生院事务支出39.5万元，医疗卫生与计划生育支出行政事业单位单位医疗行政单位医疗50万，比年初预算增加0万元，增长0%。主要用于卫生院建设和机关人员医疗费支出。</w:t>
      </w:r>
    </w:p>
    <w:p>
      <w:pPr>
        <w:autoSpaceDE w:val="0"/>
        <w:autoSpaceDN w:val="0"/>
        <w:adjustRightInd w:val="0"/>
        <w:spacing w:line="560" w:lineRule="exact"/>
        <w:ind w:firstLine="644"/>
        <w:rPr>
          <w:rFonts w:ascii="仿宋" w:hAnsi="仿宋" w:eastAsia="仿宋" w:cs="宋体"/>
          <w:kern w:val="0"/>
          <w:sz w:val="32"/>
          <w:szCs w:val="32"/>
        </w:rPr>
      </w:pPr>
      <w:r>
        <w:rPr>
          <w:rFonts w:hint="eastAsia" w:ascii="仿宋" w:hAnsi="仿宋" w:eastAsia="仿宋" w:cs="宋体"/>
          <w:kern w:val="0"/>
          <w:sz w:val="32"/>
          <w:szCs w:val="32"/>
        </w:rPr>
        <w:t>6、节能环保支出环境保护管理事务一般行政管理事务支出100万元，比年初预算增加0万元，增长0%。主要用于环境整治和保护支出。</w:t>
      </w:r>
    </w:p>
    <w:p>
      <w:pPr>
        <w:autoSpaceDE w:val="0"/>
        <w:autoSpaceDN w:val="0"/>
        <w:adjustRightInd w:val="0"/>
        <w:spacing w:line="560" w:lineRule="exact"/>
        <w:ind w:firstLine="644"/>
        <w:rPr>
          <w:rFonts w:ascii="仿宋" w:hAnsi="Times New Roman" w:eastAsia="仿宋" w:cs="仿宋"/>
          <w:color w:val="000000"/>
          <w:sz w:val="32"/>
          <w:szCs w:val="32"/>
        </w:rPr>
      </w:pPr>
      <w:r>
        <w:rPr>
          <w:rFonts w:hint="eastAsia" w:ascii="仿宋" w:hAnsi="Times New Roman" w:eastAsia="仿宋" w:cs="仿宋"/>
          <w:color w:val="000000"/>
          <w:sz w:val="32"/>
          <w:szCs w:val="32"/>
        </w:rPr>
        <w:t>7．城乡社区支出城乡社会管理事务行政运行经费事务支出120万元，，城乡社区支出城乡社会管理事务一般行政管理事务485万元，城乡社区支出城乡社会管理事务其他城乡社区支出其他城乡社区支出1148.5万。</w:t>
      </w:r>
      <w:r>
        <w:rPr>
          <w:rFonts w:hint="eastAsia" w:ascii="仿宋" w:hAnsi="仿宋" w:eastAsia="仿宋" w:cs="宋体"/>
          <w:kern w:val="0"/>
          <w:sz w:val="32"/>
          <w:szCs w:val="32"/>
        </w:rPr>
        <w:t>比年初预算增加0万元，增长0%。主要用于社区建设和管理维护。</w:t>
      </w:r>
    </w:p>
    <w:p>
      <w:pPr>
        <w:autoSpaceDE w:val="0"/>
        <w:autoSpaceDN w:val="0"/>
        <w:adjustRightInd w:val="0"/>
        <w:spacing w:line="560" w:lineRule="exact"/>
        <w:ind w:firstLine="644"/>
        <w:rPr>
          <w:rFonts w:ascii="仿宋" w:hAnsi="仿宋" w:eastAsia="仿宋" w:cs="宋体"/>
          <w:kern w:val="0"/>
          <w:sz w:val="32"/>
          <w:szCs w:val="32"/>
        </w:rPr>
      </w:pPr>
      <w:r>
        <w:rPr>
          <w:rFonts w:hint="eastAsia" w:ascii="仿宋" w:hAnsi="Times New Roman" w:eastAsia="仿宋" w:cs="仿宋"/>
          <w:color w:val="000000"/>
          <w:sz w:val="32"/>
          <w:szCs w:val="32"/>
        </w:rPr>
        <w:t>8、农林水支出农业行政运行经费40万元，农林水支出农业一般行政管理事务99.33万元，农林水支出农业其他农业支出7.3万元。农林水支出林业行政运行经费30万元，农林水支出水利行政运行经费30万元，</w:t>
      </w:r>
      <w:r>
        <w:rPr>
          <w:rFonts w:hint="eastAsia" w:ascii="仿宋" w:hAnsi="仿宋" w:eastAsia="仿宋" w:cs="宋体"/>
          <w:kern w:val="0"/>
          <w:sz w:val="32"/>
          <w:szCs w:val="32"/>
        </w:rPr>
        <w:t>比年初预算增加0万元，增长0%。主要用于农业、林业和水利建设事务。</w:t>
      </w:r>
    </w:p>
    <w:p>
      <w:pPr>
        <w:autoSpaceDE w:val="0"/>
        <w:autoSpaceDN w:val="0"/>
        <w:adjustRightInd w:val="0"/>
        <w:spacing w:line="560" w:lineRule="exact"/>
        <w:ind w:firstLine="644"/>
        <w:rPr>
          <w:rFonts w:ascii="仿宋" w:hAnsi="Times New Roman" w:eastAsia="仿宋" w:cs="仿宋"/>
          <w:color w:val="000000"/>
          <w:sz w:val="32"/>
          <w:szCs w:val="32"/>
        </w:rPr>
      </w:pPr>
      <w:r>
        <w:rPr>
          <w:rFonts w:hint="eastAsia" w:ascii="仿宋" w:hAnsi="Times New Roman" w:eastAsia="仿宋" w:cs="仿宋"/>
          <w:color w:val="000000"/>
          <w:sz w:val="32"/>
          <w:szCs w:val="32"/>
        </w:rPr>
        <w:t>9、交通运输支出成品油价改革对交通运输的补贴对农村道路客运的补贴11.44万元，</w:t>
      </w:r>
      <w:r>
        <w:rPr>
          <w:rFonts w:hint="eastAsia" w:ascii="仿宋" w:hAnsi="仿宋" w:eastAsia="仿宋" w:cs="宋体"/>
          <w:kern w:val="0"/>
          <w:sz w:val="32"/>
          <w:szCs w:val="32"/>
        </w:rPr>
        <w:t>比年初预算增加0万元，增长0%。</w:t>
      </w:r>
      <w:r>
        <w:rPr>
          <w:rFonts w:hint="eastAsia" w:ascii="仿宋" w:hAnsi="Times New Roman" w:eastAsia="仿宋" w:cs="仿宋"/>
          <w:color w:val="000000"/>
          <w:sz w:val="32"/>
          <w:szCs w:val="32"/>
        </w:rPr>
        <w:t>主要用于北段码头油轮油价补贴。</w:t>
      </w:r>
    </w:p>
    <w:p>
      <w:pPr>
        <w:autoSpaceDE w:val="0"/>
        <w:autoSpaceDN w:val="0"/>
        <w:adjustRightInd w:val="0"/>
        <w:spacing w:line="560" w:lineRule="exact"/>
        <w:ind w:firstLine="644"/>
        <w:rPr>
          <w:rFonts w:ascii="仿宋" w:hAnsi="Times New Roman" w:eastAsia="仿宋" w:cs="仿宋"/>
          <w:color w:val="000000"/>
          <w:sz w:val="32"/>
          <w:szCs w:val="32"/>
        </w:rPr>
      </w:pPr>
      <w:r>
        <w:rPr>
          <w:rFonts w:hint="eastAsia" w:ascii="仿宋" w:hAnsi="Times New Roman" w:eastAsia="仿宋" w:cs="仿宋"/>
          <w:color w:val="000000"/>
          <w:sz w:val="32"/>
          <w:szCs w:val="32"/>
        </w:rPr>
        <w:t>10、资源勘探信息等支出安全生产行政运行支出58万元，资源勘探信息等支出安全生产其他安全生产监管支出42万元，资源勘探信息等支出其他资源勘探电力信息等支出其他资源勘探信息等支出800万元。</w:t>
      </w:r>
      <w:r>
        <w:rPr>
          <w:rFonts w:hint="eastAsia" w:ascii="仿宋" w:hAnsi="仿宋" w:eastAsia="仿宋" w:cs="宋体"/>
          <w:kern w:val="0"/>
          <w:sz w:val="32"/>
          <w:szCs w:val="32"/>
        </w:rPr>
        <w:t>比年初预算增加0万元，增长0%。主要用于生产安全事务的建设和管理。</w:t>
      </w:r>
    </w:p>
    <w:p>
      <w:pPr>
        <w:autoSpaceDE w:val="0"/>
        <w:autoSpaceDN w:val="0"/>
        <w:adjustRightInd w:val="0"/>
        <w:spacing w:line="560" w:lineRule="exact"/>
        <w:ind w:firstLine="644"/>
        <w:rPr>
          <w:rFonts w:ascii="仿宋" w:hAnsi="Times New Roman" w:eastAsia="仿宋" w:cs="仿宋"/>
          <w:color w:val="000000"/>
          <w:sz w:val="32"/>
          <w:szCs w:val="32"/>
        </w:rPr>
      </w:pPr>
      <w:r>
        <w:rPr>
          <w:rFonts w:hint="eastAsia" w:ascii="仿宋" w:hAnsi="Times New Roman" w:eastAsia="仿宋" w:cs="仿宋"/>
          <w:color w:val="000000"/>
          <w:sz w:val="32"/>
          <w:szCs w:val="32"/>
        </w:rPr>
        <w:t>11、其他支出其他支出其他支出400万元，</w:t>
      </w:r>
      <w:r>
        <w:rPr>
          <w:rFonts w:hint="eastAsia" w:ascii="仿宋" w:hAnsi="仿宋" w:eastAsia="仿宋" w:cs="宋体"/>
          <w:kern w:val="0"/>
          <w:sz w:val="32"/>
          <w:szCs w:val="32"/>
        </w:rPr>
        <w:t>比年初预算增加0万元，增长0%。</w:t>
      </w:r>
      <w:r>
        <w:rPr>
          <w:rFonts w:hint="eastAsia" w:ascii="仿宋" w:hAnsi="Times New Roman" w:eastAsia="仿宋" w:cs="仿宋"/>
          <w:color w:val="000000"/>
          <w:sz w:val="32"/>
          <w:szCs w:val="32"/>
        </w:rPr>
        <w:t>主要用于工勤人员及其他人员工资福利以及机关食堂伙食等。</w:t>
      </w:r>
    </w:p>
    <w:p>
      <w:pPr>
        <w:widowControl/>
        <w:shd w:val="clear" w:color="auto" w:fill="FFFFFF"/>
        <w:spacing w:line="600" w:lineRule="atLeast"/>
        <w:ind w:firstLine="640"/>
        <w:rPr>
          <w:rFonts w:ascii="楷体" w:hAnsi="楷体" w:eastAsia="楷体" w:cs="Arial"/>
          <w:b/>
          <w:bCs/>
          <w:kern w:val="0"/>
          <w:sz w:val="32"/>
          <w:szCs w:val="32"/>
        </w:rPr>
      </w:pPr>
      <w:r>
        <w:rPr>
          <w:rFonts w:hint="eastAsia" w:ascii="楷体" w:hAnsi="楷体" w:eastAsia="楷体" w:cs="Arial"/>
          <w:b/>
          <w:bCs/>
          <w:kern w:val="0"/>
          <w:sz w:val="32"/>
          <w:szCs w:val="32"/>
        </w:rPr>
        <w:t>（六）一般公共预算财政拨款基本支出情况</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仿宋" w:eastAsia="仿宋" w:cs="宋体"/>
          <w:kern w:val="0"/>
          <w:sz w:val="32"/>
          <w:szCs w:val="32"/>
        </w:rPr>
        <w:t>2017年度度一般公共预算财政拨款基本支出1,016.00万元。其中：人员经费937.00万元，</w:t>
      </w:r>
      <w:r>
        <w:rPr>
          <w:rFonts w:hint="eastAsia" w:ascii="仿宋" w:hAnsi="Times New Roman" w:eastAsia="仿宋" w:cs="仿宋"/>
          <w:color w:val="000000"/>
          <w:sz w:val="32"/>
          <w:szCs w:val="32"/>
        </w:rPr>
        <w:t>包括工资福利支出861.47万元，对个人和家庭的补助支出75.53万元；</w:t>
      </w:r>
      <w:r>
        <w:rPr>
          <w:rFonts w:hint="eastAsia" w:ascii="仿宋" w:hAnsi="仿宋" w:eastAsia="仿宋" w:cs="宋体"/>
          <w:kern w:val="0"/>
          <w:sz w:val="32"/>
          <w:szCs w:val="32"/>
        </w:rPr>
        <w:t>公用经费79.00万元，包括</w:t>
      </w:r>
      <w:r>
        <w:rPr>
          <w:rFonts w:hint="eastAsia" w:ascii="仿宋" w:hAnsi="Times New Roman" w:eastAsia="仿宋" w:cs="仿宋"/>
          <w:color w:val="000000"/>
          <w:sz w:val="32"/>
          <w:szCs w:val="32"/>
        </w:rPr>
        <w:t>商品和服务支出74.68万元，其他资本支出4.32万元。商品和服务支出其中：办公费4.81万元，印刷费5.13万元，公务用车运行维护费7.96万元，水电费支出19.03万元，劳务费12.12万元。</w:t>
      </w:r>
    </w:p>
    <w:p>
      <w:pPr>
        <w:widowControl/>
        <w:shd w:val="clear" w:color="auto" w:fill="FFFFFF"/>
        <w:spacing w:line="600" w:lineRule="atLeast"/>
        <w:ind w:firstLine="640"/>
        <w:rPr>
          <w:rFonts w:ascii="楷体" w:hAnsi="楷体" w:eastAsia="楷体" w:cs="Arial"/>
          <w:b/>
          <w:bCs/>
          <w:kern w:val="0"/>
          <w:sz w:val="32"/>
          <w:szCs w:val="32"/>
        </w:rPr>
      </w:pPr>
      <w:r>
        <w:rPr>
          <w:rFonts w:hint="eastAsia" w:ascii="楷体" w:hAnsi="楷体" w:eastAsia="楷体" w:cs="Arial"/>
          <w:b/>
          <w:bCs/>
          <w:kern w:val="0"/>
          <w:sz w:val="32"/>
          <w:szCs w:val="32"/>
        </w:rPr>
        <w:t>（七）政府性基金预算财政拨款收入支出情况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2017年度政府性基金预算年初结转0万元，本年收入4,500.00万元，本年支出4,500.00万元，年末结转0万元。支出具体情况如下：</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1．城乡社区支出国有土地使用权出让收入及对应专项债务收入安排的支出征地和拆迁补偿支出2000万元。比年初预算增加0 万元，增长0 %。主要用于CD级危旧房整治项目。</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2．城乡社区支出国有土地使用权出让收入及对应专项债务收入安排的支出土地开发支出1000万元。比年初预算增加0 万元，增长0 %。主要用于九村旱改水项目支出。</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3．城乡社区支出国有土地使用权出让收入及对应专项债务收入安排的支出农村基础设施建设支出1000万元。比年初预算增加0 万元，增长0 %。主要用于截污纳管工程。</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4、城乡社区支出国有土地使用权出让收入及对应专项债务收入安排的支出其他国有土地使用权出让安排的支出500万元。比年初预算增加0 万元，增长0 %。主要用于灵昆中学改扩建工程。</w:t>
      </w:r>
    </w:p>
    <w:p>
      <w:pPr>
        <w:widowControl/>
        <w:shd w:val="clear" w:color="auto" w:fill="FFFFFF"/>
        <w:spacing w:line="600" w:lineRule="atLeast"/>
        <w:ind w:firstLine="640"/>
        <w:rPr>
          <w:rFonts w:ascii="楷体" w:hAnsi="楷体" w:eastAsia="楷体" w:cs="Arial"/>
          <w:b/>
          <w:bCs/>
          <w:kern w:val="0"/>
          <w:sz w:val="32"/>
          <w:szCs w:val="32"/>
        </w:rPr>
      </w:pPr>
      <w:r>
        <w:rPr>
          <w:rFonts w:hint="eastAsia" w:ascii="楷体" w:hAnsi="楷体" w:eastAsia="楷体" w:cs="Arial"/>
          <w:b/>
          <w:bCs/>
          <w:kern w:val="0"/>
          <w:sz w:val="32"/>
          <w:szCs w:val="32"/>
        </w:rPr>
        <w:t>（八）一般公共预算 “三公”经费决算情况</w:t>
      </w:r>
    </w:p>
    <w:p>
      <w:pPr>
        <w:autoSpaceDE w:val="0"/>
        <w:autoSpaceDN w:val="0"/>
        <w:adjustRightInd w:val="0"/>
        <w:spacing w:line="560" w:lineRule="exact"/>
        <w:ind w:firstLine="600"/>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2017年度一般公共预算财政拨款“三公经费</w:t>
      </w:r>
      <w:r>
        <w:rPr>
          <w:rFonts w:ascii="仿宋" w:hAnsi="Times New Roman" w:eastAsia="仿宋" w:cs="仿宋"/>
          <w:color w:val="000000"/>
          <w:sz w:val="32"/>
          <w:szCs w:val="32"/>
        </w:rPr>
        <w:t>”</w:t>
      </w:r>
      <w:r>
        <w:rPr>
          <w:rFonts w:hint="eastAsia" w:ascii="仿宋" w:hAnsi="Times New Roman" w:eastAsia="仿宋" w:cs="仿宋"/>
          <w:color w:val="000000"/>
          <w:sz w:val="32"/>
          <w:szCs w:val="32"/>
        </w:rPr>
        <w:t>支出8.25万元，比年初预算减少1.75万元，下降17.5%，主要原因是因要执行公车改革制度和同城不接待制度，相应减少预算，比上年决算数减少8.89万元，下降51.87%，主要原因是严格执行了公车改革制度和同城不接待制度。</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ascii="仿宋" w:hAnsi="Times New Roman" w:eastAsia="仿宋" w:cs="仿宋"/>
          <w:kern w:val="0"/>
          <w:sz w:val="32"/>
          <w:szCs w:val="32"/>
        </w:rPr>
        <w:t xml:space="preserve"> 201</w:t>
      </w:r>
      <w:r>
        <w:rPr>
          <w:rFonts w:hint="eastAsia" w:ascii="仿宋" w:hAnsi="Times New Roman" w:eastAsia="仿宋" w:cs="仿宋"/>
          <w:kern w:val="0"/>
          <w:sz w:val="32"/>
          <w:szCs w:val="32"/>
        </w:rPr>
        <w:t>7年度因公出国（境）支出</w:t>
      </w:r>
      <w:r>
        <w:rPr>
          <w:rFonts w:ascii="仿宋" w:hAnsi="Times New Roman" w:eastAsia="仿宋" w:cs="仿宋"/>
          <w:sz w:val="30"/>
          <w:szCs w:val="30"/>
          <w:lang w:val="zh-CN"/>
        </w:rPr>
        <w:t>0</w:t>
      </w:r>
      <w:r>
        <w:rPr>
          <w:rFonts w:hint="eastAsia" w:ascii="仿宋" w:hAnsi="Times New Roman" w:eastAsia="仿宋" w:cs="仿宋"/>
          <w:kern w:val="0"/>
          <w:sz w:val="32"/>
          <w:szCs w:val="32"/>
        </w:rPr>
        <w:t>元，年初预算为0元，上年支出0元。</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2.公务接待费：2017年度一般公共预算财政拨款公务接待费支出 0.29万元，比年初预算减少0.71万元，下降70.81%，。比上年决算数减少0.58万元，下降66.42%，主要原因严格实施公务接待有关规定，响应同城不接待政策。公务接待费主要用于接待军分区人武部调研等支出。其中，本部门国内公务接待3批次，50人次，支出0.29万元；国（境）外事接待0批次，0人次，支出0万元。</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3.公务用车购置及运行维护费：2017年度一般公共预算财政拨款公务用车购置及运行维护费支出7.96万元，比年初预算减少1.04万元，下降11.56%；比上年决算数减少8.31万元，下降51.08%。实行了公车改革制度，严格按照公车使用要求执行，厉行节约。具体内容如下：</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公务用车购置支出0万元（含购置税等附加费用），主要用于经批准购置的0辆公务用车。</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公务用车运行维护费支出7.96万元，主要用于2辆公车所需的公务用车燃料费、维修费、过路过桥费、保险费、安全奖励费用等支出。2017年度，本级及所属单位使用一般公共预算资金开支费用的公务用车保有量为2辆。</w:t>
      </w:r>
    </w:p>
    <w:p>
      <w:pPr>
        <w:widowControl/>
        <w:shd w:val="clear" w:color="auto" w:fill="FFFFFF"/>
        <w:spacing w:line="600" w:lineRule="atLeast"/>
        <w:ind w:firstLine="640"/>
        <w:rPr>
          <w:rFonts w:ascii="宋体" w:hAnsi="宋体" w:eastAsia="宋体" w:cs="宋体"/>
          <w:kern w:val="0"/>
          <w:sz w:val="24"/>
          <w:szCs w:val="24"/>
        </w:rPr>
      </w:pPr>
      <w:r>
        <w:rPr>
          <w:rFonts w:hint="eastAsia" w:ascii="楷体" w:hAnsi="楷体" w:eastAsia="楷体" w:cs="Arial"/>
          <w:b/>
          <w:bCs/>
          <w:kern w:val="0"/>
          <w:sz w:val="32"/>
          <w:szCs w:val="32"/>
        </w:rPr>
        <w:t xml:space="preserve">（九）其他重要事项情况说明 </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1、机关运行经费支出情况</w:t>
      </w:r>
    </w:p>
    <w:p>
      <w:pPr>
        <w:widowControl/>
        <w:shd w:val="clear" w:color="auto" w:fill="FFFFFF"/>
        <w:spacing w:line="600" w:lineRule="atLeast"/>
        <w:ind w:firstLine="640"/>
        <w:rPr>
          <w:rFonts w:ascii="仿宋" w:hAnsi="Times New Roman" w:eastAsia="仿宋" w:cs="仿宋"/>
          <w:kern w:val="0"/>
          <w:sz w:val="32"/>
          <w:szCs w:val="32"/>
        </w:rPr>
      </w:pPr>
      <w:r>
        <w:rPr>
          <w:rFonts w:ascii="仿宋" w:hAnsi="Times New Roman" w:eastAsia="仿宋" w:cs="仿宋"/>
          <w:kern w:val="0"/>
          <w:sz w:val="32"/>
          <w:szCs w:val="32"/>
        </w:rPr>
        <w:t>201</w:t>
      </w:r>
      <w:r>
        <w:rPr>
          <w:rFonts w:hint="eastAsia" w:ascii="仿宋" w:hAnsi="Times New Roman" w:eastAsia="仿宋" w:cs="仿宋"/>
          <w:kern w:val="0"/>
          <w:sz w:val="32"/>
          <w:szCs w:val="32"/>
        </w:rPr>
        <w:t>7年度灵昆街道</w:t>
      </w:r>
      <w:r>
        <w:rPr>
          <w:rFonts w:hint="eastAsia" w:ascii="仿宋" w:eastAsia="仿宋" w:cs="仿宋"/>
          <w:kern w:val="0"/>
          <w:sz w:val="32"/>
          <w:szCs w:val="32"/>
        </w:rPr>
        <w:t>机关</w:t>
      </w:r>
      <w:r>
        <w:rPr>
          <w:rFonts w:hint="eastAsia" w:ascii="仿宋" w:hAnsi="Times New Roman" w:eastAsia="仿宋" w:cs="仿宋"/>
          <w:kern w:val="0"/>
          <w:sz w:val="32"/>
          <w:szCs w:val="32"/>
        </w:rPr>
        <w:t>运行经费支出79万元，</w:t>
      </w:r>
      <w:r>
        <w:rPr>
          <w:rFonts w:hint="eastAsia" w:ascii="仿宋" w:hAnsi="仿宋" w:eastAsia="仿宋" w:cs="宋体"/>
          <w:kern w:val="0"/>
          <w:sz w:val="32"/>
          <w:szCs w:val="32"/>
        </w:rPr>
        <w:t>比上年增加0.28万元，增长0.36%，</w:t>
      </w:r>
      <w:r>
        <w:rPr>
          <w:rFonts w:hint="eastAsia" w:ascii="仿宋" w:hAnsi="Times New Roman" w:eastAsia="仿宋" w:cs="仿宋"/>
          <w:kern w:val="0"/>
          <w:sz w:val="32"/>
          <w:szCs w:val="32"/>
        </w:rPr>
        <w:t>主要原因是村级网格员的招聘，相应的办公设备如电脑打印机等购置增加，较大部分应年限到办公设备</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2、政府采购情况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2017年度灵昆街道办事处政府采购预算910万元，采购支出总额910万元。其中：货物采购支出1.24 万元；工程采购支出 255.7万元；服务采购支出632.79万元。授予中小企业合同金额 910万元，占政府采购支出总额100 %,其中：授予小微企业合同金额 910万元，占政府采购支出总额 100%。</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3、国有资产占用情况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截止2017年底，灵昆街道本级单位资产合计7,509.87万元，比上年增长63.71%，主要原因是购置了办公设备及价值89万元的垂直压缩机。其中：流动资产6,032.82万元，占总资产的80.33%；固定资产1,477.06万元，占总资产的19.67%；在建工程0万元，占总资产的0%。固定资产含：车辆9辆，其中:一般公务用车0辆、一般执法执勤用车0辆、特种专业技术用车0辆、其他用车9辆；单位价值50万元（含）以上通用设备0套（台）;单位价值100万元（含）以上专用设备0套（台）。</w:t>
      </w:r>
    </w:p>
    <w:p>
      <w:pPr>
        <w:widowControl/>
        <w:shd w:val="clear" w:color="auto" w:fill="FFFFFF"/>
        <w:spacing w:line="600" w:lineRule="atLeast"/>
        <w:ind w:firstLine="640"/>
        <w:rPr>
          <w:rFonts w:ascii="仿宋" w:hAnsi="仿宋" w:eastAsia="仿宋" w:cs="宋体"/>
          <w:kern w:val="0"/>
          <w:sz w:val="32"/>
          <w:szCs w:val="32"/>
        </w:rPr>
      </w:pPr>
      <w:r>
        <w:rPr>
          <w:rFonts w:hint="eastAsia" w:ascii="仿宋" w:hAnsi="仿宋" w:eastAsia="仿宋" w:cs="宋体"/>
          <w:kern w:val="0"/>
          <w:sz w:val="32"/>
          <w:szCs w:val="32"/>
        </w:rPr>
        <w:t>4、绩效评价结果情况</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2017年度本部门由财政部门组织开展的绩效评价项目0个，支出金额为0元。</w:t>
      </w:r>
    </w:p>
    <w:p>
      <w:pPr>
        <w:widowControl/>
        <w:shd w:val="clear" w:color="auto" w:fill="FFFFFF"/>
        <w:spacing w:line="600" w:lineRule="atLeast"/>
        <w:ind w:firstLine="640"/>
        <w:rPr>
          <w:rFonts w:ascii="仿宋" w:hAnsi="仿宋" w:eastAsia="仿宋" w:cs="宋体"/>
          <w:kern w:val="0"/>
          <w:sz w:val="32"/>
          <w:szCs w:val="32"/>
        </w:rPr>
      </w:pPr>
    </w:p>
    <w:p>
      <w:pPr>
        <w:widowControl/>
        <w:shd w:val="clear" w:color="auto" w:fill="FFFFFF"/>
        <w:spacing w:line="600" w:lineRule="atLeast"/>
        <w:ind w:firstLine="640"/>
        <w:rPr>
          <w:rFonts w:ascii="仿宋" w:hAnsi="仿宋" w:eastAsia="仿宋" w:cs="宋体"/>
          <w:kern w:val="0"/>
          <w:sz w:val="32"/>
          <w:szCs w:val="32"/>
        </w:rPr>
      </w:pPr>
    </w:p>
    <w:p>
      <w:pPr>
        <w:widowControl/>
        <w:shd w:val="clear" w:color="auto" w:fill="FFFFFF"/>
        <w:spacing w:line="600" w:lineRule="atLeast"/>
        <w:ind w:firstLine="640"/>
        <w:rPr>
          <w:rFonts w:ascii="仿宋" w:hAnsi="仿宋" w:eastAsia="仿宋" w:cs="宋体"/>
          <w:kern w:val="0"/>
          <w:sz w:val="32"/>
          <w:szCs w:val="32"/>
        </w:rPr>
      </w:pPr>
    </w:p>
    <w:p>
      <w:pPr>
        <w:widowControl/>
        <w:shd w:val="clear" w:color="auto" w:fill="FFFFFF"/>
        <w:spacing w:line="600" w:lineRule="atLeast"/>
        <w:ind w:firstLine="640"/>
        <w:rPr>
          <w:rFonts w:ascii="宋体" w:hAnsi="宋体" w:eastAsia="宋体" w:cs="宋体"/>
          <w:kern w:val="0"/>
          <w:sz w:val="24"/>
          <w:szCs w:val="24"/>
        </w:rPr>
      </w:pPr>
      <w:r>
        <w:rPr>
          <w:rFonts w:hint="eastAsia" w:ascii="宋体" w:hAnsi="宋体" w:eastAsia="宋体" w:cs="Arial"/>
          <w:b/>
          <w:bCs/>
          <w:kern w:val="0"/>
          <w:sz w:val="32"/>
          <w:szCs w:val="32"/>
        </w:rPr>
        <w:t>四、名词解释（所列具体项目由各部门按本部门情况有选择使用）</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1.财政拨款收入：从同级财政部门取得的财政拨款，包括一般公共预算财政拨款和政府性基金预算财政拨款。</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2.事业收入：事业单位开展专业业务活动及辅助活动所取得的收入（含事业单位收到的财政专户实际核拨的资金）。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3.经营收入：事业单位在专业业务活动及辅助活动之外开展非独立核算经营活动取得的收入。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4.其他收入：预算单位在“财政拨款”、“事业收入”、“经营收入”、“附属单位上缴收入”等之外取得的各项收入。</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5.用事业基金弥补收支差额：事业单位在当年收入不足以安排当年支出情况下，使用以前年度积累的事业基金弥补本年收支缺口的资金。</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6.年初结转和结余：预算单位以前年度尚未完成、结转到本年按有关规定继续使用的资金。</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7.结余分配：事业单位按照国家规定应交所得税和提取事业基金、专用基金的分配情况和结果。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8.年末结转和结余：指单位按有关规定结转到下年或以后年度继续使用的资金。</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9.基本支出：是预算单位为保障其正常运转，完成日常工作任务所发生的支出，包括人员支出和日常公用支出。</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10.项目支出：是预算单位为完成其特定的行政工作任务或事业发展目标，在基本支出之外发生的各项支出。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 xml:space="preserve">11.事业单位经营支出：指事业单位在专业业务活动及其辅助活动之外开展非独立核算经营活动发生的支出。 </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12.因公出国（境）费用：反映单位公务出国（境）的国际旅费、国外城市间交通费、住宿费、伙食费、培训费、公杂费等支出。</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13.公务接待费：反映单位按规定开支的各类公务接待（含外宾接待）费用。</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14.公务用车购置：反映公务用车购置支出（含车辆购置税、牌照费）。</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15.公务用车运行维护费：反映按规定保留的公务用车燃料费、维修费、过桥过路费、保险费、安全奖励费用等支出。</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17.流动资产：是指一年以内变现或耗用的资产，包括库存现金、银行存款、零余额用款额度、财政应返还额度、应收及预付款项、存货等。</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18.固定资产：是指使用期限超过1年（不含1年），单位价值在规定标准以上，并且在使用过程中基本保持原有物质形态的资产。</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19.在建工程：是指单位已经发生必要支出，但尚未完工交付使用的各种建筑（包括新建、改建、扩建、修缮等）、设备安装工程和信息系统建设工程。</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20.无形资产：是指不具有实物形态而能为单位提供某种权利的非货币性资产。包括计算机软件、土地使用权、著作权、专利权、非专利技术等。</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21. XX（类）XX（款）XX（项）：指……。</w:t>
      </w:r>
    </w:p>
    <w:p>
      <w:pPr>
        <w:widowControl/>
        <w:shd w:val="clear" w:color="auto" w:fill="FFFFFF"/>
        <w:spacing w:line="600" w:lineRule="atLeast"/>
        <w:ind w:firstLine="640"/>
        <w:rPr>
          <w:rFonts w:ascii="宋体" w:hAnsi="宋体" w:eastAsia="宋体" w:cs="宋体"/>
          <w:kern w:val="0"/>
          <w:sz w:val="24"/>
          <w:szCs w:val="24"/>
        </w:rPr>
      </w:pPr>
      <w:r>
        <w:rPr>
          <w:rFonts w:hint="eastAsia" w:ascii="仿宋" w:hAnsi="仿宋" w:eastAsia="仿宋" w:cs="宋体"/>
          <w:kern w:val="0"/>
          <w:sz w:val="32"/>
          <w:szCs w:val="32"/>
        </w:rPr>
        <w:t>22. XX（类）XX（款）XX（项）：指……。</w:t>
      </w:r>
    </w:p>
    <w:p>
      <w:pPr>
        <w:autoSpaceDE w:val="0"/>
        <w:autoSpaceDN w:val="0"/>
        <w:adjustRightInd w:val="0"/>
        <w:spacing w:line="560" w:lineRule="exact"/>
        <w:ind w:firstLine="627"/>
        <w:rPr>
          <w:rFonts w:ascii="黑体" w:hAnsi="Times New Roman" w:eastAsia="黑体" w:cs="黑体"/>
          <w:color w:val="000000"/>
          <w:sz w:val="32"/>
          <w:szCs w:val="32"/>
        </w:rPr>
      </w:pPr>
    </w:p>
    <w:sectPr>
      <w:pgSz w:w="12240" w:h="15840"/>
      <w:pgMar w:top="1418" w:right="1797" w:bottom="1247"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
    <w:altName w:val="Times New Roman"/>
    <w:panose1 w:val="00000000000000000000"/>
    <w:charset w:val="00"/>
    <w:family w:val="auto"/>
    <w:pitch w:val="default"/>
    <w:sig w:usb0="00000003" w:usb1="00000000" w:usb2="00000000" w:usb3="00000000" w:csb0="00000001" w:csb1="00000000"/>
  </w:font>
  <w:font w:name="仿宋">
    <w:altName w:val="仿宋_GB2312"/>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批注框文本"/>
    <w:basedOn w:val="1"/>
    <w:link w:val="3"/>
    <w:rPr>
      <w:sz w:val="18"/>
      <w:szCs w:val="18"/>
    </w:rPr>
  </w:style>
  <w:style w:type="character" w:customStyle="1" w:styleId="3">
    <w:name w:val="批注框文本 Char"/>
    <w:basedOn w:val="4"/>
    <w:link w:val="2"/>
    <w:semiHidden/>
    <w:rPr>
      <w:sz w:val="18"/>
      <w:szCs w:val="18"/>
    </w:r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4"/>
    <w:link w:val="5"/>
    <w:semiHidden/>
    <w:rPr>
      <w:sz w:val="18"/>
      <w:szCs w:val="18"/>
    </w:rPr>
  </w:style>
  <w:style w:type="paragraph" w:styleId="7">
    <w:name w:val="header"/>
    <w:basedOn w:val="1"/>
    <w:link w:val="8"/>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4"/>
    <w:link w:val="7"/>
    <w:semiHidden/>
    <w:rPr>
      <w:sz w:val="18"/>
      <w:szCs w:val="18"/>
    </w:rPr>
  </w:style>
  <w:style w:type="character" w:styleId="9">
    <w:name w:val="FollowedHyperlink"/>
    <w:basedOn w:val="4"/>
    <w:rPr>
      <w:color w:val="800080"/>
      <w:u w:val="single"/>
    </w:rPr>
  </w:style>
  <w:style w:type="character" w:styleId="10">
    <w:name w:val="Hyperlink"/>
    <w:basedOn w:val="4"/>
    <w:rPr>
      <w:rFonts w:cs="Times New Roman"/>
      <w:color w:val="454545"/>
      <w:u w:val="none"/>
    </w:rPr>
  </w:style>
  <w:style w:type="paragraph" w:customStyle="1" w:styleId="11">
    <w:name w:val="List Paragraph"/>
    <w:basedOn w:val="1"/>
    <w:pPr>
      <w:ind w:firstLine="420" w:firstLineChars="200"/>
    </w:pPr>
  </w:style>
  <w:style w:type="paragraph" w:customStyle="1" w:styleId="12">
    <w:name w:val="Normal (Web)"/>
    <w:basedOn w:val="1"/>
    <w:pPr>
      <w:spacing w:beforeAutospacing="1" w:afterAutospacing="1"/>
      <w:jc w:val="left"/>
    </w:pPr>
    <w:rPr>
      <w:rFonts w:ascii="Calibri" w:hAnsi="Calibri" w:eastAsia="宋体" w:cs="Times New Roman"/>
      <w:kern w:val="0"/>
      <w:sz w:val="24"/>
    </w:rPr>
  </w:style>
  <w:style w:type="paragraph" w:customStyle="1" w:styleId="13">
    <w:name w:val="xl63"/>
    <w:basedOn w:val="1"/>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4">
    <w:name w:val="xl64"/>
    <w:basedOn w:val="1"/>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kern w:val="0"/>
      <w:sz w:val="16"/>
      <w:szCs w:val="16"/>
    </w:rPr>
  </w:style>
  <w:style w:type="paragraph" w:customStyle="1" w:styleId="15">
    <w:name w:val="xl65"/>
    <w:basedOn w:val="1"/>
    <w:pPr>
      <w:widowControl/>
      <w:pBdr>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kern w:val="0"/>
      <w:sz w:val="16"/>
      <w:szCs w:val="16"/>
    </w:rPr>
  </w:style>
  <w:style w:type="paragraph" w:customStyle="1" w:styleId="16">
    <w:name w:val="xl66"/>
    <w:basedOn w:val="1"/>
    <w:pPr>
      <w:widowControl/>
      <w:pBdr>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
    <w:name w:val="xl67"/>
    <w:basedOn w:val="1"/>
    <w:pPr>
      <w:widowControl/>
      <w:pBdr>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8">
    <w:name w:val="xl68"/>
    <w:basedOn w:val="1"/>
    <w:pPr>
      <w:widowControl/>
      <w:pBdr>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9">
    <w:name w:val="xl69"/>
    <w:basedOn w:val="1"/>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20">
    <w:name w:val="xl70"/>
    <w:basedOn w:val="1"/>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eastAsia="宋体" w:cs="宋体"/>
      <w:kern w:val="0"/>
      <w:sz w:val="16"/>
      <w:szCs w:val="16"/>
    </w:rPr>
  </w:style>
  <w:style w:type="paragraph" w:customStyle="1" w:styleId="21">
    <w:name w:val="xl71"/>
    <w:basedOn w:val="1"/>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b/>
      <w:bCs/>
      <w:kern w:val="0"/>
      <w:sz w:val="16"/>
      <w:szCs w:val="16"/>
    </w:rPr>
  </w:style>
  <w:style w:type="paragraph" w:customStyle="1" w:styleId="22">
    <w:name w:val="xl72"/>
    <w:basedOn w:val="1"/>
    <w:pPr>
      <w:widowControl/>
      <w:pBdr>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kern w:val="0"/>
      <w:sz w:val="16"/>
      <w:szCs w:val="16"/>
    </w:rPr>
  </w:style>
  <w:style w:type="paragraph" w:customStyle="1" w:styleId="23">
    <w:name w:val="xl73"/>
    <w:basedOn w:val="1"/>
    <w:pPr>
      <w:widowControl/>
      <w:pBdr>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b/>
      <w:bCs/>
      <w:kern w:val="0"/>
      <w:sz w:val="16"/>
      <w:szCs w:val="16"/>
    </w:rPr>
  </w:style>
  <w:style w:type="paragraph" w:customStyle="1" w:styleId="24">
    <w:name w:val="xl74"/>
    <w:basedOn w:val="1"/>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eastAsia="宋体" w:cs="宋体"/>
      <w:b/>
      <w:bCs/>
      <w:kern w:val="0"/>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3538</Words>
  <Characters>20173</Characters>
  <Lines>168</Lines>
  <Paragraphs>47</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2018-09-25T09:29:00Z</dcterms:created>
  <dc:creator>张静</dc:creator>
  <cp:lastPrinted>2018-09-25T22:38:00Z</cp:lastPrinted>
  <dcterms:modified xsi:type="dcterms:W3CDTF">2019-02-12T16:16:40Z</dcterms:modified>
  <dc:title>xb21cn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