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温州市审计局</w:t>
      </w:r>
      <w:r>
        <w:rPr>
          <w:rFonts w:ascii="黑体" w:eastAsia="黑体" w:cs="黑体"/>
          <w:spacing w:val="15"/>
          <w:sz w:val="44"/>
          <w:szCs w:val="44"/>
        </w:rPr>
        <w:t>2017年</w:t>
      </w:r>
      <w:r>
        <w:rPr>
          <w:rFonts w:hint="eastAsia" w:ascii="黑体" w:eastAsia="黑体" w:cs="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度部门决算概况</w:t>
      </w:r>
    </w:p>
    <w:p>
      <w:pPr>
        <w:ind w:firstLine="640" w:firstLineChars="200"/>
        <w:rPr>
          <w:rFonts w:ascii="仿宋" w:hAnsi="仿宋" w:eastAsia="仿宋" w:cs="仿宋"/>
          <w:sz w:val="32"/>
          <w:szCs w:val="32"/>
        </w:rPr>
      </w:pPr>
      <w:r>
        <w:rPr>
          <w:rFonts w:hint="eastAsia" w:ascii="仿宋" w:hAnsi="仿宋" w:eastAsia="仿宋" w:cs="仿宋"/>
          <w:sz w:val="32"/>
          <w:szCs w:val="32"/>
        </w:rPr>
        <w:t>（一）主要职能</w:t>
      </w:r>
    </w:p>
    <w:p>
      <w:pPr>
        <w:ind w:firstLine="640" w:firstLineChars="200"/>
        <w:rPr>
          <w:rFonts w:ascii="仿宋" w:hAnsi="仿宋" w:eastAsia="仿宋" w:cs="仿宋"/>
          <w:sz w:val="32"/>
          <w:szCs w:val="32"/>
        </w:rPr>
      </w:pPr>
      <w:r>
        <w:rPr>
          <w:rFonts w:hint="eastAsia" w:ascii="仿宋" w:hAnsi="仿宋" w:eastAsia="仿宋" w:cs="仿宋"/>
          <w:sz w:val="32"/>
          <w:szCs w:val="32"/>
        </w:rPr>
        <w:t>温州市审计局是市政府综合经济监督的行政职能部门，负责本市行政区域内的审计工作，依法对被审计单位的财政、财务收支的真实、合法和效益进行审计监督，依法开展领导干部经济责任审计。在审计执法过程中有要求报送资料权、检查权、调查权、处理处罚权、建议和移送权、通报和公布审计结果权等法律法规规定的权限。主要对下列事项实施审计监督：</w:t>
      </w:r>
      <w:r>
        <w:rPr>
          <w:rFonts w:hint="eastAsia" w:ascii="仿宋" w:hAnsi="仿宋" w:eastAsia="仿宋" w:cs="仿宋"/>
          <w:sz w:val="32"/>
          <w:szCs w:val="32"/>
        </w:rPr>
        <w:br w:type="textWrapping"/>
      </w:r>
      <w:r>
        <w:rPr>
          <w:rFonts w:hint="eastAsia" w:ascii="仿宋" w:hAnsi="仿宋" w:eastAsia="仿宋" w:cs="仿宋"/>
          <w:sz w:val="32"/>
          <w:szCs w:val="32"/>
        </w:rPr>
        <w:t>　　1.市级各部门（含直属单位）和下级政府预算执行情况和决算，以及预算外资金的管理和使用情况。</w:t>
      </w:r>
      <w:r>
        <w:rPr>
          <w:rFonts w:hint="eastAsia" w:ascii="仿宋" w:hAnsi="仿宋" w:eastAsia="仿宋" w:cs="仿宋"/>
          <w:sz w:val="32"/>
          <w:szCs w:val="32"/>
        </w:rPr>
        <w:br w:type="textWrapping"/>
      </w:r>
      <w:r>
        <w:rPr>
          <w:rFonts w:hint="eastAsia" w:ascii="仿宋" w:hAnsi="仿宋" w:eastAsia="仿宋" w:cs="仿宋"/>
          <w:sz w:val="32"/>
          <w:szCs w:val="32"/>
        </w:rPr>
        <w:t>　　2.市级财政预算执行情况和其他财政收支。</w:t>
      </w:r>
      <w:r>
        <w:rPr>
          <w:rFonts w:hint="eastAsia" w:ascii="仿宋" w:hAnsi="仿宋" w:eastAsia="仿宋" w:cs="仿宋"/>
          <w:sz w:val="32"/>
          <w:szCs w:val="32"/>
        </w:rPr>
        <w:br w:type="textWrapping"/>
      </w:r>
      <w:r>
        <w:rPr>
          <w:rFonts w:hint="eastAsia" w:ascii="仿宋" w:hAnsi="仿宋" w:eastAsia="仿宋" w:cs="仿宋"/>
          <w:sz w:val="32"/>
          <w:szCs w:val="32"/>
        </w:rPr>
        <w:t>　　3.市级事业单位和社会团体的财务收支。</w:t>
      </w:r>
      <w:r>
        <w:rPr>
          <w:rFonts w:hint="eastAsia" w:ascii="仿宋" w:hAnsi="仿宋" w:eastAsia="仿宋" w:cs="仿宋"/>
          <w:sz w:val="32"/>
          <w:szCs w:val="32"/>
        </w:rPr>
        <w:br w:type="textWrapping"/>
      </w:r>
      <w:r>
        <w:rPr>
          <w:rFonts w:hint="eastAsia" w:ascii="仿宋" w:hAnsi="仿宋" w:eastAsia="仿宋" w:cs="仿宋"/>
          <w:sz w:val="32"/>
          <w:szCs w:val="32"/>
        </w:rPr>
        <w:t>　　4.市属国有、国有资产占控股地位或者主导地位的企业和地方金融机构的资产、负债和损益。</w:t>
      </w:r>
      <w:r>
        <w:rPr>
          <w:rFonts w:hint="eastAsia" w:ascii="仿宋" w:hAnsi="仿宋" w:eastAsia="仿宋" w:cs="仿宋"/>
          <w:sz w:val="32"/>
          <w:szCs w:val="32"/>
        </w:rPr>
        <w:br w:type="textWrapping"/>
      </w:r>
      <w:r>
        <w:rPr>
          <w:rFonts w:hint="eastAsia" w:ascii="仿宋" w:hAnsi="仿宋" w:eastAsia="仿宋" w:cs="仿宋"/>
          <w:sz w:val="32"/>
          <w:szCs w:val="32"/>
        </w:rPr>
        <w:t>　　5.市本级国家建设项目的预算执行和竣工决算。</w:t>
      </w:r>
      <w:r>
        <w:rPr>
          <w:rFonts w:hint="eastAsia" w:ascii="仿宋" w:hAnsi="仿宋" w:eastAsia="仿宋" w:cs="仿宋"/>
          <w:sz w:val="32"/>
          <w:szCs w:val="32"/>
        </w:rPr>
        <w:br w:type="textWrapping"/>
      </w:r>
      <w:r>
        <w:rPr>
          <w:rFonts w:hint="eastAsia" w:ascii="仿宋" w:hAnsi="仿宋" w:eastAsia="仿宋" w:cs="仿宋"/>
          <w:sz w:val="32"/>
          <w:szCs w:val="32"/>
        </w:rPr>
        <w:t xml:space="preserve">    6.市人民政府部门管理的和受人民政府委托社会团体管理的社会保障基金、环境保护资金、社会捐赠资金及其他有关基金、资金的财务收支。</w:t>
      </w:r>
      <w:r>
        <w:rPr>
          <w:rFonts w:hint="eastAsia" w:ascii="仿宋" w:hAnsi="仿宋" w:eastAsia="仿宋" w:cs="仿宋"/>
          <w:sz w:val="32"/>
          <w:szCs w:val="32"/>
        </w:rPr>
        <w:br w:type="textWrapping"/>
      </w:r>
      <w:r>
        <w:rPr>
          <w:rFonts w:hint="eastAsia" w:ascii="仿宋" w:hAnsi="仿宋" w:eastAsia="仿宋" w:cs="仿宋"/>
          <w:sz w:val="32"/>
          <w:szCs w:val="32"/>
        </w:rPr>
        <w:t>　　7.国际组织和外国政府援助、贷款项目的财务收支。</w:t>
      </w:r>
      <w:r>
        <w:rPr>
          <w:rFonts w:hint="eastAsia" w:ascii="仿宋" w:hAnsi="仿宋" w:eastAsia="仿宋" w:cs="仿宋"/>
          <w:sz w:val="32"/>
          <w:szCs w:val="32"/>
        </w:rPr>
        <w:br w:type="textWrapping"/>
      </w:r>
      <w:r>
        <w:rPr>
          <w:rFonts w:hint="eastAsia" w:ascii="仿宋" w:hAnsi="仿宋" w:eastAsia="仿宋" w:cs="仿宋"/>
          <w:sz w:val="32"/>
          <w:szCs w:val="32"/>
        </w:rPr>
        <w:t>　　8.承担上级审计机关授权的审计事项。</w:t>
      </w:r>
      <w:r>
        <w:rPr>
          <w:rFonts w:hint="eastAsia" w:ascii="仿宋" w:hAnsi="仿宋" w:eastAsia="仿宋" w:cs="仿宋"/>
          <w:sz w:val="32"/>
          <w:szCs w:val="32"/>
        </w:rPr>
        <w:br w:type="textWrapping"/>
      </w:r>
      <w:r>
        <w:rPr>
          <w:rFonts w:hint="eastAsia" w:ascii="仿宋" w:hAnsi="仿宋" w:eastAsia="仿宋" w:cs="仿宋"/>
          <w:sz w:val="32"/>
          <w:szCs w:val="32"/>
        </w:rPr>
        <w:t>　　9.市委管理的领导干部经济责任审计。</w:t>
      </w:r>
      <w:r>
        <w:rPr>
          <w:rFonts w:hint="eastAsia" w:ascii="仿宋" w:hAnsi="仿宋" w:eastAsia="仿宋" w:cs="仿宋"/>
          <w:sz w:val="32"/>
          <w:szCs w:val="32"/>
        </w:rPr>
        <w:br w:type="textWrapping"/>
      </w:r>
      <w:r>
        <w:rPr>
          <w:rFonts w:hint="eastAsia" w:ascii="仿宋" w:hAnsi="仿宋" w:eastAsia="仿宋" w:cs="仿宋"/>
          <w:sz w:val="32"/>
          <w:szCs w:val="32"/>
        </w:rPr>
        <w:t>　　10.必要时，可对下级审计机关管辖范围内的重大审计事项直接进行审计。</w:t>
      </w:r>
      <w:r>
        <w:rPr>
          <w:rFonts w:hint="eastAsia" w:ascii="仿宋" w:hAnsi="仿宋" w:eastAsia="仿宋" w:cs="仿宋"/>
          <w:sz w:val="32"/>
          <w:szCs w:val="32"/>
        </w:rPr>
        <w:br w:type="textWrapping"/>
      </w:r>
      <w:r>
        <w:rPr>
          <w:rFonts w:hint="eastAsia" w:ascii="仿宋" w:hAnsi="仿宋" w:eastAsia="仿宋" w:cs="仿宋"/>
          <w:sz w:val="32"/>
          <w:szCs w:val="32"/>
        </w:rPr>
        <w:t>　　11.组织实施对贯彻执行国家财经方针政策和宏观措施情况的行业审计、专项审计和审计调查。办理市政府、上级审计机关交办的其他事项。</w:t>
      </w:r>
      <w:r>
        <w:rPr>
          <w:rFonts w:hint="eastAsia" w:ascii="仿宋" w:hAnsi="仿宋" w:eastAsia="仿宋" w:cs="仿宋"/>
          <w:sz w:val="32"/>
          <w:szCs w:val="32"/>
        </w:rPr>
        <w:br w:type="textWrapping"/>
      </w:r>
      <w:r>
        <w:rPr>
          <w:rFonts w:hint="eastAsia" w:ascii="仿宋" w:hAnsi="仿宋" w:eastAsia="仿宋" w:cs="仿宋"/>
          <w:sz w:val="32"/>
          <w:szCs w:val="32"/>
        </w:rPr>
        <w:t>　　12.组织实施对内部审计工作的指导与监督；监督检查社会审计组织的审计业务质量。</w:t>
      </w:r>
      <w:r>
        <w:rPr>
          <w:rFonts w:hint="eastAsia" w:ascii="仿宋" w:hAnsi="仿宋" w:eastAsia="仿宋" w:cs="仿宋"/>
          <w:sz w:val="32"/>
          <w:szCs w:val="32"/>
        </w:rPr>
        <w:br w:type="textWrapping"/>
      </w:r>
      <w:r>
        <w:rPr>
          <w:rFonts w:hint="eastAsia" w:ascii="仿宋" w:hAnsi="仿宋" w:eastAsia="仿宋" w:cs="仿宋"/>
          <w:sz w:val="32"/>
          <w:szCs w:val="32"/>
        </w:rPr>
        <w:t>　　13.法律法规规定应由市审计局进行审计的事项。</w:t>
      </w:r>
    </w:p>
    <w:p>
      <w:pPr>
        <w:ind w:firstLine="640" w:firstLineChars="200"/>
        <w:rPr>
          <w:rFonts w:ascii="仿宋" w:hAnsi="仿宋" w:eastAsia="仿宋" w:cs="仿宋"/>
          <w:sz w:val="32"/>
          <w:szCs w:val="32"/>
        </w:rPr>
      </w:pPr>
      <w:r>
        <w:rPr>
          <w:rFonts w:hint="eastAsia" w:ascii="仿宋" w:hAnsi="仿宋" w:eastAsia="仿宋" w:cs="仿宋"/>
          <w:sz w:val="32"/>
          <w:szCs w:val="32"/>
        </w:rPr>
        <w:t>（二）部门决算单位构成</w:t>
      </w:r>
    </w:p>
    <w:p>
      <w:pPr>
        <w:ind w:firstLine="640" w:firstLineChars="200"/>
        <w:rPr>
          <w:rFonts w:ascii="仿宋" w:hAnsi="仿宋" w:eastAsia="仿宋" w:cs="仿宋"/>
          <w:sz w:val="32"/>
          <w:szCs w:val="32"/>
        </w:rPr>
      </w:pPr>
      <w:r>
        <w:rPr>
          <w:rFonts w:hint="eastAsia" w:ascii="仿宋" w:hAnsi="仿宋" w:eastAsia="仿宋" w:cs="仿宋"/>
          <w:sz w:val="32"/>
          <w:szCs w:val="32"/>
          <w:lang w:val="zh-CN"/>
        </w:rPr>
        <w:t>2017年度温州市审计局</w:t>
      </w:r>
      <w:r>
        <w:rPr>
          <w:rFonts w:hint="eastAsia" w:ascii="仿宋" w:hAnsi="仿宋" w:eastAsia="仿宋" w:cs="仿宋"/>
          <w:sz w:val="32"/>
          <w:szCs w:val="32"/>
        </w:rPr>
        <w:t>部门决算包括本级决算1个。</w:t>
      </w: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2017年</w:t>
      </w:r>
      <w:r>
        <w:rPr>
          <w:rFonts w:hint="eastAsia" w:ascii="黑体" w:hAnsi="Times New Roman" w:eastAsia="黑体" w:cs="黑体"/>
          <w:sz w:val="32"/>
          <w:szCs w:val="32"/>
          <w:lang w:val="zh-CN"/>
        </w:rPr>
        <w:t>度部门决算报表</w:t>
      </w:r>
    </w:p>
    <w:tbl>
      <w:tblPr>
        <w:tblStyle w:val="6"/>
        <w:tblW w:w="21412" w:type="dxa"/>
        <w:tblInd w:w="93" w:type="dxa"/>
        <w:tblLayout w:type="fixed"/>
        <w:tblCellMar>
          <w:top w:w="0" w:type="dxa"/>
          <w:left w:w="108" w:type="dxa"/>
          <w:bottom w:w="0" w:type="dxa"/>
          <w:right w:w="108" w:type="dxa"/>
        </w:tblCellMar>
      </w:tblPr>
      <w:tblGrid>
        <w:gridCol w:w="2283"/>
        <w:gridCol w:w="1063"/>
        <w:gridCol w:w="805"/>
        <w:gridCol w:w="2690"/>
        <w:gridCol w:w="2019"/>
        <w:gridCol w:w="6152"/>
        <w:gridCol w:w="1280"/>
        <w:gridCol w:w="910"/>
        <w:gridCol w:w="280"/>
        <w:gridCol w:w="260"/>
        <w:gridCol w:w="2240"/>
        <w:gridCol w:w="1430"/>
      </w:tblGrid>
      <w:tr>
        <w:tblPrEx>
          <w:tblCellMar>
            <w:top w:w="0" w:type="dxa"/>
            <w:left w:w="108" w:type="dxa"/>
            <w:bottom w:w="0" w:type="dxa"/>
            <w:right w:w="108" w:type="dxa"/>
          </w:tblCellMar>
        </w:tblPrEx>
        <w:trPr>
          <w:gridAfter w:val="7"/>
          <w:wAfter w:w="12552" w:type="dxa"/>
          <w:trHeight w:val="540" w:hRule="atLeast"/>
        </w:trPr>
        <w:tc>
          <w:tcPr>
            <w:tcW w:w="8860" w:type="dxa"/>
            <w:gridSpan w:val="5"/>
            <w:tcBorders>
              <w:top w:val="nil"/>
              <w:left w:val="nil"/>
              <w:bottom w:val="nil"/>
              <w:right w:val="nil"/>
            </w:tcBorders>
            <w:shd w:val="clear" w:color="auto" w:fill="auto"/>
            <w:vAlign w:val="bottom"/>
          </w:tcPr>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2017年度部门收支决算总表</w:t>
            </w:r>
          </w:p>
        </w:tc>
      </w:tr>
      <w:tr>
        <w:tblPrEx>
          <w:tblCellMar>
            <w:top w:w="0" w:type="dxa"/>
            <w:left w:w="108" w:type="dxa"/>
            <w:bottom w:w="0" w:type="dxa"/>
            <w:right w:w="108" w:type="dxa"/>
          </w:tblCellMar>
        </w:tblPrEx>
        <w:trPr>
          <w:gridAfter w:val="7"/>
          <w:wAfter w:w="12552" w:type="dxa"/>
          <w:trHeight w:val="255" w:hRule="atLeast"/>
        </w:trPr>
        <w:tc>
          <w:tcPr>
            <w:tcW w:w="334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0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gridAfter w:val="7"/>
          <w:wAfter w:w="12552" w:type="dxa"/>
          <w:trHeight w:val="255" w:hRule="atLeast"/>
        </w:trPr>
        <w:tc>
          <w:tcPr>
            <w:tcW w:w="3346" w:type="dxa"/>
            <w:gridSpan w:val="2"/>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部门：温州市审计局</w:t>
            </w:r>
          </w:p>
        </w:tc>
        <w:tc>
          <w:tcPr>
            <w:tcW w:w="80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7"/>
          <w:wAfter w:w="12552" w:type="dxa"/>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支出</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2706.63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2223.79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2565.00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153.19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2859.82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2776.17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43.27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43.27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126.92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126.92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gridAfter w:val="7"/>
          <w:wAfter w:w="12552" w:type="dxa"/>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2903.09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2903.09　</w:t>
            </w:r>
          </w:p>
        </w:tc>
      </w:tr>
      <w:tr>
        <w:tblPrEx>
          <w:tblCellMar>
            <w:top w:w="0" w:type="dxa"/>
            <w:left w:w="108" w:type="dxa"/>
            <w:bottom w:w="0" w:type="dxa"/>
            <w:right w:w="108" w:type="dxa"/>
          </w:tblCellMar>
        </w:tblPrEx>
        <w:trPr>
          <w:trHeight w:val="255" w:hRule="atLeast"/>
        </w:trPr>
        <w:tc>
          <w:tcPr>
            <w:tcW w:w="15012" w:type="dxa"/>
            <w:gridSpan w:val="6"/>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2017年度部门收入决算总表(分单位）</w:t>
      </w:r>
    </w:p>
    <w:tbl>
      <w:tblPr>
        <w:tblStyle w:val="6"/>
        <w:tblW w:w="27117" w:type="dxa"/>
        <w:tblInd w:w="93" w:type="dxa"/>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437" w:type="dxa"/>
            <w:tcBorders>
              <w:top w:val="nil"/>
              <w:left w:val="nil"/>
              <w:bottom w:val="nil"/>
              <w:right w:val="nil"/>
            </w:tcBorders>
            <w:shd w:val="clear" w:color="auto" w:fill="auto"/>
            <w:vAlign w:val="bottom"/>
          </w:tcPr>
          <w:tbl>
            <w:tblPr>
              <w:tblStyle w:val="6"/>
              <w:tblW w:w="9163" w:type="dxa"/>
              <w:tblInd w:w="0" w:type="dxa"/>
              <w:tblLayout w:type="fixed"/>
              <w:tblCellMar>
                <w:top w:w="0" w:type="dxa"/>
                <w:left w:w="108" w:type="dxa"/>
                <w:bottom w:w="0" w:type="dxa"/>
                <w:right w:w="108" w:type="dxa"/>
              </w:tblCellMar>
            </w:tblPr>
            <w:tblGrid>
              <w:gridCol w:w="1007"/>
              <w:gridCol w:w="890"/>
              <w:gridCol w:w="710"/>
              <w:gridCol w:w="900"/>
              <w:gridCol w:w="910"/>
              <w:gridCol w:w="790"/>
              <w:gridCol w:w="620"/>
              <w:gridCol w:w="590"/>
              <w:gridCol w:w="820"/>
              <w:gridCol w:w="660"/>
              <w:gridCol w:w="670"/>
              <w:gridCol w:w="596"/>
            </w:tblGrid>
            <w:tr>
              <w:tblPrEx>
                <w:tblCellMar>
                  <w:top w:w="0" w:type="dxa"/>
                  <w:left w:w="108" w:type="dxa"/>
                  <w:bottom w:w="0" w:type="dxa"/>
                  <w:right w:w="108" w:type="dxa"/>
                </w:tblCellMar>
              </w:tblPrEx>
              <w:trPr>
                <w:trHeight w:val="255" w:hRule="atLeast"/>
              </w:trPr>
              <w:tc>
                <w:tcPr>
                  <w:tcW w:w="10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6"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公开02-1表</w:t>
                  </w:r>
                </w:p>
              </w:tc>
            </w:tr>
            <w:tr>
              <w:tblPrEx>
                <w:tblCellMar>
                  <w:top w:w="0" w:type="dxa"/>
                  <w:left w:w="108" w:type="dxa"/>
                  <w:bottom w:w="0" w:type="dxa"/>
                  <w:right w:w="108" w:type="dxa"/>
                </w:tblCellMar>
              </w:tblPrEx>
              <w:trPr>
                <w:trHeight w:val="270" w:hRule="atLeast"/>
              </w:trPr>
              <w:tc>
                <w:tcPr>
                  <w:tcW w:w="2607"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Arial" w:hAnsi="Arial" w:eastAsia="宋体" w:cs="Arial"/>
                      <w:color w:val="000000"/>
                      <w:kern w:val="0"/>
                      <w:sz w:val="20"/>
                      <w:szCs w:val="20"/>
                    </w:rPr>
                    <w:t>温州市审计局</w:t>
                  </w:r>
                </w:p>
              </w:tc>
              <w:tc>
                <w:tcPr>
                  <w:tcW w:w="9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6"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0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89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71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60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2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59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82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6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7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596" w:type="dxa"/>
                  <w:vMerge w:val="restart"/>
                  <w:tcBorders>
                    <w:top w:val="nil"/>
                    <w:left w:val="nil"/>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1003" w:hRule="atLeast"/>
              </w:trPr>
              <w:tc>
                <w:tcPr>
                  <w:tcW w:w="1007"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9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7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2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59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2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6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7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596" w:type="dxa"/>
                  <w:vMerge w:val="continue"/>
                  <w:tcBorders>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8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7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9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7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5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8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596"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2903.09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43.27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2706.63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2565.00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153.19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温州市审计局</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2903.09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43.27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2706.63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2565.00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153.19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90"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07"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9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1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1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9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7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596"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255" w:hRule="atLeast"/>
              </w:trPr>
              <w:tc>
                <w:tcPr>
                  <w:tcW w:w="100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7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9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CellMar>
            <w:top w:w="0" w:type="dxa"/>
            <w:left w:w="108" w:type="dxa"/>
            <w:bottom w:w="0" w:type="dxa"/>
            <w:right w:w="108" w:type="dxa"/>
          </w:tblCellMar>
        </w:tblPrEx>
        <w:trPr>
          <w:trHeight w:val="5802" w:hRule="atLeast"/>
        </w:trPr>
        <w:tc>
          <w:tcPr>
            <w:tcW w:w="19437" w:type="dxa"/>
            <w:tcBorders>
              <w:top w:val="nil"/>
              <w:left w:val="nil"/>
              <w:bottom w:val="nil"/>
              <w:right w:val="nil"/>
            </w:tcBorders>
            <w:shd w:val="clear" w:color="auto" w:fill="auto"/>
            <w:vAlign w:val="bottom"/>
          </w:tcPr>
          <w:p>
            <w:pPr>
              <w:autoSpaceDE w:val="0"/>
              <w:autoSpaceDN w:val="0"/>
              <w:adjustRightInd w:val="0"/>
              <w:spacing w:line="560" w:lineRule="exact"/>
              <w:ind w:firstLine="1908" w:firstLineChars="594"/>
              <w:rPr>
                <w:rFonts w:ascii="仿宋" w:hAnsi="Times New Roman" w:eastAsia="仿宋" w:cs="仿宋"/>
                <w:b/>
                <w:sz w:val="32"/>
                <w:szCs w:val="32"/>
              </w:rPr>
            </w:pPr>
            <w:r>
              <w:rPr>
                <w:rFonts w:hint="eastAsia" w:ascii="仿宋" w:hAnsi="Times New Roman" w:eastAsia="仿宋" w:cs="仿宋"/>
                <w:b/>
                <w:sz w:val="32"/>
                <w:szCs w:val="32"/>
              </w:rPr>
              <w:t>2017年度部门收入决算总表(分科目）</w:t>
            </w:r>
          </w:p>
          <w:tbl>
            <w:tblPr>
              <w:tblStyle w:val="6"/>
              <w:tblW w:w="19128" w:type="dxa"/>
              <w:tblInd w:w="93" w:type="dxa"/>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vAlign w:val="bottom"/>
                </w:tcPr>
                <w:p/>
                <w:tbl>
                  <w:tblPr>
                    <w:tblStyle w:val="6"/>
                    <w:tblW w:w="9458" w:type="dxa"/>
                    <w:tblInd w:w="0" w:type="dxa"/>
                    <w:tblLayout w:type="fixed"/>
                    <w:tblCellMar>
                      <w:top w:w="0" w:type="dxa"/>
                      <w:left w:w="108" w:type="dxa"/>
                      <w:bottom w:w="0" w:type="dxa"/>
                      <w:right w:w="108" w:type="dxa"/>
                    </w:tblCellMar>
                  </w:tblPr>
                  <w:tblGrid>
                    <w:gridCol w:w="688"/>
                    <w:gridCol w:w="760"/>
                    <w:gridCol w:w="890"/>
                    <w:gridCol w:w="710"/>
                    <w:gridCol w:w="880"/>
                    <w:gridCol w:w="860"/>
                    <w:gridCol w:w="810"/>
                    <w:gridCol w:w="690"/>
                    <w:gridCol w:w="620"/>
                    <w:gridCol w:w="760"/>
                    <w:gridCol w:w="590"/>
                    <w:gridCol w:w="600"/>
                    <w:gridCol w:w="600"/>
                  </w:tblGrid>
                  <w:tr>
                    <w:tblPrEx>
                      <w:tblCellMar>
                        <w:top w:w="0" w:type="dxa"/>
                        <w:left w:w="108" w:type="dxa"/>
                        <w:bottom w:w="0" w:type="dxa"/>
                        <w:right w:w="108" w:type="dxa"/>
                      </w:tblCellMar>
                    </w:tblPrEx>
                    <w:trPr>
                      <w:trHeight w:val="255" w:hRule="atLeast"/>
                    </w:trPr>
                    <w:tc>
                      <w:tcPr>
                        <w:tcW w:w="688"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tcPr>
                      <w:p>
                        <w:pPr>
                          <w:widowControl/>
                          <w:jc w:val="left"/>
                          <w:rPr>
                            <w:rFonts w:ascii="Arial" w:hAnsi="Arial" w:eastAsia="宋体" w:cs="Arial"/>
                            <w:color w:val="000000"/>
                            <w:kern w:val="0"/>
                            <w:sz w:val="20"/>
                            <w:szCs w:val="20"/>
                          </w:rPr>
                        </w:pPr>
                      </w:p>
                    </w:tc>
                    <w:tc>
                      <w:tcPr>
                        <w:tcW w:w="8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90" w:type="dxa"/>
                        <w:gridSpan w:val="3"/>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CellMar>
                        <w:top w:w="0" w:type="dxa"/>
                        <w:left w:w="108" w:type="dxa"/>
                        <w:bottom w:w="0" w:type="dxa"/>
                        <w:right w:w="108" w:type="dxa"/>
                      </w:tblCellMar>
                    </w:tblPrEx>
                    <w:trPr>
                      <w:trHeight w:val="270" w:hRule="atLeast"/>
                    </w:trPr>
                    <w:tc>
                      <w:tcPr>
                        <w:tcW w:w="2338"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部门：温州市审计局</w:t>
                        </w:r>
                      </w:p>
                    </w:tc>
                    <w:tc>
                      <w:tcPr>
                        <w:tcW w:w="7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9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79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688"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76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89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710"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55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9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2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76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59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0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00" w:type="dxa"/>
                        <w:vMerge w:val="restart"/>
                        <w:tcBorders>
                          <w:top w:val="nil"/>
                          <w:left w:val="nil"/>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923" w:hRule="atLeast"/>
                    </w:trPr>
                    <w:tc>
                      <w:tcPr>
                        <w:tcW w:w="688"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760"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710"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8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8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9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2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6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59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00" w:type="dxa"/>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00" w:type="dxa"/>
                        <w:tcBorders>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448"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890"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7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8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8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7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5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0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448"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890" w:type="dxa"/>
                        <w:tcBorders>
                          <w:top w:val="nil"/>
                          <w:left w:val="nil"/>
                          <w:bottom w:val="single" w:color="auto"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2903.09　</w:t>
                        </w:r>
                      </w:p>
                    </w:tc>
                    <w:tc>
                      <w:tcPr>
                        <w:tcW w:w="7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43.27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2706.63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2565.00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153.19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90"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一般公共服务支出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2350.71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43.27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2154.25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2154.25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153.19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审计事务</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2350.71</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43.27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2154.25</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2154.25</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153.19</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行政运行</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1523.19</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1523.19</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1523.19</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2010802</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一般行政管理事务</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116.63</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116.63</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116.63</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2010804</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审计业务</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379.36</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5.66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373.70</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373.70</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2010805</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审计管理</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0.11</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0.11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2010806</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信息化建设</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190.69</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153.19</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2010899</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其他审计事务支出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140.73</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140.73</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140.73</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rPr>
                            <w:rFonts w:ascii="宋体" w:hAnsi="宋体" w:eastAsia="宋体" w:cs="Arial"/>
                            <w:color w:val="000000"/>
                            <w:kern w:val="0"/>
                            <w:sz w:val="18"/>
                            <w:szCs w:val="18"/>
                          </w:rPr>
                        </w:pPr>
                        <w:r>
                          <w:rPr>
                            <w:rFonts w:hint="eastAsia" w:ascii="宋体" w:hAnsi="宋体" w:eastAsia="宋体" w:cs="Arial"/>
                            <w:color w:val="000000"/>
                            <w:kern w:val="0"/>
                            <w:sz w:val="18"/>
                            <w:szCs w:val="18"/>
                          </w:rPr>
                          <w:t>208</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社会保障和就业支出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行政事业单位离退休</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2080505</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10" w:firstLineChars="100"/>
                          <w:jc w:val="left"/>
                          <w:rPr>
                            <w:rFonts w:ascii="宋体" w:hAnsi="宋体" w:eastAsia="宋体" w:cs="Arial"/>
                            <w:color w:val="000000"/>
                            <w:kern w:val="0"/>
                            <w:sz w:val="11"/>
                            <w:szCs w:val="11"/>
                          </w:rPr>
                        </w:pPr>
                        <w:r>
                          <w:rPr>
                            <w:rFonts w:hint="eastAsia" w:ascii="宋体" w:hAnsi="宋体" w:eastAsia="宋体" w:cs="Arial"/>
                            <w:color w:val="000000"/>
                            <w:kern w:val="0"/>
                            <w:sz w:val="11"/>
                            <w:szCs w:val="11"/>
                          </w:rPr>
                          <w:t>机关事业单位基本养老保险缴费支出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145.66</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145.66</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145.66</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2080506</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10" w:firstLineChars="100"/>
                          <w:jc w:val="left"/>
                          <w:rPr>
                            <w:rFonts w:ascii="宋体" w:hAnsi="宋体" w:eastAsia="宋体" w:cs="Arial"/>
                            <w:color w:val="000000"/>
                            <w:kern w:val="0"/>
                            <w:sz w:val="11"/>
                            <w:szCs w:val="11"/>
                          </w:rPr>
                        </w:pPr>
                        <w:r>
                          <w:rPr>
                            <w:rFonts w:hint="eastAsia" w:ascii="宋体" w:hAnsi="宋体" w:eastAsia="宋体" w:cs="Arial"/>
                            <w:color w:val="000000"/>
                            <w:kern w:val="0"/>
                            <w:sz w:val="11"/>
                            <w:szCs w:val="11"/>
                          </w:rPr>
                          <w:t>机关事业单位职业年金缴费支出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58.26</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58.26</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58.26</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医疗卫生与计划生育支出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行政事业单位医疗</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2101101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行政单位医疗</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住房保障支出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住房改革支出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2210201</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113.36</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113.36</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113.36</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2210203</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购房补贴</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22904</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1"/>
                            <w:szCs w:val="11"/>
                          </w:rPr>
                          <w:t>其他政府性基金及对应专项债务收入安排的支出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688"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2290400</w:t>
                        </w:r>
                      </w:p>
                    </w:tc>
                    <w:tc>
                      <w:tcPr>
                        <w:tcW w:w="760"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1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1"/>
                            <w:szCs w:val="11"/>
                          </w:rPr>
                          <w:t>其他政府性基金及对应专项债务收入安排的支出</w:t>
                        </w:r>
                      </w:p>
                    </w:tc>
                    <w:tc>
                      <w:tcPr>
                        <w:tcW w:w="8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71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8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6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5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60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88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bl>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 xml:space="preserve">   2017年度部门支出决算总表（分单位）</w:t>
      </w:r>
    </w:p>
    <w:tbl>
      <w:tblPr>
        <w:tblStyle w:val="6"/>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vAlign w:val="bottom"/>
          </w:tcPr>
          <w:tbl>
            <w:tblPr>
              <w:tblStyle w:val="6"/>
              <w:tblW w:w="9120" w:type="dxa"/>
              <w:tblInd w:w="0" w:type="dxa"/>
              <w:tblLayout w:type="fixed"/>
              <w:tblCellMar>
                <w:top w:w="0" w:type="dxa"/>
                <w:left w:w="108" w:type="dxa"/>
                <w:bottom w:w="0" w:type="dxa"/>
                <w:right w:w="108" w:type="dxa"/>
              </w:tblCellMar>
            </w:tblPr>
            <w:tblGrid>
              <w:gridCol w:w="1627"/>
              <w:gridCol w:w="1130"/>
              <w:gridCol w:w="1240"/>
              <w:gridCol w:w="1123"/>
              <w:gridCol w:w="1000"/>
              <w:gridCol w:w="1000"/>
              <w:gridCol w:w="1000"/>
              <w:gridCol w:w="1000"/>
            </w:tblGrid>
            <w:tr>
              <w:tblPrEx>
                <w:tblCellMar>
                  <w:top w:w="0" w:type="dxa"/>
                  <w:left w:w="108" w:type="dxa"/>
                  <w:bottom w:w="0" w:type="dxa"/>
                  <w:right w:w="108" w:type="dxa"/>
                </w:tblCellMar>
              </w:tblPrEx>
              <w:trPr>
                <w:trHeight w:val="255" w:hRule="atLeast"/>
              </w:trPr>
              <w:tc>
                <w:tcPr>
                  <w:tcW w:w="1627"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3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23"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公开03-1表</w:t>
                  </w:r>
                </w:p>
              </w:tc>
            </w:tr>
            <w:tr>
              <w:tblPrEx>
                <w:tblCellMar>
                  <w:top w:w="0" w:type="dxa"/>
                  <w:left w:w="108" w:type="dxa"/>
                  <w:bottom w:w="0" w:type="dxa"/>
                  <w:right w:w="108" w:type="dxa"/>
                </w:tblCellMar>
              </w:tblPrEx>
              <w:trPr>
                <w:trHeight w:val="270" w:hRule="atLeast"/>
              </w:trPr>
              <w:tc>
                <w:tcPr>
                  <w:tcW w:w="275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部门：温州市审计局</w:t>
                  </w:r>
                  <w:r>
                    <w:rPr>
                      <w:rFonts w:ascii="Arial" w:hAnsi="Arial" w:eastAsia="宋体" w:cs="Arial"/>
                      <w:color w:val="000000"/>
                      <w:kern w:val="0"/>
                      <w:sz w:val="20"/>
                      <w:szCs w:val="20"/>
                    </w:rPr>
                    <w:t>　</w:t>
                  </w:r>
                </w:p>
              </w:tc>
              <w:tc>
                <w:tcPr>
                  <w:tcW w:w="124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23"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62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13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363"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627"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1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2776.17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1831.96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243.61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700.60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温州市审计局</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2776.17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1831.96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243.61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700.60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1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627"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2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2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 xml:space="preserve">   2017年度部门支出决算总表（分科目）</w:t>
      </w:r>
    </w:p>
    <w:tbl>
      <w:tblPr>
        <w:tblStyle w:val="6"/>
        <w:tblW w:w="19156" w:type="dxa"/>
        <w:tblInd w:w="93" w:type="dxa"/>
        <w:tblLayout w:type="fixed"/>
        <w:tblCellMar>
          <w:top w:w="0" w:type="dxa"/>
          <w:left w:w="108" w:type="dxa"/>
          <w:bottom w:w="0" w:type="dxa"/>
          <w:right w:w="108" w:type="dxa"/>
        </w:tblCellMar>
      </w:tblPr>
      <w:tblGrid>
        <w:gridCol w:w="9904"/>
        <w:gridCol w:w="436"/>
        <w:gridCol w:w="436"/>
        <w:gridCol w:w="2020"/>
        <w:gridCol w:w="1060"/>
        <w:gridCol w:w="1060"/>
        <w:gridCol w:w="1060"/>
        <w:gridCol w:w="360"/>
        <w:gridCol w:w="700"/>
        <w:gridCol w:w="2120"/>
      </w:tblGrid>
      <w:tr>
        <w:tblPrEx>
          <w:tblCellMar>
            <w:top w:w="0" w:type="dxa"/>
            <w:left w:w="108" w:type="dxa"/>
            <w:bottom w:w="0" w:type="dxa"/>
            <w:right w:w="108" w:type="dxa"/>
          </w:tblCellMar>
        </w:tblPrEx>
        <w:trPr>
          <w:gridAfter w:val="2"/>
          <w:wAfter w:w="2820" w:type="dxa"/>
          <w:trHeight w:val="255" w:hRule="atLeast"/>
        </w:trPr>
        <w:tc>
          <w:tcPr>
            <w:tcW w:w="16336" w:type="dxa"/>
            <w:gridSpan w:val="8"/>
            <w:tcBorders>
              <w:top w:val="nil"/>
              <w:left w:val="nil"/>
              <w:bottom w:val="nil"/>
              <w:right w:val="nil"/>
            </w:tcBorders>
            <w:shd w:val="clear" w:color="auto" w:fill="auto"/>
            <w:vAlign w:val="bottom"/>
          </w:tcPr>
          <w:tbl>
            <w:tblPr>
              <w:tblStyle w:val="6"/>
              <w:tblW w:w="9688" w:type="dxa"/>
              <w:tblInd w:w="0" w:type="dxa"/>
              <w:tblLayout w:type="fixed"/>
              <w:tblCellMar>
                <w:top w:w="0" w:type="dxa"/>
                <w:left w:w="108" w:type="dxa"/>
                <w:bottom w:w="0" w:type="dxa"/>
                <w:right w:w="108" w:type="dxa"/>
              </w:tblCellMar>
            </w:tblPr>
            <w:tblGrid>
              <w:gridCol w:w="1041"/>
              <w:gridCol w:w="1276"/>
              <w:gridCol w:w="1170"/>
              <w:gridCol w:w="1098"/>
              <w:gridCol w:w="535"/>
              <w:gridCol w:w="599"/>
              <w:gridCol w:w="992"/>
              <w:gridCol w:w="1134"/>
              <w:gridCol w:w="275"/>
              <w:gridCol w:w="576"/>
              <w:gridCol w:w="992"/>
            </w:tblGrid>
            <w:tr>
              <w:tblPrEx>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eastAsia="宋体" w:cs="Arial"/>
                      <w:color w:val="000000"/>
                      <w:kern w:val="0"/>
                      <w:sz w:val="20"/>
                      <w:szCs w:val="20"/>
                    </w:rPr>
                  </w:pPr>
                </w:p>
              </w:tc>
              <w:tc>
                <w:tcPr>
                  <w:tcW w:w="11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633"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231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r>
                    <w:rPr>
                      <w:rFonts w:hint="eastAsia" w:ascii="Arial" w:hAnsi="Arial" w:eastAsia="宋体" w:cs="Arial"/>
                      <w:color w:val="000000"/>
                      <w:kern w:val="0"/>
                      <w:sz w:val="20"/>
                      <w:szCs w:val="20"/>
                    </w:rPr>
                    <w:t>温州市审计局</w:t>
                  </w:r>
                </w:p>
              </w:tc>
              <w:tc>
                <w:tcPr>
                  <w:tcW w:w="1170" w:type="dxa"/>
                  <w:tcBorders>
                    <w:top w:val="nil"/>
                    <w:left w:val="nil"/>
                    <w:bottom w:val="single" w:color="auto" w:sz="4" w:space="0"/>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633"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117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232"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098"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17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98"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170"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2776.17　</w:t>
                  </w:r>
                </w:p>
              </w:tc>
              <w:tc>
                <w:tcPr>
                  <w:tcW w:w="109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1831.96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243.61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700.60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一般公共服务支出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2223.79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1279.58</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243.61</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700.60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审计事务</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2223.79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1279.58</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243.61</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700.60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行政运行</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1523.19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1279.58</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243.61</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2010802</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一般行政管理事务</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116.63</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116.63</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2010804</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审计业务</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373.70</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373.70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2010806</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信息化建设</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69.54</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69.54</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2010899</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其他审计事务支出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140.73</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140.73</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社会保障和就业支出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行政事业单位离退休</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2080505</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1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1"/>
                      <w:szCs w:val="11"/>
                    </w:rPr>
                    <w:t>机关事业单位基本养老保险缴费支出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145.66</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145.66</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2080506</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1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1"/>
                      <w:szCs w:val="11"/>
                    </w:rPr>
                    <w:t>机关事业单位职业年金缴费支出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58.26</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58.26</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医疗卫生与计划生育支出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行政事业单位医疗</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行政单位医疗</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住房保障支出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住房改革支出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113.36</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113.36</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2210203</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购房补贴</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w:t>
                  </w:r>
                  <w:r>
                    <w:rPr>
                      <w:rFonts w:hint="eastAsia" w:ascii="宋体" w:hAnsi="宋体" w:eastAsia="宋体" w:cs="Arial"/>
                      <w:color w:val="000000"/>
                      <w:kern w:val="0"/>
                      <w:sz w:val="15"/>
                      <w:szCs w:val="15"/>
                    </w:rPr>
                    <w:t>　</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w:t>
                  </w:r>
                  <w:r>
                    <w:rPr>
                      <w:rFonts w:hint="eastAsia" w:ascii="宋体" w:hAnsi="宋体" w:eastAsia="宋体" w:cs="Arial"/>
                      <w:color w:val="000000"/>
                      <w:kern w:val="0"/>
                      <w:sz w:val="15"/>
                      <w:szCs w:val="15"/>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r>
                    <w:rPr>
                      <w:rFonts w:hint="eastAsia" w:ascii="宋体" w:hAnsi="宋体" w:eastAsia="宋体" w:cs="Arial"/>
                      <w:color w:val="000000"/>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r>
                    <w:rPr>
                      <w:rFonts w:hint="eastAsia" w:ascii="宋体" w:hAnsi="宋体" w:eastAsia="宋体" w:cs="Arial"/>
                      <w:color w:val="000000"/>
                      <w:kern w:val="0"/>
                      <w:sz w:val="15"/>
                      <w:szCs w:val="15"/>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22904</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1"/>
                      <w:szCs w:val="11"/>
                    </w:rPr>
                    <w:t>其他政府性基金及对应专项债务收入安排的支出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w:t>
                  </w:r>
                  <w:r>
                    <w:rPr>
                      <w:rFonts w:hint="eastAsia" w:ascii="宋体" w:hAnsi="宋体" w:eastAsia="宋体" w:cs="Arial"/>
                      <w:color w:val="000000"/>
                      <w:kern w:val="0"/>
                      <w:sz w:val="15"/>
                      <w:szCs w:val="15"/>
                    </w:rPr>
                    <w:t>　</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w:t>
                  </w:r>
                  <w:r>
                    <w:rPr>
                      <w:rFonts w:hint="eastAsia" w:ascii="宋体" w:hAnsi="宋体" w:eastAsia="宋体" w:cs="Arial"/>
                      <w:color w:val="000000"/>
                      <w:kern w:val="0"/>
                      <w:sz w:val="15"/>
                      <w:szCs w:val="15"/>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r>
                    <w:rPr>
                      <w:rFonts w:hint="eastAsia" w:ascii="宋体" w:hAnsi="宋体" w:eastAsia="宋体" w:cs="Arial"/>
                      <w:color w:val="000000"/>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r>
                    <w:rPr>
                      <w:rFonts w:hint="eastAsia" w:ascii="宋体" w:hAnsi="宋体" w:eastAsia="宋体" w:cs="Arial"/>
                      <w:color w:val="000000"/>
                      <w:kern w:val="0"/>
                      <w:sz w:val="15"/>
                      <w:szCs w:val="15"/>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2290400</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widowControl/>
                    <w:ind w:firstLine="11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1"/>
                      <w:szCs w:val="11"/>
                    </w:rPr>
                    <w:t>其他政府性基金及对应专项债务收入安排的支出</w:t>
                  </w:r>
                </w:p>
              </w:tc>
              <w:tc>
                <w:tcPr>
                  <w:tcW w:w="11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w:t>
                  </w:r>
                  <w:r>
                    <w:rPr>
                      <w:rFonts w:hint="eastAsia" w:ascii="宋体" w:hAnsi="宋体" w:eastAsia="宋体" w:cs="Arial"/>
                      <w:color w:val="000000"/>
                      <w:kern w:val="0"/>
                      <w:sz w:val="15"/>
                      <w:szCs w:val="15"/>
                    </w:rPr>
                    <w:t>　</w:t>
                  </w:r>
                </w:p>
              </w:tc>
              <w:tc>
                <w:tcPr>
                  <w:tcW w:w="1098"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w:t>
                  </w:r>
                  <w:r>
                    <w:rPr>
                      <w:rFonts w:hint="eastAsia" w:ascii="宋体" w:hAnsi="宋体" w:eastAsia="宋体" w:cs="Arial"/>
                      <w:color w:val="000000"/>
                      <w:kern w:val="0"/>
                      <w:sz w:val="15"/>
                      <w:szCs w:val="15"/>
                    </w:rPr>
                    <w:t>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r>
                    <w:rPr>
                      <w:rFonts w:hint="eastAsia" w:ascii="宋体" w:hAnsi="宋体" w:eastAsia="宋体" w:cs="Arial"/>
                      <w:color w:val="000000"/>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r>
                    <w:rPr>
                      <w:rFonts w:hint="eastAsia" w:ascii="宋体" w:hAnsi="宋体" w:eastAsia="宋体" w:cs="Arial"/>
                      <w:color w:val="000000"/>
                      <w:kern w:val="0"/>
                      <w:sz w:val="15"/>
                      <w:szCs w:val="15"/>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bl>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6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2017年度部门财政拨款收入支出决算总表</w:t>
      </w:r>
    </w:p>
    <w:tbl>
      <w:tblPr>
        <w:tblStyle w:val="6"/>
        <w:tblW w:w="15990" w:type="dxa"/>
        <w:tblInd w:w="93" w:type="dxa"/>
        <w:tblLayout w:type="fixed"/>
        <w:tblCellMar>
          <w:top w:w="0" w:type="dxa"/>
          <w:left w:w="108" w:type="dxa"/>
          <w:bottom w:w="0" w:type="dxa"/>
          <w:right w:w="108" w:type="dxa"/>
        </w:tblCellMar>
      </w:tblPr>
      <w:tblGrid>
        <w:gridCol w:w="9369"/>
        <w:gridCol w:w="240"/>
        <w:gridCol w:w="880"/>
        <w:gridCol w:w="2240"/>
        <w:gridCol w:w="440"/>
        <w:gridCol w:w="2821"/>
      </w:tblGrid>
      <w:tr>
        <w:tblPrEx>
          <w:tblCellMar>
            <w:top w:w="0" w:type="dxa"/>
            <w:left w:w="108" w:type="dxa"/>
            <w:bottom w:w="0" w:type="dxa"/>
            <w:right w:w="108" w:type="dxa"/>
          </w:tblCellMar>
        </w:tblPrEx>
        <w:trPr>
          <w:trHeight w:val="255" w:hRule="atLeast"/>
        </w:trPr>
        <w:tc>
          <w:tcPr>
            <w:tcW w:w="9369" w:type="dxa"/>
            <w:tcBorders>
              <w:top w:val="nil"/>
              <w:left w:val="nil"/>
              <w:bottom w:val="nil"/>
              <w:right w:val="nil"/>
            </w:tcBorders>
            <w:shd w:val="clear" w:color="auto" w:fill="auto"/>
            <w:vAlign w:val="bottom"/>
          </w:tcPr>
          <w:tbl>
            <w:tblPr>
              <w:tblStyle w:val="6"/>
              <w:tblW w:w="9508" w:type="dxa"/>
              <w:tblInd w:w="0" w:type="dxa"/>
              <w:tblLayout w:type="fixed"/>
              <w:tblCellMar>
                <w:top w:w="0" w:type="dxa"/>
                <w:left w:w="108" w:type="dxa"/>
                <w:bottom w:w="0" w:type="dxa"/>
                <w:right w:w="108" w:type="dxa"/>
              </w:tblCellMar>
            </w:tblPr>
            <w:tblGrid>
              <w:gridCol w:w="2148"/>
              <w:gridCol w:w="400"/>
              <w:gridCol w:w="1170"/>
              <w:gridCol w:w="2030"/>
              <w:gridCol w:w="410"/>
              <w:gridCol w:w="1100"/>
              <w:gridCol w:w="1150"/>
              <w:gridCol w:w="1100"/>
            </w:tblGrid>
            <w:tr>
              <w:tblPrEx>
                <w:tblCellMar>
                  <w:top w:w="0" w:type="dxa"/>
                  <w:left w:w="108" w:type="dxa"/>
                  <w:bottom w:w="0" w:type="dxa"/>
                  <w:right w:w="108" w:type="dxa"/>
                </w:tblCellMar>
              </w:tblPrEx>
              <w:trPr>
                <w:trHeight w:val="255" w:hRule="atLeast"/>
              </w:trPr>
              <w:tc>
                <w:tcPr>
                  <w:tcW w:w="2148"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3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1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350" w:type="dxa"/>
                  <w:gridSpan w:val="3"/>
                  <w:tcBorders>
                    <w:top w:val="nil"/>
                    <w:left w:val="nil"/>
                    <w:bottom w:val="nil"/>
                    <w:right w:val="nil"/>
                  </w:tcBorders>
                  <w:shd w:val="clear" w:color="000000" w:fill="FFFFFF"/>
                  <w:vAlign w:val="bottom"/>
                </w:tcPr>
                <w:p>
                  <w:pPr>
                    <w:widowControl/>
                    <w:jc w:val="right"/>
                    <w:rPr>
                      <w:rFonts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公开04表</w:t>
                  </w:r>
                </w:p>
              </w:tc>
            </w:tr>
            <w:tr>
              <w:tblPrEx>
                <w:tblCellMar>
                  <w:top w:w="0" w:type="dxa"/>
                  <w:left w:w="108" w:type="dxa"/>
                  <w:bottom w:w="0" w:type="dxa"/>
                  <w:right w:w="108" w:type="dxa"/>
                </w:tblCellMar>
              </w:tblPrEx>
              <w:trPr>
                <w:trHeight w:val="315" w:hRule="atLeast"/>
              </w:trPr>
              <w:tc>
                <w:tcPr>
                  <w:tcW w:w="2148" w:type="dxa"/>
                  <w:tcBorders>
                    <w:top w:val="nil"/>
                    <w:left w:val="nil"/>
                    <w:bottom w:val="nil"/>
                    <w:right w:val="nil"/>
                  </w:tcBorders>
                  <w:shd w:val="clear" w:color="000000" w:fill="FFFFFF"/>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0"/>
                      <w:szCs w:val="20"/>
                    </w:rPr>
                    <w:t>部门：温州市审计局</w:t>
                  </w:r>
                </w:p>
              </w:tc>
              <w:tc>
                <w:tcPr>
                  <w:tcW w:w="40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7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3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10" w:type="dxa"/>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350" w:type="dxa"/>
                  <w:gridSpan w:val="3"/>
                  <w:tcBorders>
                    <w:top w:val="nil"/>
                    <w:left w:val="nil"/>
                    <w:bottom w:val="nil"/>
                    <w:right w:val="nil"/>
                  </w:tcBorders>
                  <w:shd w:val="clear" w:color="000000" w:fill="FFFFFF"/>
                  <w:vAlign w:val="bottom"/>
                </w:tcPr>
                <w:p>
                  <w:pPr>
                    <w:widowControl/>
                    <w:jc w:val="right"/>
                    <w:rPr>
                      <w:rFonts w:asciiTheme="majorEastAsia" w:hAnsiTheme="majorEastAsia" w:eastAsiaTheme="majorEastAsia" w:cstheme="majorEastAsia"/>
                      <w:color w:val="000000"/>
                      <w:kern w:val="0"/>
                      <w:sz w:val="20"/>
                      <w:szCs w:val="20"/>
                    </w:rPr>
                  </w:pPr>
                  <w:r>
                    <w:rPr>
                      <w:rFonts w:hint="eastAsia" w:asciiTheme="majorEastAsia" w:hAnsiTheme="majorEastAsia" w:eastAsiaTheme="majorEastAsia" w:cstheme="maj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718"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790"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CellMar>
                  <w:top w:w="0" w:type="dxa"/>
                  <w:left w:w="108" w:type="dxa"/>
                  <w:bottom w:w="0" w:type="dxa"/>
                  <w:right w:w="108" w:type="dxa"/>
                </w:tblCellMar>
              </w:tblPrEx>
              <w:trPr>
                <w:trHeight w:val="293" w:hRule="atLeast"/>
              </w:trPr>
              <w:tc>
                <w:tcPr>
                  <w:tcW w:w="2148"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4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117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03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1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335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14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7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03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1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1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20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2565.00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2154.25</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2154.25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2706.63　</w:t>
                  </w:r>
                </w:p>
              </w:tc>
              <w:tc>
                <w:tcPr>
                  <w:tcW w:w="20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2706.63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2565.00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15.66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15.66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15.66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15.66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11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3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148"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0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117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2722.29　</w:t>
                  </w:r>
                </w:p>
              </w:tc>
              <w:tc>
                <w:tcPr>
                  <w:tcW w:w="203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1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11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2722.29　</w:t>
                  </w:r>
                </w:p>
              </w:tc>
              <w:tc>
                <w:tcPr>
                  <w:tcW w:w="115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2580.66　</w:t>
                  </w:r>
                </w:p>
              </w:tc>
              <w:tc>
                <w:tcPr>
                  <w:tcW w:w="11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r>
          </w:tbl>
          <w:p>
            <w:pPr>
              <w:widowControl/>
              <w:jc w:val="left"/>
              <w:rPr>
                <w:rFonts w:ascii="Arial" w:hAnsi="Arial" w:eastAsia="宋体" w:cs="Arial"/>
                <w:color w:val="000000"/>
                <w:kern w:val="0"/>
                <w:sz w:val="20"/>
                <w:szCs w:val="20"/>
              </w:rPr>
            </w:pPr>
          </w:p>
        </w:tc>
        <w:tc>
          <w:tcPr>
            <w:tcW w:w="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CellMar>
            <w:top w:w="0" w:type="dxa"/>
            <w:left w:w="108" w:type="dxa"/>
            <w:bottom w:w="0" w:type="dxa"/>
            <w:right w:w="108" w:type="dxa"/>
          </w:tblCellMar>
        </w:tblPrEx>
        <w:trPr>
          <w:trHeight w:val="492" w:hRule="atLeast"/>
        </w:trPr>
        <w:tc>
          <w:tcPr>
            <w:tcW w:w="9369"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4"/>
                <w:szCs w:val="24"/>
              </w:rPr>
            </w:pPr>
          </w:p>
        </w:tc>
        <w:tc>
          <w:tcPr>
            <w:tcW w:w="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2017年度部门一般公共预算财政拨款支出决算表</w:t>
      </w:r>
    </w:p>
    <w:tbl>
      <w:tblPr>
        <w:tblStyle w:val="6"/>
        <w:tblW w:w="18916" w:type="dxa"/>
        <w:tblInd w:w="93" w:type="dxa"/>
        <w:tblLayout w:type="fixed"/>
        <w:tblCellMar>
          <w:top w:w="0" w:type="dxa"/>
          <w:left w:w="108" w:type="dxa"/>
          <w:bottom w:w="0" w:type="dxa"/>
          <w:right w:w="108" w:type="dxa"/>
        </w:tblCellMar>
      </w:tblPr>
      <w:tblGrid>
        <w:gridCol w:w="482"/>
        <w:gridCol w:w="408"/>
        <w:gridCol w:w="74"/>
        <w:gridCol w:w="236"/>
        <w:gridCol w:w="2000"/>
        <w:gridCol w:w="200"/>
        <w:gridCol w:w="1380"/>
        <w:gridCol w:w="785"/>
        <w:gridCol w:w="675"/>
        <w:gridCol w:w="1520"/>
        <w:gridCol w:w="80"/>
        <w:gridCol w:w="1585"/>
        <w:gridCol w:w="359"/>
        <w:gridCol w:w="436"/>
        <w:gridCol w:w="436"/>
        <w:gridCol w:w="2180"/>
        <w:gridCol w:w="1520"/>
        <w:gridCol w:w="1520"/>
        <w:gridCol w:w="3040"/>
      </w:tblGrid>
      <w:tr>
        <w:tblPrEx>
          <w:tblCellMar>
            <w:top w:w="0" w:type="dxa"/>
            <w:left w:w="108" w:type="dxa"/>
            <w:bottom w:w="0" w:type="dxa"/>
            <w:right w:w="108" w:type="dxa"/>
          </w:tblCellMar>
        </w:tblPrEx>
        <w:trPr>
          <w:gridAfter w:val="7"/>
          <w:wAfter w:w="9491" w:type="dxa"/>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8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6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185" w:type="dxa"/>
            <w:gridSpan w:val="3"/>
            <w:tcBorders>
              <w:top w:val="nil"/>
              <w:left w:val="nil"/>
              <w:bottom w:val="nil"/>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gridAfter w:val="7"/>
          <w:wAfter w:w="9491" w:type="dxa"/>
          <w:trHeight w:val="270" w:hRule="atLeast"/>
        </w:trPr>
        <w:tc>
          <w:tcPr>
            <w:tcW w:w="3200" w:type="dxa"/>
            <w:gridSpan w:val="5"/>
            <w:tcBorders>
              <w:top w:val="nil"/>
              <w:left w:val="nil"/>
              <w:bottom w:val="single" w:color="000000" w:sz="8" w:space="0"/>
              <w:right w:val="nil"/>
            </w:tcBorders>
            <w:shd w:val="clear" w:color="000000" w:fill="FFFFFF"/>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部门：温州市审计局</w:t>
            </w:r>
          </w:p>
        </w:tc>
        <w:tc>
          <w:tcPr>
            <w:tcW w:w="1580" w:type="dxa"/>
            <w:gridSpan w:val="2"/>
            <w:tcBorders>
              <w:top w:val="nil"/>
              <w:left w:val="nil"/>
              <w:bottom w:val="nil"/>
              <w:right w:val="nil"/>
            </w:tcBorders>
            <w:shd w:val="clear" w:color="000000" w:fill="FFFFFF"/>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6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185" w:type="dxa"/>
            <w:gridSpan w:val="3"/>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7"/>
          <w:wAfter w:w="9491" w:type="dxa"/>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58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6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665"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CellMar>
            <w:top w:w="0" w:type="dxa"/>
            <w:left w:w="108" w:type="dxa"/>
            <w:bottom w:w="0" w:type="dxa"/>
            <w:right w:w="108" w:type="dxa"/>
          </w:tblCellMar>
        </w:tblPrEx>
        <w:trPr>
          <w:gridAfter w:val="7"/>
          <w:wAfter w:w="9491" w:type="dxa"/>
          <w:trHeight w:val="308" w:hRule="atLeast"/>
        </w:trPr>
        <w:tc>
          <w:tcPr>
            <w:tcW w:w="890" w:type="dxa"/>
            <w:gridSpan w:val="2"/>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31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5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6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1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6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1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8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46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23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58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46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66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gridAfter w:val="7"/>
          <w:wAfter w:w="9491" w:type="dxa"/>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2565.00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1933.94</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631.06</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一般公共服务支出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2154.25</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1523.19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631.06</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审计事务</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2154.25</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1523.19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631.06</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行政运行</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1523.19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1523.19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2010802</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一般行政管理事务</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116.63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116.63</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2010804</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审计业务</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373.70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373.70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2010899</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其他审计事务支出　</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140.73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140.73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社会保障和就业支出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行政事业单位离退休</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203.92</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2080505</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机关事业单位基本养老保险缴费支出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145.66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145.66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2080506</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机关事业单位职业年金缴费支出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58.26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58.26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医疗卫生与计划生育支出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行政事业单位医疗</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2101101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行政单位医疗</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91.04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住房保障支出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住房改革支出</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115.79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2210201</w:t>
            </w:r>
          </w:p>
        </w:tc>
        <w:tc>
          <w:tcPr>
            <w:tcW w:w="2310" w:type="dxa"/>
            <w:gridSpan w:val="3"/>
            <w:tcBorders>
              <w:top w:val="nil"/>
              <w:left w:val="nil"/>
              <w:bottom w:val="single" w:color="000000" w:sz="4"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住房公积金</w:t>
            </w:r>
          </w:p>
        </w:tc>
        <w:tc>
          <w:tcPr>
            <w:tcW w:w="15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113.36</w:t>
            </w:r>
          </w:p>
        </w:tc>
        <w:tc>
          <w:tcPr>
            <w:tcW w:w="146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113.36</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66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000000" w:sz="4" w:space="0"/>
              <w:left w:val="single" w:color="000000" w:sz="8" w:space="0"/>
              <w:bottom w:val="single" w:color="000000" w:sz="8" w:space="0"/>
              <w:right w:val="single" w:color="000000" w:sz="4" w:space="0"/>
            </w:tcBorders>
            <w:shd w:val="clear" w:color="000000"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2210203</w:t>
            </w:r>
          </w:p>
        </w:tc>
        <w:tc>
          <w:tcPr>
            <w:tcW w:w="2310" w:type="dxa"/>
            <w:gridSpan w:val="3"/>
            <w:tcBorders>
              <w:top w:val="nil"/>
              <w:left w:val="nil"/>
              <w:bottom w:val="single" w:color="000000" w:sz="8" w:space="0"/>
              <w:right w:val="single" w:color="000000" w:sz="4" w:space="0"/>
            </w:tcBorders>
            <w:shd w:val="clear" w:color="000000" w:fill="FFFFFF"/>
            <w:vAlign w:val="center"/>
          </w:tcPr>
          <w:p>
            <w:pPr>
              <w:widowControl/>
              <w:ind w:firstLine="180" w:firstLineChars="100"/>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购房补贴　</w:t>
            </w:r>
          </w:p>
        </w:tc>
        <w:tc>
          <w:tcPr>
            <w:tcW w:w="158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　</w:t>
            </w:r>
          </w:p>
        </w:tc>
        <w:tc>
          <w:tcPr>
            <w:tcW w:w="146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2.43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665"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7"/>
          <w:wAfter w:w="9491" w:type="dxa"/>
          <w:trHeight w:val="540" w:hRule="atLeast"/>
        </w:trPr>
        <w:tc>
          <w:tcPr>
            <w:tcW w:w="9425" w:type="dxa"/>
            <w:gridSpan w:val="12"/>
            <w:tcBorders>
              <w:top w:val="nil"/>
              <w:left w:val="nil"/>
              <w:bottom w:val="nil"/>
              <w:right w:val="nil"/>
            </w:tcBorders>
            <w:shd w:val="clear" w:color="auto" w:fill="auto"/>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r>
              <w:rPr>
                <w:rFonts w:hint="eastAsia" w:ascii="仿宋" w:hAnsi="Times New Roman" w:eastAsia="仿宋" w:cs="仿宋"/>
                <w:b/>
                <w:sz w:val="32"/>
                <w:szCs w:val="32"/>
              </w:rPr>
              <w:t>2017年度部门一般公共预算基本支出决算表</w:t>
            </w:r>
          </w:p>
        </w:tc>
      </w:tr>
      <w:tr>
        <w:tblPrEx>
          <w:tblCellMar>
            <w:top w:w="0" w:type="dxa"/>
            <w:left w:w="108" w:type="dxa"/>
            <w:bottom w:w="0" w:type="dxa"/>
            <w:right w:w="108" w:type="dxa"/>
          </w:tblCellMar>
        </w:tblPrEx>
        <w:trPr>
          <w:gridAfter w:val="7"/>
          <w:wAfter w:w="9491" w:type="dxa"/>
          <w:trHeight w:val="255" w:hRule="atLeast"/>
        </w:trPr>
        <w:tc>
          <w:tcPr>
            <w:tcW w:w="89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510" w:type="dxa"/>
            <w:gridSpan w:val="4"/>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3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8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275"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85"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公开06表</w:t>
            </w:r>
          </w:p>
        </w:tc>
      </w:tr>
      <w:tr>
        <w:tblPrEx>
          <w:tblCellMar>
            <w:top w:w="0" w:type="dxa"/>
            <w:left w:w="108" w:type="dxa"/>
            <w:bottom w:w="0" w:type="dxa"/>
            <w:right w:w="108" w:type="dxa"/>
          </w:tblCellMar>
        </w:tblPrEx>
        <w:trPr>
          <w:gridAfter w:val="7"/>
          <w:wAfter w:w="9491" w:type="dxa"/>
          <w:trHeight w:val="255" w:hRule="atLeast"/>
        </w:trPr>
        <w:tc>
          <w:tcPr>
            <w:tcW w:w="890" w:type="dxa"/>
            <w:gridSpan w:val="2"/>
            <w:tcBorders>
              <w:top w:val="nil"/>
              <w:left w:val="nil"/>
              <w:bottom w:val="single" w:color="auto" w:sz="4" w:space="0"/>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2510" w:type="dxa"/>
            <w:gridSpan w:val="4"/>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温州市审计局</w:t>
            </w:r>
          </w:p>
        </w:tc>
        <w:tc>
          <w:tcPr>
            <w:tcW w:w="1380" w:type="dxa"/>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785" w:type="dxa"/>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2275" w:type="dxa"/>
            <w:gridSpan w:val="3"/>
            <w:tcBorders>
              <w:top w:val="nil"/>
              <w:left w:val="nil"/>
              <w:bottom w:val="single" w:color="auto" w:sz="4" w:space="0"/>
              <w:right w:val="nil"/>
            </w:tcBorders>
            <w:shd w:val="clear" w:color="auto" w:fill="auto"/>
            <w:vAlign w:val="bottom"/>
          </w:tcPr>
          <w:p>
            <w:pPr>
              <w:widowControl/>
              <w:jc w:val="left"/>
              <w:rPr>
                <w:rFonts w:ascii="Arial" w:hAnsi="Arial" w:eastAsia="宋体" w:cs="Arial"/>
                <w:color w:val="000000"/>
                <w:kern w:val="0"/>
                <w:sz w:val="20"/>
                <w:szCs w:val="20"/>
              </w:rPr>
            </w:pPr>
          </w:p>
        </w:tc>
        <w:tc>
          <w:tcPr>
            <w:tcW w:w="1585" w:type="dxa"/>
            <w:tcBorders>
              <w:top w:val="nil"/>
              <w:left w:val="nil"/>
              <w:bottom w:val="single" w:color="auto" w:sz="4" w:space="0"/>
              <w:right w:val="nil"/>
            </w:tcBorders>
            <w:shd w:val="clear" w:color="auto" w:fill="auto"/>
            <w:vAlign w:val="bottom"/>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7"/>
          <w:wAfter w:w="9491" w:type="dxa"/>
          <w:trHeight w:val="308" w:hRule="atLeast"/>
        </w:trPr>
        <w:tc>
          <w:tcPr>
            <w:tcW w:w="4780" w:type="dxa"/>
            <w:gridSpan w:val="7"/>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w:t>
            </w:r>
          </w:p>
        </w:tc>
        <w:tc>
          <w:tcPr>
            <w:tcW w:w="4645" w:type="dxa"/>
            <w:gridSpan w:val="5"/>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510" w:type="dxa"/>
            <w:gridSpan w:val="4"/>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380"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c>
          <w:tcPr>
            <w:tcW w:w="785"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275" w:type="dxa"/>
            <w:gridSpan w:val="3"/>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585"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301</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工资福利支出</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1432.42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商品和服务支出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243.37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30101</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基本工资</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281.44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21.75　</w:t>
            </w:r>
          </w:p>
        </w:tc>
      </w:tr>
      <w:tr>
        <w:tblPrEx>
          <w:tblCellMar>
            <w:top w:w="0" w:type="dxa"/>
            <w:left w:w="108" w:type="dxa"/>
            <w:bottom w:w="0" w:type="dxa"/>
            <w:right w:w="108" w:type="dxa"/>
          </w:tblCellMar>
        </w:tblPrEx>
        <w:trPr>
          <w:gridAfter w:val="7"/>
          <w:wAfter w:w="9491" w:type="dxa"/>
          <w:trHeight w:val="27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30102</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津贴补贴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382.89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印刷费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0.57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30103</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417.66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咨询费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30104</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其他社会保障缴费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11.55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30204</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手续费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30106</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伙食补助费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27.28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30205</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水费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30107</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绩效工资</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555"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30108</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145.66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30207</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邮电费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5.96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30109</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职业年金缴费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58.26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30208</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取暖费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30199</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其他工资福利支出</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107.68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物业管理费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303</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对个人和家庭的补助</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257.91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差旅费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4.87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30301</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离休费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15.00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因公出国（境）费用</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1.50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30302</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退休费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维修(护)费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30303</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退职（役）费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30214</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租赁费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30304</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15.53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30215</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会议费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4.12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30305</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生活补助</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培训费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11.13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30306</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救济费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30217</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6.78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30307</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医疗费</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91.04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30218</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专用材料费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30308</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助学金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30224</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被装购置费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30309</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奖励金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30225</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专用燃料费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30310</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生产补贴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劳务费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37.78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30311</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113.36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30227</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委托业务费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30312</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提租补贴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30228</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工会经费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9.36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30313</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购房补贴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2.43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福利费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36.39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30314</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采暖补贴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30315</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物业服务补贴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其他交通费用</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68.24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30399</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其他对个人和家庭的补助支出</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20.55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30240</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税金及附加费用</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30299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其他商品和服务支出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34.92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304</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对事业单位的补贴</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企业政策性补贴</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事业单位补贴</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财政贴息</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30499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其他对企事业单位的补贴</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310</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其他资本性支出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0.24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房屋建筑物购建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办公设备购置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0.24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专用设备购置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31005</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基础设施建设</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大型修缮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31007</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信息网络及软件购置更新</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31008</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物资储备</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土地补偿</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31010</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安置补助</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31011</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地上附着物和青苗补偿</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31012</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拆迁补偿</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31013</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其他交通工具购置</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31099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其他资本性支出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399</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其他支出</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308" w:hRule="atLeast"/>
        </w:trPr>
        <w:tc>
          <w:tcPr>
            <w:tcW w:w="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5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39906</w:t>
            </w:r>
          </w:p>
        </w:tc>
        <w:tc>
          <w:tcPr>
            <w:tcW w:w="2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赠与</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0.00　</w:t>
            </w:r>
          </w:p>
        </w:tc>
      </w:tr>
      <w:tr>
        <w:tblPrEx>
          <w:tblCellMar>
            <w:top w:w="0" w:type="dxa"/>
            <w:left w:w="108" w:type="dxa"/>
            <w:bottom w:w="0" w:type="dxa"/>
            <w:right w:w="108" w:type="dxa"/>
          </w:tblCellMar>
        </w:tblPrEx>
        <w:trPr>
          <w:gridAfter w:val="7"/>
          <w:wAfter w:w="9491" w:type="dxa"/>
          <w:trHeight w:val="255" w:hRule="atLeast"/>
        </w:trPr>
        <w:tc>
          <w:tcPr>
            <w:tcW w:w="3400"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人员经费合计</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1690.33</w:t>
            </w:r>
          </w:p>
        </w:tc>
        <w:tc>
          <w:tcPr>
            <w:tcW w:w="3060"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公用经费合计</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243.61</w:t>
            </w:r>
          </w:p>
        </w:tc>
      </w:tr>
      <w:tr>
        <w:tblPrEx>
          <w:tblCellMar>
            <w:top w:w="0" w:type="dxa"/>
            <w:left w:w="108" w:type="dxa"/>
            <w:bottom w:w="0" w:type="dxa"/>
            <w:right w:w="108" w:type="dxa"/>
          </w:tblCellMar>
        </w:tblPrEx>
        <w:trPr>
          <w:trHeight w:val="255" w:hRule="atLeast"/>
        </w:trPr>
        <w:tc>
          <w:tcPr>
            <w:tcW w:w="9784" w:type="dxa"/>
            <w:gridSpan w:val="1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70" w:hRule="atLeast"/>
        </w:trPr>
        <w:tc>
          <w:tcPr>
            <w:tcW w:w="9784" w:type="dxa"/>
            <w:gridSpan w:val="13"/>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 xml:space="preserve">  2017年度部门政府性基金收入支出决算表</w:t>
      </w:r>
    </w:p>
    <w:tbl>
      <w:tblPr>
        <w:tblStyle w:val="6"/>
        <w:tblW w:w="9530" w:type="dxa"/>
        <w:tblInd w:w="93" w:type="dxa"/>
        <w:tblLayout w:type="fixed"/>
        <w:tblCellMar>
          <w:top w:w="0" w:type="dxa"/>
          <w:left w:w="108" w:type="dxa"/>
          <w:bottom w:w="0" w:type="dxa"/>
          <w:right w:w="108" w:type="dxa"/>
        </w:tblCellMar>
      </w:tblPr>
      <w:tblGrid>
        <w:gridCol w:w="376"/>
        <w:gridCol w:w="376"/>
        <w:gridCol w:w="376"/>
        <w:gridCol w:w="1460"/>
        <w:gridCol w:w="1072"/>
        <w:gridCol w:w="1050"/>
        <w:gridCol w:w="1110"/>
        <w:gridCol w:w="1070"/>
        <w:gridCol w:w="1110"/>
        <w:gridCol w:w="153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46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7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5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7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53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2588" w:type="dxa"/>
            <w:gridSpan w:val="4"/>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r>
              <w:rPr>
                <w:rFonts w:hint="eastAsia" w:ascii="宋体" w:hAnsi="宋体" w:eastAsia="宋体" w:cs="Arial"/>
                <w:color w:val="000000"/>
                <w:kern w:val="0"/>
                <w:sz w:val="20"/>
                <w:szCs w:val="20"/>
              </w:rPr>
              <w:t>部门：温州市审计局</w:t>
            </w:r>
          </w:p>
        </w:tc>
        <w:tc>
          <w:tcPr>
            <w:tcW w:w="1072"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5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07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11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16"/>
                <w:szCs w:val="16"/>
              </w:rPr>
            </w:pPr>
          </w:p>
        </w:tc>
        <w:tc>
          <w:tcPr>
            <w:tcW w:w="1530" w:type="dxa"/>
            <w:tcBorders>
              <w:top w:val="nil"/>
              <w:left w:val="nil"/>
              <w:bottom w:val="nil"/>
              <w:right w:val="nil"/>
            </w:tcBorders>
            <w:shd w:val="clear" w:color="auto" w:fill="auto"/>
            <w:vAlign w:val="bottom"/>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07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年初结余和结转</w:t>
            </w:r>
          </w:p>
        </w:tc>
        <w:tc>
          <w:tcPr>
            <w:tcW w:w="105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本年收入</w:t>
            </w:r>
          </w:p>
        </w:tc>
        <w:tc>
          <w:tcPr>
            <w:tcW w:w="329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w:t>
            </w:r>
          </w:p>
        </w:tc>
        <w:tc>
          <w:tcPr>
            <w:tcW w:w="1530" w:type="dxa"/>
            <w:vMerge w:val="restart"/>
            <w:tcBorders>
              <w:top w:val="single" w:color="000000" w:sz="8" w:space="0"/>
              <w:left w:val="nil"/>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 计</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c>
          <w:tcPr>
            <w:tcW w:w="1530" w:type="dxa"/>
            <w:vMerge w:val="continue"/>
            <w:tcBorders>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  计</w:t>
            </w:r>
          </w:p>
        </w:tc>
        <w:tc>
          <w:tcPr>
            <w:tcW w:w="10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5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0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0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1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5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其他支出</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22904</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1"/>
                <w:szCs w:val="11"/>
              </w:rPr>
            </w:pPr>
            <w:r>
              <w:rPr>
                <w:rFonts w:hint="eastAsia" w:ascii="宋体" w:hAnsi="宋体" w:eastAsia="宋体" w:cs="Arial"/>
                <w:color w:val="000000"/>
                <w:kern w:val="0"/>
                <w:sz w:val="11"/>
                <w:szCs w:val="11"/>
              </w:rPr>
              <w:t>其他政府性基金及对应专项债务收入安排的支出</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2290400</w:t>
            </w:r>
          </w:p>
        </w:tc>
        <w:tc>
          <w:tcPr>
            <w:tcW w:w="1460" w:type="dxa"/>
            <w:tcBorders>
              <w:top w:val="nil"/>
              <w:left w:val="nil"/>
              <w:bottom w:val="single" w:color="000000" w:sz="4" w:space="0"/>
              <w:right w:val="single" w:color="000000" w:sz="4" w:space="0"/>
            </w:tcBorders>
            <w:shd w:val="clear" w:color="auto" w:fill="auto"/>
            <w:vAlign w:val="center"/>
          </w:tcPr>
          <w:p>
            <w:pPr>
              <w:widowControl/>
              <w:ind w:firstLine="110" w:firstLineChars="100"/>
              <w:jc w:val="left"/>
              <w:rPr>
                <w:rFonts w:ascii="宋体" w:hAnsi="宋体" w:eastAsia="宋体" w:cs="Arial"/>
                <w:color w:val="000000"/>
                <w:kern w:val="0"/>
                <w:sz w:val="11"/>
                <w:szCs w:val="11"/>
              </w:rPr>
            </w:pPr>
            <w:r>
              <w:rPr>
                <w:rFonts w:hint="eastAsia" w:ascii="宋体" w:hAnsi="宋体" w:eastAsia="宋体" w:cs="Arial"/>
                <w:color w:val="000000"/>
                <w:kern w:val="0"/>
                <w:sz w:val="11"/>
                <w:szCs w:val="11"/>
              </w:rPr>
              <w:t>其他政府性基金及对应专项债务收入安排的支出</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141.63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r>
      <w:tr>
        <w:tblPrEx>
          <w:tblCellMar>
            <w:top w:w="0" w:type="dxa"/>
            <w:left w:w="108" w:type="dxa"/>
            <w:bottom w:w="0" w:type="dxa"/>
            <w:right w:w="108" w:type="dxa"/>
          </w:tblCellMar>
        </w:tblPrEx>
        <w:trPr>
          <w:trHeight w:val="2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2017年度一般公共预算“三公”经费支出决算表</w:t>
      </w:r>
    </w:p>
    <w:p>
      <w:pPr>
        <w:ind w:right="300"/>
        <w:jc w:val="right"/>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sz w:val="16"/>
          <w:szCs w:val="16"/>
        </w:rPr>
        <w:t xml:space="preserve"> </w:t>
      </w:r>
      <w:r>
        <w:rPr>
          <w:rFonts w:hint="eastAsia" w:asciiTheme="majorEastAsia" w:hAnsiTheme="majorEastAsia" w:eastAsiaTheme="majorEastAsia" w:cstheme="majorEastAsia"/>
          <w:color w:val="000000"/>
          <w:sz w:val="20"/>
          <w:szCs w:val="20"/>
        </w:rPr>
        <w:t xml:space="preserve">  公开08表</w:t>
      </w:r>
    </w:p>
    <w:p>
      <w:pPr>
        <w:ind w:right="300"/>
        <w:jc w:val="left"/>
        <w:rPr>
          <w:rFonts w:cs="Arial"/>
          <w:color w:val="000000"/>
          <w:sz w:val="20"/>
          <w:szCs w:val="20"/>
        </w:rPr>
      </w:pPr>
      <w:r>
        <w:rPr>
          <w:rFonts w:hint="eastAsia" w:asciiTheme="majorEastAsia" w:hAnsiTheme="majorEastAsia" w:eastAsiaTheme="majorEastAsia" w:cstheme="majorEastAsia"/>
          <w:color w:val="000000"/>
          <w:sz w:val="20"/>
          <w:szCs w:val="20"/>
        </w:rPr>
        <w:t>部门：温州市审计局                                                    金额单位：万元</w:t>
      </w:r>
    </w:p>
    <w:tbl>
      <w:tblPr>
        <w:tblStyle w:val="6"/>
        <w:tblW w:w="9824" w:type="dxa"/>
        <w:tblInd w:w="-176" w:type="dxa"/>
        <w:tblLayout w:type="fixed"/>
        <w:tblCellMar>
          <w:top w:w="0" w:type="dxa"/>
          <w:left w:w="108" w:type="dxa"/>
          <w:bottom w:w="0" w:type="dxa"/>
          <w:right w:w="108" w:type="dxa"/>
        </w:tblCellMar>
      </w:tblPr>
      <w:tblGrid>
        <w:gridCol w:w="784"/>
        <w:gridCol w:w="830"/>
        <w:gridCol w:w="820"/>
        <w:gridCol w:w="850"/>
        <w:gridCol w:w="830"/>
        <w:gridCol w:w="910"/>
        <w:gridCol w:w="750"/>
        <w:gridCol w:w="840"/>
        <w:gridCol w:w="820"/>
        <w:gridCol w:w="820"/>
        <w:gridCol w:w="740"/>
        <w:gridCol w:w="830"/>
      </w:tblGrid>
      <w:tr>
        <w:tblPrEx>
          <w:tblCellMar>
            <w:top w:w="0" w:type="dxa"/>
            <w:left w:w="108" w:type="dxa"/>
            <w:bottom w:w="0" w:type="dxa"/>
            <w:right w:w="108" w:type="dxa"/>
          </w:tblCellMar>
        </w:tblPrEx>
        <w:trPr>
          <w:trHeight w:val="675" w:hRule="atLeast"/>
        </w:trPr>
        <w:tc>
          <w:tcPr>
            <w:tcW w:w="5024"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预算数</w:t>
            </w:r>
          </w:p>
        </w:tc>
        <w:tc>
          <w:tcPr>
            <w:tcW w:w="4800"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240" w:hRule="atLeast"/>
        </w:trPr>
        <w:tc>
          <w:tcPr>
            <w:tcW w:w="784"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83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50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91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75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84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38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83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r>
      <w:tr>
        <w:tblPrEx>
          <w:tblCellMar>
            <w:top w:w="0" w:type="dxa"/>
            <w:left w:w="108" w:type="dxa"/>
            <w:bottom w:w="0" w:type="dxa"/>
            <w:right w:w="108" w:type="dxa"/>
          </w:tblCellMar>
        </w:tblPrEx>
        <w:trPr>
          <w:trHeight w:val="930" w:hRule="atLeast"/>
        </w:trPr>
        <w:tc>
          <w:tcPr>
            <w:tcW w:w="7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85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8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9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7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240" w:hRule="atLeast"/>
        </w:trPr>
        <w:tc>
          <w:tcPr>
            <w:tcW w:w="784"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85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8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91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75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7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CellMar>
            <w:top w:w="0" w:type="dxa"/>
            <w:left w:w="108" w:type="dxa"/>
            <w:bottom w:w="0" w:type="dxa"/>
            <w:right w:w="108" w:type="dxa"/>
          </w:tblCellMar>
        </w:tblPrEx>
        <w:trPr>
          <w:trHeight w:val="240" w:hRule="atLeast"/>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16.50　</w:t>
            </w:r>
          </w:p>
        </w:tc>
        <w:tc>
          <w:tcPr>
            <w:tcW w:w="8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3.50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9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13.00　</w:t>
            </w:r>
          </w:p>
        </w:tc>
        <w:tc>
          <w:tcPr>
            <w:tcW w:w="7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8.28　</w:t>
            </w:r>
          </w:p>
        </w:tc>
        <w:tc>
          <w:tcPr>
            <w:tcW w:w="8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1.50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7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　</w:t>
            </w:r>
          </w:p>
        </w:tc>
        <w:tc>
          <w:tcPr>
            <w:tcW w:w="8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6.78　</w:t>
            </w:r>
          </w:p>
        </w:tc>
      </w:tr>
    </w:tbl>
    <w:p>
      <w:pPr>
        <w:autoSpaceDE w:val="0"/>
        <w:autoSpaceDN w:val="0"/>
        <w:adjustRightInd w:val="0"/>
        <w:spacing w:line="560" w:lineRule="exact"/>
        <w:rPr>
          <w:rFonts w:ascii="仿宋" w:hAnsi="Times New Roman" w:eastAsia="仿宋" w:cs="仿宋"/>
          <w:sz w:val="32"/>
          <w:szCs w:val="32"/>
        </w:rPr>
      </w:pPr>
    </w:p>
    <w:p>
      <w:pPr>
        <w:ind w:firstLine="640" w:firstLineChars="200"/>
        <w:rPr>
          <w:rFonts w:ascii="仿宋" w:hAnsi="仿宋" w:eastAsia="仿宋" w:cs="仿宋"/>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仿宋" w:eastAsia="仿宋" w:cs="仿宋"/>
          <w:sz w:val="32"/>
          <w:szCs w:val="32"/>
        </w:rPr>
        <w:t>（一）收入支出决算总体情况</w:t>
      </w:r>
    </w:p>
    <w:p>
      <w:pPr>
        <w:autoSpaceDE w:val="0"/>
        <w:autoSpaceDN w:val="0"/>
        <w:adjustRightInd w:val="0"/>
        <w:spacing w:line="560" w:lineRule="exact"/>
        <w:ind w:firstLine="627"/>
        <w:rPr>
          <w:rFonts w:ascii="仿宋" w:hAnsi="仿宋" w:eastAsia="仿宋" w:cs="仿宋"/>
          <w:sz w:val="32"/>
          <w:szCs w:val="32"/>
        </w:rPr>
      </w:pPr>
      <w:r>
        <w:rPr>
          <w:rFonts w:hint="eastAsia" w:ascii="仿宋" w:hAnsi="仿宋" w:eastAsia="仿宋" w:cs="仿宋"/>
          <w:sz w:val="32"/>
          <w:szCs w:val="32"/>
        </w:rPr>
        <w:t>1.2017年度收入总计2903.09万元, 较上年增加294.61万元，增长11.29%，主要原因是财政拨款收入增加。具体情况如下：</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财政拨款收入2706.63万元，较上年增加250.44万元，增长10.20%，主要原因是一般公共预算增加。</w:t>
      </w:r>
    </w:p>
    <w:p>
      <w:pPr>
        <w:ind w:firstLine="640" w:firstLineChars="200"/>
        <w:rPr>
          <w:rFonts w:ascii="仿宋" w:hAnsi="仿宋" w:eastAsia="仿宋" w:cs="仿宋"/>
          <w:sz w:val="32"/>
          <w:szCs w:val="32"/>
        </w:rPr>
      </w:pPr>
      <w:r>
        <w:rPr>
          <w:rFonts w:hint="eastAsia" w:ascii="仿宋" w:hAnsi="仿宋" w:eastAsia="仿宋" w:cs="仿宋"/>
          <w:sz w:val="32"/>
          <w:szCs w:val="32"/>
        </w:rPr>
        <w:t>（2）其他收入153.19万元，较上年增加153.19万元，主要原因是署、省补助经费增加。</w:t>
      </w:r>
    </w:p>
    <w:p>
      <w:pPr>
        <w:ind w:firstLine="640" w:firstLineChars="200"/>
        <w:rPr>
          <w:rFonts w:ascii="仿宋" w:hAnsi="仿宋" w:eastAsia="仿宋" w:cs="仿宋"/>
          <w:sz w:val="32"/>
          <w:szCs w:val="32"/>
        </w:rPr>
      </w:pPr>
      <w:r>
        <w:rPr>
          <w:rFonts w:hint="eastAsia" w:ascii="仿宋" w:hAnsi="仿宋" w:eastAsia="仿宋" w:cs="仿宋"/>
          <w:sz w:val="32"/>
          <w:szCs w:val="32"/>
        </w:rPr>
        <w:t>（3）年初结转和结余43.27万元，较上年减少109.02万元，下降71.59%，主要原因是上年基本支出结余上缴国库。</w:t>
      </w:r>
    </w:p>
    <w:p>
      <w:pPr>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2017年</w:t>
      </w:r>
      <w:r>
        <w:rPr>
          <w:rFonts w:hint="eastAsia" w:ascii="仿宋" w:hAnsi="仿宋" w:eastAsia="仿宋" w:cs="仿宋"/>
          <w:sz w:val="32"/>
          <w:szCs w:val="32"/>
        </w:rPr>
        <w:t>度支出总计2903.09万元，较上年增加294.61万元，增长11.29%，主要原因是一般公共服务支出（类）增加。具体情况如下：</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一般公共服务支出（类）2223.79万元，主要用于行政运行支出、审计业务支出和信息化建设支出等。较上年增加258.03万元，增长13.13%，主要原因是审计业务支出和信息化建设支出增加。</w:t>
      </w:r>
    </w:p>
    <w:p>
      <w:pPr>
        <w:ind w:firstLine="640" w:firstLineChars="200"/>
        <w:rPr>
          <w:rFonts w:ascii="仿宋" w:hAnsi="仿宋" w:eastAsia="仿宋" w:cs="仿宋"/>
          <w:sz w:val="32"/>
          <w:szCs w:val="32"/>
        </w:rPr>
      </w:pPr>
      <w:r>
        <w:rPr>
          <w:rFonts w:hint="eastAsia" w:ascii="仿宋" w:hAnsi="仿宋" w:eastAsia="仿宋" w:cs="仿宋"/>
          <w:sz w:val="32"/>
          <w:szCs w:val="32"/>
        </w:rPr>
        <w:t>（2）社会保障和就业支出（类）203.92万元，主要用于养老保险缴费支出和职业年金缴费支出。较上年减少54.11万元，下降20.97%，主要原因是2016年有未归口管理的行政单位离退休支出。</w:t>
      </w:r>
    </w:p>
    <w:p>
      <w:pPr>
        <w:ind w:firstLine="640" w:firstLineChars="200"/>
        <w:rPr>
          <w:rFonts w:ascii="仿宋" w:hAnsi="仿宋" w:eastAsia="仿宋" w:cs="仿宋"/>
          <w:sz w:val="32"/>
          <w:szCs w:val="32"/>
        </w:rPr>
      </w:pPr>
      <w:r>
        <w:rPr>
          <w:rFonts w:hint="eastAsia" w:ascii="仿宋" w:hAnsi="仿宋" w:eastAsia="仿宋" w:cs="仿宋"/>
          <w:sz w:val="32"/>
          <w:szCs w:val="32"/>
        </w:rPr>
        <w:t>（3）医疗卫生与计划生育支出（类）91.04万元，主要用于医疗保障支出。较上年增加0.97万元，增长1.08%，主要原因是医疗保障标准提高。</w:t>
      </w:r>
    </w:p>
    <w:p>
      <w:pPr>
        <w:ind w:firstLine="640" w:firstLineChars="200"/>
        <w:rPr>
          <w:rFonts w:ascii="仿宋" w:hAnsi="仿宋" w:eastAsia="仿宋" w:cs="仿宋"/>
          <w:sz w:val="32"/>
          <w:szCs w:val="32"/>
        </w:rPr>
      </w:pPr>
      <w:r>
        <w:rPr>
          <w:rFonts w:hint="eastAsia" w:ascii="仿宋" w:hAnsi="仿宋" w:eastAsia="仿宋" w:cs="仿宋"/>
          <w:sz w:val="32"/>
          <w:szCs w:val="32"/>
        </w:rPr>
        <w:t>（4）住房保障支出（类）115.79万元，主要用于住房公积金和购房补贴支出。较上年增加3.58万元，增长3.19%，主要原因是公积金标准提高。</w:t>
      </w:r>
    </w:p>
    <w:p>
      <w:pPr>
        <w:ind w:firstLine="640" w:firstLineChars="200"/>
        <w:rPr>
          <w:rFonts w:ascii="仿宋" w:hAnsi="仿宋" w:eastAsia="仿宋" w:cs="仿宋"/>
          <w:sz w:val="32"/>
          <w:szCs w:val="32"/>
        </w:rPr>
      </w:pPr>
      <w:r>
        <w:rPr>
          <w:rFonts w:hint="eastAsia" w:ascii="仿宋" w:hAnsi="仿宋" w:eastAsia="仿宋" w:cs="仿宋"/>
          <w:sz w:val="32"/>
          <w:szCs w:val="32"/>
        </w:rPr>
        <w:t>（5）城乡社区支出（类）0万元。较上年减少139.14元，主要原因是项目支出归口变化。</w:t>
      </w:r>
    </w:p>
    <w:p>
      <w:pPr>
        <w:ind w:firstLine="640" w:firstLineChars="200"/>
        <w:rPr>
          <w:rFonts w:ascii="仿宋" w:hAnsi="仿宋" w:eastAsia="仿宋" w:cs="仿宋"/>
          <w:sz w:val="32"/>
          <w:szCs w:val="32"/>
        </w:rPr>
      </w:pPr>
      <w:r>
        <w:rPr>
          <w:rFonts w:hint="eastAsia" w:ascii="仿宋" w:hAnsi="仿宋" w:eastAsia="仿宋" w:cs="仿宋"/>
          <w:sz w:val="32"/>
          <w:szCs w:val="32"/>
        </w:rPr>
        <w:t>（6）其他支出（类）141.63万元，主要用于人员经费支出。较上年增加141.63万元，主要原因是人员基本支出追加指标作为其他政府性基金及对应专项债务收入安排的支出，在其他支出中反映。</w:t>
      </w:r>
    </w:p>
    <w:p>
      <w:pPr>
        <w:ind w:firstLine="960" w:firstLineChars="300"/>
        <w:rPr>
          <w:rFonts w:ascii="仿宋" w:hAnsi="仿宋" w:eastAsia="仿宋" w:cs="仿宋"/>
          <w:sz w:val="32"/>
          <w:szCs w:val="32"/>
        </w:rPr>
      </w:pPr>
      <w:r>
        <w:rPr>
          <w:rFonts w:hint="eastAsia" w:ascii="仿宋" w:hAnsi="仿宋" w:eastAsia="仿宋" w:cs="仿宋"/>
          <w:sz w:val="32"/>
          <w:szCs w:val="32"/>
        </w:rPr>
        <w:t>（7）年末结转和结余126.92万元，均为项目支出结转和结余。较上年增加83.65万元，增长193.32%，主要原因是其他收入结转和结余增加。</w:t>
      </w:r>
    </w:p>
    <w:p>
      <w:pPr>
        <w:ind w:firstLine="640" w:firstLineChars="200"/>
        <w:rPr>
          <w:rFonts w:ascii="仿宋" w:hAnsi="仿宋" w:eastAsia="仿宋" w:cs="仿宋"/>
          <w:sz w:val="32"/>
          <w:szCs w:val="32"/>
        </w:rPr>
      </w:pPr>
      <w:r>
        <w:rPr>
          <w:rFonts w:hint="eastAsia" w:ascii="仿宋" w:hAnsi="仿宋" w:eastAsia="仿宋" w:cs="仿宋"/>
          <w:sz w:val="32"/>
          <w:szCs w:val="32"/>
        </w:rPr>
        <w:t>（二）本年收入决算情况</w:t>
      </w:r>
      <w:r>
        <w:rPr>
          <w:rFonts w:hint="eastAsia" w:ascii="仿宋" w:hAnsi="仿宋" w:eastAsia="仿宋" w:cs="仿宋"/>
          <w:sz w:val="32"/>
          <w:szCs w:val="32"/>
        </w:rPr>
        <w:br w:type="textWrapping"/>
      </w:r>
      <w:r>
        <w:rPr>
          <w:rFonts w:hint="eastAsia" w:ascii="仿宋" w:hAnsi="仿宋" w:eastAsia="仿宋" w:cs="仿宋"/>
          <w:sz w:val="32"/>
          <w:szCs w:val="32"/>
        </w:rPr>
        <w:t>　　2017年度本年收入合计2859.82万元，其中：财政拨款</w:t>
      </w:r>
      <w:r>
        <w:rPr>
          <w:rFonts w:hint="eastAsia" w:ascii="仿宋" w:hAnsi="仿宋" w:eastAsia="仿宋" w:cs="仿宋"/>
          <w:sz w:val="32"/>
          <w:szCs w:val="32"/>
          <w:lang w:val="zh-CN"/>
        </w:rPr>
        <w:t xml:space="preserve">    </w:t>
      </w:r>
      <w:r>
        <w:rPr>
          <w:rFonts w:hint="eastAsia" w:ascii="仿宋" w:hAnsi="仿宋" w:eastAsia="仿宋" w:cs="仿宋"/>
          <w:sz w:val="32"/>
          <w:szCs w:val="32"/>
        </w:rPr>
        <w:t>2706.63万元，占94.64%；其他收入153.19万元，占5.36%。</w:t>
      </w:r>
    </w:p>
    <w:p>
      <w:pPr>
        <w:ind w:firstLine="640" w:firstLineChars="200"/>
        <w:rPr>
          <w:rFonts w:ascii="仿宋" w:hAnsi="仿宋" w:eastAsia="仿宋" w:cs="仿宋"/>
          <w:sz w:val="32"/>
          <w:szCs w:val="32"/>
        </w:rPr>
      </w:pPr>
      <w:r>
        <w:rPr>
          <w:rFonts w:hint="eastAsia" w:ascii="仿宋" w:hAnsi="仿宋" w:eastAsia="仿宋" w:cs="仿宋"/>
          <w:sz w:val="32"/>
          <w:szCs w:val="32"/>
        </w:rPr>
        <w:t>（三）本年支出决算情况</w:t>
      </w:r>
      <w:r>
        <w:rPr>
          <w:rFonts w:hint="eastAsia" w:ascii="仿宋" w:hAnsi="仿宋" w:eastAsia="仿宋" w:cs="仿宋"/>
          <w:sz w:val="32"/>
          <w:szCs w:val="32"/>
        </w:rPr>
        <w:br w:type="textWrapping"/>
      </w:r>
      <w:r>
        <w:rPr>
          <w:rFonts w:hint="eastAsia" w:ascii="仿宋" w:hAnsi="仿宋" w:eastAsia="仿宋" w:cs="仿宋"/>
          <w:sz w:val="32"/>
          <w:szCs w:val="32"/>
        </w:rPr>
        <w:t>　　2017年度本年支出合计2776.17万元，其中：基本支出2075.57万元，占74.76%；项目支出700.60万元，占25.24%。</w:t>
      </w:r>
    </w:p>
    <w:p>
      <w:pPr>
        <w:ind w:firstLine="640" w:firstLineChars="200"/>
        <w:rPr>
          <w:rFonts w:ascii="仿宋" w:hAnsi="仿宋" w:eastAsia="仿宋" w:cs="仿宋"/>
          <w:sz w:val="32"/>
          <w:szCs w:val="32"/>
        </w:rPr>
      </w:pPr>
      <w:r>
        <w:rPr>
          <w:rFonts w:hint="eastAsia" w:ascii="仿宋" w:hAnsi="仿宋" w:eastAsia="仿宋" w:cs="仿宋"/>
          <w:sz w:val="32"/>
          <w:szCs w:val="32"/>
        </w:rPr>
        <w:t>（四）财政拨款收入支出决算情况</w:t>
      </w:r>
    </w:p>
    <w:p>
      <w:pPr>
        <w:ind w:firstLine="640" w:firstLineChars="200"/>
        <w:rPr>
          <w:rFonts w:ascii="仿宋" w:hAnsi="仿宋" w:eastAsia="仿宋" w:cs="仿宋"/>
          <w:sz w:val="32"/>
          <w:szCs w:val="32"/>
        </w:rPr>
      </w:pPr>
      <w:r>
        <w:rPr>
          <w:rFonts w:hint="eastAsia" w:ascii="仿宋" w:hAnsi="仿宋" w:eastAsia="仿宋" w:cs="仿宋"/>
          <w:sz w:val="32"/>
          <w:szCs w:val="32"/>
        </w:rPr>
        <w:t>2017年度财政拨款收入总计2722.29万元，支出总计2722.29万元，与上年相比，财政拨款收、支总计各增加148.41万元，增长5.77%，主要原因是人员基本支出增加。</w:t>
      </w:r>
    </w:p>
    <w:p>
      <w:pPr>
        <w:ind w:firstLine="640" w:firstLineChars="200"/>
        <w:rPr>
          <w:rFonts w:ascii="仿宋" w:hAnsi="仿宋" w:eastAsia="仿宋" w:cs="仿宋"/>
          <w:sz w:val="32"/>
          <w:szCs w:val="32"/>
        </w:rPr>
      </w:pPr>
      <w:r>
        <w:rPr>
          <w:rFonts w:hint="eastAsia" w:ascii="仿宋" w:hAnsi="仿宋" w:eastAsia="仿宋" w:cs="仿宋"/>
          <w:sz w:val="32"/>
          <w:szCs w:val="32"/>
        </w:rPr>
        <w:t>（五）一般公共预算财政拨款支出情况</w:t>
      </w:r>
    </w:p>
    <w:p>
      <w:pPr>
        <w:rPr>
          <w:rFonts w:ascii="仿宋" w:hAnsi="仿宋" w:eastAsia="仿宋" w:cs="仿宋"/>
          <w:sz w:val="32"/>
          <w:szCs w:val="32"/>
        </w:rPr>
      </w:pPr>
      <w:r>
        <w:rPr>
          <w:rFonts w:hint="eastAsia" w:ascii="仿宋" w:hAnsi="仿宋" w:eastAsia="仿宋" w:cs="仿宋"/>
          <w:sz w:val="32"/>
          <w:szCs w:val="32"/>
        </w:rPr>
        <w:t>　  2017年度部门决算一般公共预算财政拨款支出决算2565.00万元，比年初预算增加112.37万元，增长4.58 %。具体情况如下：</w:t>
      </w:r>
    </w:p>
    <w:p>
      <w:pPr>
        <w:ind w:firstLine="640" w:firstLineChars="200"/>
        <w:rPr>
          <w:rFonts w:ascii="仿宋" w:hAnsi="仿宋" w:eastAsia="仿宋" w:cs="仿宋"/>
          <w:sz w:val="32"/>
          <w:szCs w:val="32"/>
        </w:rPr>
      </w:pPr>
      <w:r>
        <w:rPr>
          <w:rFonts w:hint="eastAsia" w:ascii="仿宋" w:hAnsi="仿宋" w:eastAsia="仿宋" w:cs="仿宋"/>
          <w:sz w:val="32"/>
          <w:szCs w:val="32"/>
        </w:rPr>
        <w:t>1.一般公共服务支出（类）审计事务（款）行政运行（项）1523.19万元，比年初预算增加137.72万元，增长9.94%。主要是人员基本支出增加。</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2.一般公共服务支出（类）审计事务（款）一般行政管理事务（项）116.63万元，比年初预算减少7.04万元，下降5.69%。主要是办公设备购置费节省开支。   </w:t>
      </w:r>
    </w:p>
    <w:p>
      <w:pPr>
        <w:ind w:firstLine="640" w:firstLineChars="200"/>
        <w:rPr>
          <w:rFonts w:ascii="仿宋" w:hAnsi="仿宋" w:eastAsia="仿宋" w:cs="仿宋"/>
          <w:sz w:val="32"/>
          <w:szCs w:val="32"/>
        </w:rPr>
      </w:pPr>
      <w:r>
        <w:rPr>
          <w:rFonts w:hint="eastAsia" w:ascii="仿宋" w:hAnsi="仿宋" w:eastAsia="仿宋" w:cs="仿宋"/>
          <w:sz w:val="32"/>
          <w:szCs w:val="32"/>
        </w:rPr>
        <w:t>3．一般公共服务支出（类）审计事务（款）审计业务（项）373.70万元，比年初预算减少5.74万元，下降1.51%。主要是部分审计业务类项目年中预算压减。</w:t>
      </w:r>
    </w:p>
    <w:p>
      <w:pPr>
        <w:ind w:firstLine="640" w:firstLineChars="200"/>
        <w:rPr>
          <w:rFonts w:ascii="仿宋" w:hAnsi="仿宋" w:eastAsia="仿宋" w:cs="仿宋"/>
          <w:sz w:val="32"/>
          <w:szCs w:val="32"/>
        </w:rPr>
      </w:pPr>
      <w:r>
        <w:rPr>
          <w:rFonts w:hint="eastAsia" w:ascii="仿宋" w:hAnsi="仿宋" w:eastAsia="仿宋" w:cs="仿宋"/>
          <w:sz w:val="32"/>
          <w:szCs w:val="32"/>
        </w:rPr>
        <w:t>4.一般公共服务支出（类）审计事务（款）其他审计事务支出（项）140.73万元，比年初预算减少9.27 万元，下降6.18%。主要是评审经费节省开支。</w:t>
      </w:r>
    </w:p>
    <w:p>
      <w:pPr>
        <w:ind w:firstLine="640" w:firstLineChars="200"/>
        <w:rPr>
          <w:rFonts w:ascii="仿宋" w:hAnsi="仿宋" w:eastAsia="仿宋" w:cs="仿宋"/>
          <w:sz w:val="32"/>
          <w:szCs w:val="32"/>
        </w:rPr>
      </w:pPr>
      <w:r>
        <w:rPr>
          <w:rFonts w:hint="eastAsia" w:ascii="仿宋" w:hAnsi="仿宋" w:eastAsia="仿宋" w:cs="仿宋"/>
          <w:sz w:val="32"/>
          <w:szCs w:val="32"/>
        </w:rPr>
        <w:t>5.社会保障和就业支出（类）行政事业单位离退休（款）机关事业单位基本养老保险缴费支出（项）145.66万元，比年初预算减少8.59万元，下降5.57%。主要是缴费计提基数降低。</w:t>
      </w:r>
    </w:p>
    <w:p>
      <w:pPr>
        <w:ind w:firstLine="640" w:firstLineChars="200"/>
        <w:rPr>
          <w:rFonts w:ascii="仿宋" w:hAnsi="仿宋" w:eastAsia="仿宋" w:cs="仿宋"/>
          <w:sz w:val="32"/>
          <w:szCs w:val="32"/>
        </w:rPr>
      </w:pPr>
      <w:r>
        <w:rPr>
          <w:rFonts w:hint="eastAsia" w:ascii="仿宋" w:hAnsi="仿宋" w:eastAsia="仿宋" w:cs="仿宋"/>
          <w:sz w:val="32"/>
          <w:szCs w:val="32"/>
        </w:rPr>
        <w:t>6.社会保障和就业支出（类）行政事业单位离退休（款）机关事业单位职业年金缴费支出（项）58.26万元，比年初预算减少3.44万元，下降5.58%。主要是缴费计提基数降低。</w:t>
      </w:r>
    </w:p>
    <w:p>
      <w:pPr>
        <w:ind w:firstLine="640" w:firstLineChars="200"/>
        <w:rPr>
          <w:rFonts w:ascii="仿宋" w:hAnsi="仿宋" w:eastAsia="仿宋" w:cs="仿宋"/>
          <w:sz w:val="32"/>
          <w:szCs w:val="32"/>
        </w:rPr>
      </w:pPr>
      <w:r>
        <w:rPr>
          <w:rFonts w:hint="eastAsia" w:ascii="仿宋" w:hAnsi="仿宋" w:eastAsia="仿宋" w:cs="仿宋"/>
          <w:sz w:val="32"/>
          <w:szCs w:val="32"/>
        </w:rPr>
        <w:t>7.医疗卫生与计划生育支出（类）行政事业单位医疗（款）行政单位医疗（项）91.04万元，比年初预算增加（减少）0万元，增长（下降）0 %。</w:t>
      </w:r>
    </w:p>
    <w:p>
      <w:pPr>
        <w:ind w:firstLine="640" w:firstLineChars="200"/>
        <w:rPr>
          <w:rFonts w:ascii="仿宋" w:hAnsi="仿宋" w:eastAsia="仿宋" w:cs="仿宋"/>
          <w:sz w:val="32"/>
          <w:szCs w:val="32"/>
        </w:rPr>
      </w:pPr>
      <w:r>
        <w:rPr>
          <w:rFonts w:hint="eastAsia" w:ascii="仿宋" w:hAnsi="仿宋" w:eastAsia="仿宋" w:cs="仿宋"/>
          <w:sz w:val="32"/>
          <w:szCs w:val="32"/>
        </w:rPr>
        <w:t>8.住房保障支出（类）住房改革支出（款）住房公积金（项）113.36万元，比年初预算增加9.77万元，增长9.43%。主要是公积金标准提高。</w:t>
      </w:r>
    </w:p>
    <w:p>
      <w:pPr>
        <w:ind w:firstLine="640" w:firstLineChars="200"/>
        <w:rPr>
          <w:rFonts w:ascii="仿宋" w:hAnsi="仿宋" w:eastAsia="仿宋" w:cs="仿宋"/>
          <w:sz w:val="32"/>
          <w:szCs w:val="32"/>
        </w:rPr>
      </w:pPr>
      <w:r>
        <w:rPr>
          <w:rFonts w:hint="eastAsia" w:ascii="仿宋" w:hAnsi="仿宋" w:eastAsia="仿宋" w:cs="仿宋"/>
          <w:sz w:val="32"/>
          <w:szCs w:val="32"/>
        </w:rPr>
        <w:t>9.住房保障支出（类）住房改革支出（款）购房补贴（项）2.43万元，比年初预算减少1.04万元，下降29.97%。主要是个别人员未申请办理。</w:t>
      </w:r>
    </w:p>
    <w:p>
      <w:pPr>
        <w:ind w:firstLine="640" w:firstLineChars="200"/>
        <w:rPr>
          <w:rFonts w:ascii="仿宋" w:hAnsi="仿宋" w:eastAsia="仿宋" w:cs="仿宋"/>
          <w:sz w:val="32"/>
          <w:szCs w:val="32"/>
        </w:rPr>
      </w:pPr>
      <w:r>
        <w:rPr>
          <w:rFonts w:hint="eastAsia" w:ascii="仿宋" w:hAnsi="仿宋" w:eastAsia="仿宋" w:cs="仿宋"/>
          <w:sz w:val="32"/>
          <w:szCs w:val="32"/>
        </w:rPr>
        <w:t>（六）一般公共预算财政拨款基本支出情况</w:t>
      </w:r>
    </w:p>
    <w:p>
      <w:pPr>
        <w:ind w:firstLine="640" w:firstLineChars="200"/>
        <w:rPr>
          <w:rFonts w:ascii="仿宋" w:hAnsi="仿宋" w:eastAsia="仿宋" w:cs="仿宋"/>
          <w:sz w:val="32"/>
          <w:szCs w:val="32"/>
        </w:rPr>
      </w:pPr>
      <w:r>
        <w:rPr>
          <w:rFonts w:hint="eastAsia" w:ascii="仿宋" w:hAnsi="仿宋" w:eastAsia="仿宋" w:cs="仿宋"/>
          <w:sz w:val="32"/>
          <w:szCs w:val="32"/>
        </w:rPr>
        <w:t>2017年度一般公共预算财政拨款基本支出1933.94万元。其中：人员经费1690.33万元，包括人员工资福利、伙食补助费、社会保障缴费、离休费、抚恤金、医疗费、公积金、购房补贴等人员支出；公用经费243.61万元，包括办公费、印刷费、邮电费、差旅费、会议费、培训费、公务接待费、劳务费、福利费、其他交通费用等日常公用支出。</w:t>
      </w:r>
    </w:p>
    <w:p>
      <w:pPr>
        <w:ind w:firstLine="640" w:firstLineChars="200"/>
        <w:rPr>
          <w:rFonts w:ascii="仿宋" w:hAnsi="仿宋" w:eastAsia="仿宋" w:cs="仿宋"/>
          <w:sz w:val="32"/>
          <w:szCs w:val="32"/>
        </w:rPr>
      </w:pPr>
      <w:r>
        <w:rPr>
          <w:rFonts w:hint="eastAsia" w:ascii="仿宋" w:hAnsi="仿宋" w:eastAsia="仿宋" w:cs="仿宋"/>
          <w:sz w:val="32"/>
          <w:szCs w:val="32"/>
        </w:rPr>
        <w:t>（七）政府性基金预算财政拨款收入支出情况</w:t>
      </w:r>
    </w:p>
    <w:p>
      <w:pPr>
        <w:ind w:firstLine="640" w:firstLineChars="200"/>
        <w:rPr>
          <w:rFonts w:ascii="仿宋" w:hAnsi="仿宋" w:eastAsia="仿宋" w:cs="仿宋"/>
          <w:sz w:val="32"/>
          <w:szCs w:val="32"/>
        </w:rPr>
      </w:pPr>
      <w:r>
        <w:rPr>
          <w:rFonts w:hint="eastAsia" w:ascii="仿宋" w:hAnsi="仿宋" w:eastAsia="仿宋" w:cs="仿宋"/>
          <w:sz w:val="32"/>
          <w:szCs w:val="32"/>
        </w:rPr>
        <w:t>2017年度政府性基金预算年初结转0万元，本年收入141.63万元，本年支出141.63万元，年末结转0万元。支出具体情况为：其他支出（类）其他政府性基金及对应专项债务收入安排的支出（款）其他政府性基金及对应专项债务收入安排的支出（项）141.63万元。比年初预算增加141.63万元，主要是人员基本支出追加指标在其他政府性基金及对应专项债务收入安排的支出中反映。</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一般公共预算 “三公”经费决算情况</w:t>
      </w:r>
    </w:p>
    <w:p>
      <w:pPr>
        <w:autoSpaceDE w:val="0"/>
        <w:autoSpaceDN w:val="0"/>
        <w:adjustRightInd w:val="0"/>
        <w:spacing w:line="560" w:lineRule="exact"/>
        <w:ind w:firstLine="800" w:firstLineChars="250"/>
        <w:rPr>
          <w:rFonts w:ascii="仿宋" w:hAnsi="仿宋" w:eastAsia="仿宋" w:cs="仿宋"/>
          <w:sz w:val="32"/>
          <w:szCs w:val="32"/>
        </w:rPr>
      </w:pP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w:t>
      </w:r>
      <w:r>
        <w:rPr>
          <w:rFonts w:hint="eastAsia" w:ascii="仿宋" w:hAnsi="Times New Roman" w:eastAsia="仿宋" w:cs="仿宋"/>
          <w:kern w:val="0"/>
          <w:sz w:val="32"/>
          <w:szCs w:val="32"/>
        </w:rPr>
        <w:t>支出8.28万元，</w:t>
      </w:r>
      <w:r>
        <w:rPr>
          <w:rFonts w:hint="eastAsia" w:ascii="仿宋" w:hAnsi="Times New Roman" w:eastAsia="仿宋" w:cs="仿宋"/>
          <w:sz w:val="32"/>
          <w:szCs w:val="32"/>
        </w:rPr>
        <w:t>比年初预算减少8.22万元，下降49.82%，主要原因是接待费支出低于预算数；比上年决算数增加0.66万元，增长8.63</w:t>
      </w:r>
      <w:r>
        <w:rPr>
          <w:rFonts w:ascii="仿宋" w:hAnsi="Times New Roman" w:eastAsia="仿宋" w:cs="仿宋"/>
          <w:sz w:val="32"/>
          <w:szCs w:val="32"/>
        </w:rPr>
        <w:t>%</w:t>
      </w:r>
      <w:r>
        <w:rPr>
          <w:rFonts w:hint="eastAsia" w:ascii="仿宋" w:hAnsi="Times New Roman" w:eastAsia="仿宋" w:cs="仿宋"/>
          <w:sz w:val="32"/>
          <w:szCs w:val="32"/>
        </w:rPr>
        <w:t>，主要原因是接待费有所增加。</w:t>
      </w:r>
    </w:p>
    <w:p>
      <w:pPr>
        <w:ind w:firstLine="640" w:firstLineChars="200"/>
        <w:rPr>
          <w:rFonts w:ascii="仿宋" w:hAnsi="仿宋" w:eastAsia="仿宋" w:cs="仿宋"/>
          <w:sz w:val="32"/>
          <w:szCs w:val="32"/>
        </w:rPr>
      </w:pPr>
      <w:r>
        <w:rPr>
          <w:rFonts w:hint="eastAsia" w:ascii="仿宋" w:hAnsi="仿宋" w:eastAsia="仿宋" w:cs="仿宋"/>
          <w:sz w:val="32"/>
          <w:szCs w:val="32"/>
        </w:rPr>
        <w:t>1.因公出国（境）费用：根据外事部门安排的因公出国计划和实际工作需要，2017年度一般公共预算财政拨款因公出国（境）支出1.50万元，比年初预算减少2万元，下降57.14%，主要原因是厉行节约，严控出国经费；比上年决算数减少0.22万元，下降12.79%。因公出国（境）费用主要用于机关工作人员公务出国（境）的住宿费、国际旅费、培训费、公杂费等支出。本部门全年组织因公出国(境)团组0个；本部门全年因公出国(境)累计1人次。</w:t>
      </w:r>
    </w:p>
    <w:p>
      <w:pPr>
        <w:ind w:firstLine="640" w:firstLineChars="200"/>
        <w:rPr>
          <w:rFonts w:ascii="仿宋" w:hAnsi="仿宋" w:eastAsia="仿宋" w:cs="仿宋"/>
          <w:sz w:val="32"/>
          <w:szCs w:val="32"/>
        </w:rPr>
      </w:pPr>
      <w:r>
        <w:rPr>
          <w:rFonts w:hint="eastAsia" w:ascii="仿宋" w:hAnsi="仿宋" w:eastAsia="仿宋" w:cs="仿宋"/>
          <w:sz w:val="32"/>
          <w:szCs w:val="32"/>
        </w:rPr>
        <w:t>2.公务接待费：2017年度一般公共预算财政拨款公务接待费支出6.78万元，比年初预算控制数减少6.22万元，下降47.85 %，主要原因是严格执行中央八项规定及厉行节约相关要求；比上年决算数增加0.88万元，增长14.87%，增加的主要原因是根据实际工作需要，</w:t>
      </w:r>
      <w:r>
        <w:rPr>
          <w:rFonts w:hint="eastAsia" w:ascii="仿宋" w:hAnsi="Times New Roman" w:eastAsia="仿宋" w:cs="仿宋"/>
          <w:kern w:val="0"/>
          <w:sz w:val="32"/>
          <w:szCs w:val="32"/>
        </w:rPr>
        <w:t>市外客人来访考察、工作调研以及上级来访工作检查、调研、工作督查的</w:t>
      </w:r>
      <w:r>
        <w:rPr>
          <w:rFonts w:hint="eastAsia" w:ascii="仿宋" w:hAnsi="仿宋" w:eastAsia="仿宋" w:cs="仿宋"/>
          <w:sz w:val="32"/>
          <w:szCs w:val="32"/>
        </w:rPr>
        <w:t>批次、人次有所增加。公务接待费主要用于接待相关部门公务活动支出。其中，本部门国内公务接待72批次，702人次，支出6.78万元；国（境）外事接待0批次，0人次，支出0万元。</w:t>
      </w:r>
    </w:p>
    <w:p>
      <w:pPr>
        <w:ind w:firstLine="640" w:firstLineChars="200"/>
        <w:rPr>
          <w:rFonts w:ascii="仿宋" w:hAnsi="仿宋" w:eastAsia="仿宋" w:cs="仿宋"/>
          <w:sz w:val="32"/>
          <w:szCs w:val="32"/>
        </w:rPr>
      </w:pPr>
      <w:r>
        <w:rPr>
          <w:rFonts w:hint="eastAsia" w:ascii="仿宋" w:hAnsi="仿宋" w:eastAsia="仿宋" w:cs="仿宋"/>
          <w:sz w:val="32"/>
          <w:szCs w:val="32"/>
        </w:rPr>
        <w:t>3.公务用车购置及运行维护费：2017年度一般公共预算财政拨款公务用车购置及运行维护费支出0万元，比年初预算增加（减少）0万元，增长（下降）0%，主要原因是公车改革后无公务用车购置；比上年决算数增加（减少）0万元，增长（下降）0%，主要原因是公车改革后无公务用车购置。具体内容如下：</w:t>
      </w:r>
    </w:p>
    <w:p>
      <w:pPr>
        <w:ind w:firstLine="640" w:firstLineChars="200"/>
        <w:rPr>
          <w:rFonts w:ascii="仿宋" w:hAnsi="仿宋" w:eastAsia="仿宋" w:cs="仿宋"/>
          <w:sz w:val="32"/>
          <w:szCs w:val="32"/>
        </w:rPr>
      </w:pPr>
      <w:r>
        <w:rPr>
          <w:rFonts w:hint="eastAsia" w:ascii="仿宋" w:hAnsi="仿宋" w:eastAsia="仿宋" w:cs="仿宋"/>
          <w:sz w:val="32"/>
          <w:szCs w:val="32"/>
        </w:rPr>
        <w:t>公务用车购置支出0万元（含购置税等附加费用）。</w:t>
      </w:r>
    </w:p>
    <w:p>
      <w:pPr>
        <w:ind w:firstLine="640" w:firstLineChars="200"/>
        <w:rPr>
          <w:rFonts w:ascii="仿宋" w:hAnsi="仿宋" w:eastAsia="仿宋" w:cs="仿宋"/>
          <w:sz w:val="32"/>
          <w:szCs w:val="32"/>
        </w:rPr>
      </w:pPr>
      <w:r>
        <w:rPr>
          <w:rFonts w:hint="eastAsia" w:ascii="仿宋" w:hAnsi="仿宋" w:eastAsia="仿宋" w:cs="仿宋"/>
          <w:sz w:val="32"/>
          <w:szCs w:val="32"/>
        </w:rPr>
        <w:t>公务用车运行维护费支出0万元。2017年度，本级及所属单位使用一般公共预算资金开支费用的公务用车保有量为0辆。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（九）其他重要事项情况说明</w:t>
      </w:r>
    </w:p>
    <w:p>
      <w:pPr>
        <w:ind w:firstLine="640" w:firstLineChars="200"/>
        <w:rPr>
          <w:rFonts w:ascii="仿宋" w:hAnsi="仿宋" w:eastAsia="仿宋" w:cs="仿宋"/>
          <w:sz w:val="32"/>
          <w:szCs w:val="32"/>
        </w:rPr>
      </w:pPr>
      <w:r>
        <w:rPr>
          <w:rFonts w:hint="eastAsia" w:ascii="仿宋" w:hAnsi="仿宋" w:eastAsia="仿宋" w:cs="仿宋"/>
          <w:sz w:val="32"/>
          <w:szCs w:val="32"/>
        </w:rPr>
        <w:t>1.机关运行经费支出情况</w:t>
      </w:r>
    </w:p>
    <w:p>
      <w:pPr>
        <w:ind w:firstLine="640" w:firstLineChars="200"/>
        <w:rPr>
          <w:rFonts w:ascii="仿宋" w:hAnsi="仿宋" w:eastAsia="仿宋" w:cs="仿宋"/>
          <w:sz w:val="32"/>
          <w:szCs w:val="32"/>
        </w:rPr>
      </w:pPr>
      <w:r>
        <w:rPr>
          <w:rFonts w:hint="eastAsia" w:ascii="仿宋" w:hAnsi="仿宋" w:eastAsia="仿宋" w:cs="仿宋"/>
          <w:sz w:val="32"/>
          <w:szCs w:val="32"/>
        </w:rPr>
        <w:t>2017年度温州市审计局的机关运行经费支出243.61万元，比上年增加1.76万元，增长0.73%，主要原因是抽调、借用人员产生的差旅费增加。</w:t>
      </w:r>
    </w:p>
    <w:p>
      <w:pPr>
        <w:ind w:firstLine="640" w:firstLineChars="200"/>
        <w:rPr>
          <w:rFonts w:ascii="仿宋" w:hAnsi="仿宋" w:eastAsia="仿宋" w:cs="仿宋"/>
          <w:sz w:val="32"/>
          <w:szCs w:val="32"/>
        </w:rPr>
      </w:pPr>
      <w:r>
        <w:rPr>
          <w:rFonts w:hint="eastAsia" w:ascii="仿宋" w:hAnsi="仿宋" w:eastAsia="仿宋" w:cs="仿宋"/>
          <w:sz w:val="32"/>
          <w:szCs w:val="32"/>
        </w:rPr>
        <w:t>2.政府采购情况</w:t>
      </w:r>
    </w:p>
    <w:p>
      <w:pPr>
        <w:ind w:firstLine="640" w:firstLineChars="200"/>
        <w:rPr>
          <w:rFonts w:ascii="仿宋" w:hAnsi="仿宋" w:eastAsia="仿宋" w:cs="仿宋"/>
          <w:sz w:val="32"/>
          <w:szCs w:val="32"/>
        </w:rPr>
      </w:pPr>
      <w:r>
        <w:rPr>
          <w:rFonts w:hint="eastAsia" w:ascii="仿宋" w:hAnsi="仿宋" w:eastAsia="仿宋" w:cs="仿宋"/>
          <w:sz w:val="32"/>
          <w:szCs w:val="32"/>
        </w:rPr>
        <w:t>2017年度温州市审计局本级政府采购预算362.94万元，采购支出总额324.77万元。其中：货物采购支出40.42万元；服务采购支出284.35万元。授予中小企业合同金额324.77    万元，占政府采购支出总额100%；授予小微企业合同金额0万元，占政府采购支出总额0%。</w:t>
      </w:r>
    </w:p>
    <w:p>
      <w:pPr>
        <w:ind w:firstLine="640" w:firstLineChars="200"/>
        <w:rPr>
          <w:rFonts w:ascii="仿宋" w:hAnsi="仿宋" w:eastAsia="仿宋" w:cs="仿宋"/>
          <w:sz w:val="32"/>
          <w:szCs w:val="32"/>
        </w:rPr>
      </w:pPr>
      <w:r>
        <w:rPr>
          <w:rFonts w:hint="eastAsia" w:ascii="仿宋" w:hAnsi="仿宋" w:eastAsia="仿宋" w:cs="仿宋"/>
          <w:sz w:val="32"/>
          <w:szCs w:val="32"/>
        </w:rPr>
        <w:t>3.国有资产占用情况</w:t>
      </w:r>
    </w:p>
    <w:p>
      <w:pPr>
        <w:ind w:firstLine="640" w:firstLineChars="200"/>
        <w:rPr>
          <w:rFonts w:ascii="仿宋" w:hAnsi="仿宋" w:eastAsia="仿宋" w:cs="仿宋"/>
          <w:sz w:val="32"/>
          <w:szCs w:val="32"/>
        </w:rPr>
      </w:pPr>
      <w:r>
        <w:rPr>
          <w:rFonts w:hint="eastAsia" w:ascii="仿宋" w:hAnsi="仿宋" w:eastAsia="仿宋" w:cs="仿宋"/>
          <w:sz w:val="32"/>
          <w:szCs w:val="32"/>
        </w:rPr>
        <w:t>截</w:t>
      </w:r>
      <w:r>
        <w:rPr>
          <w:rFonts w:hint="eastAsia" w:ascii="仿宋" w:hAnsi="仿宋" w:eastAsia="仿宋" w:cs="仿宋"/>
          <w:sz w:val="32"/>
          <w:szCs w:val="32"/>
          <w:lang w:eastAsia="zh-CN"/>
        </w:rPr>
        <w:t>至</w:t>
      </w:r>
      <w:bookmarkStart w:id="0" w:name="_GoBack"/>
      <w:bookmarkEnd w:id="0"/>
      <w:r>
        <w:rPr>
          <w:rFonts w:hint="eastAsia" w:ascii="仿宋" w:hAnsi="仿宋" w:eastAsia="仿宋" w:cs="仿宋"/>
          <w:sz w:val="32"/>
          <w:szCs w:val="32"/>
        </w:rPr>
        <w:t>2017年底，温州市审计局本级资产合计970.22万元，比上年增长4.67%，主要原因是固定资产增加。其中：流动资产185.51万元，占总资产的19.12%；固定资产784.71万元，占总资产的80.88%。固定资产含：单位价值50万元（含）以上通用设备0套（台）; 单位价值100万元（含）以上专用设备0套（台）。</w:t>
      </w:r>
    </w:p>
    <w:p>
      <w:pPr>
        <w:ind w:firstLine="640" w:firstLineChars="200"/>
        <w:rPr>
          <w:rFonts w:ascii="仿宋" w:hAnsi="仿宋" w:eastAsia="仿宋" w:cs="仿宋"/>
          <w:sz w:val="32"/>
          <w:szCs w:val="32"/>
        </w:rPr>
      </w:pPr>
      <w:r>
        <w:rPr>
          <w:rFonts w:hint="eastAsia" w:ascii="仿宋" w:hAnsi="仿宋" w:eastAsia="仿宋" w:cs="仿宋"/>
          <w:sz w:val="32"/>
          <w:szCs w:val="32"/>
        </w:rPr>
        <w:t>4.绩效评价结果情况</w:t>
      </w:r>
    </w:p>
    <w:p>
      <w:pPr>
        <w:ind w:firstLine="640" w:firstLineChars="200"/>
        <w:rPr>
          <w:rFonts w:ascii="仿宋" w:hAnsi="仿宋" w:eastAsia="仿宋" w:cs="仿宋"/>
          <w:sz w:val="32"/>
          <w:szCs w:val="32"/>
        </w:rPr>
      </w:pPr>
      <w:r>
        <w:rPr>
          <w:rFonts w:hint="eastAsia" w:ascii="仿宋" w:hAnsi="仿宋" w:eastAsia="仿宋" w:cs="仿宋"/>
          <w:sz w:val="32"/>
          <w:szCs w:val="32"/>
        </w:rPr>
        <w:t>（1）部门开展的绩效自评情况。</w:t>
      </w:r>
    </w:p>
    <w:p>
      <w:pPr>
        <w:ind w:firstLine="640" w:firstLineChars="200"/>
        <w:rPr>
          <w:rFonts w:ascii="仿宋" w:hAnsi="仿宋" w:eastAsia="仿宋" w:cs="仿宋"/>
          <w:sz w:val="32"/>
          <w:szCs w:val="32"/>
        </w:rPr>
      </w:pPr>
      <w:r>
        <w:rPr>
          <w:rFonts w:hint="eastAsia" w:ascii="仿宋" w:hAnsi="仿宋" w:eastAsia="仿宋" w:cs="仿宋"/>
          <w:sz w:val="32"/>
          <w:szCs w:val="32"/>
        </w:rPr>
        <w:t>根据预算管理要求，本部门组织对2017年度一般公共预算项目支出开展了绩效自评，自评项目11个，共涉及资金556.11    万元，占项目支出预算总额的100%。绩效评价结果显示，自评结果为优秀11个。</w:t>
      </w:r>
    </w:p>
    <w:p>
      <w:pPr>
        <w:ind w:firstLine="640" w:firstLineChars="200"/>
        <w:rPr>
          <w:rFonts w:ascii="仿宋" w:hAnsi="仿宋" w:eastAsia="仿宋" w:cs="仿宋"/>
          <w:sz w:val="32"/>
          <w:szCs w:val="32"/>
        </w:rPr>
      </w:pPr>
      <w:r>
        <w:rPr>
          <w:rFonts w:hint="eastAsia" w:ascii="仿宋" w:hAnsi="仿宋" w:eastAsia="仿宋" w:cs="仿宋"/>
          <w:sz w:val="32"/>
          <w:szCs w:val="32"/>
        </w:rPr>
        <w:t>（2）财政部门组织开展的绩效评价情况</w:t>
      </w:r>
    </w:p>
    <w:p>
      <w:pPr>
        <w:ind w:firstLine="640" w:firstLineChars="200"/>
        <w:rPr>
          <w:rFonts w:ascii="仿宋" w:hAnsi="仿宋" w:eastAsia="仿宋" w:cs="仿宋"/>
          <w:sz w:val="32"/>
          <w:szCs w:val="32"/>
        </w:rPr>
      </w:pPr>
      <w:r>
        <w:rPr>
          <w:rFonts w:hint="eastAsia" w:ascii="仿宋" w:hAnsi="仿宋" w:eastAsia="仿宋" w:cs="仿宋"/>
          <w:sz w:val="32"/>
          <w:szCs w:val="32"/>
        </w:rPr>
        <w:t>2017年度本部门由财政部门组织开展的绩效评价项目1个，支出金额共计20万元，评价等次为良好，是专项审计费项目,支出20万元，项目资金主要用于开展审计（调查）项目活动相关的支出。</w:t>
      </w:r>
    </w:p>
    <w:p>
      <w:pPr>
        <w:numPr>
          <w:ilvl w:val="0"/>
          <w:numId w:val="4"/>
        </w:numPr>
        <w:spacing w:line="600" w:lineRule="exact"/>
        <w:ind w:firstLine="640" w:firstLineChars="200"/>
        <w:rPr>
          <w:rFonts w:ascii="黑体" w:hAnsi="Times New Roman" w:eastAsia="黑体" w:cs="黑体"/>
          <w:color w:val="000000"/>
          <w:sz w:val="32"/>
          <w:szCs w:val="32"/>
        </w:rPr>
      </w:pPr>
      <w:r>
        <w:rPr>
          <w:rFonts w:hint="eastAsia" w:ascii="黑体" w:hAnsi="Times New Roman" w:eastAsia="黑体" w:cs="黑体"/>
          <w:color w:val="000000"/>
          <w:sz w:val="32"/>
          <w:szCs w:val="32"/>
        </w:rPr>
        <w:t>名词解释</w:t>
      </w:r>
    </w:p>
    <w:p>
      <w:pPr>
        <w:ind w:firstLine="640" w:firstLineChars="200"/>
        <w:rPr>
          <w:rFonts w:ascii="仿宋" w:hAnsi="仿宋" w:eastAsia="仿宋" w:cs="仿宋"/>
          <w:sz w:val="32"/>
          <w:szCs w:val="32"/>
        </w:rPr>
      </w:pPr>
      <w:r>
        <w:rPr>
          <w:rFonts w:hint="eastAsia" w:ascii="仿宋" w:hAnsi="仿宋" w:eastAsia="仿宋" w:cs="仿宋"/>
          <w:sz w:val="32"/>
          <w:szCs w:val="32"/>
        </w:rPr>
        <w:t>1.财政拨款收入：从同级财政部门取得的财政拨款，包括一般公共预算财政拨款和政府性基金预算财政拨款。</w:t>
      </w:r>
    </w:p>
    <w:p>
      <w:pPr>
        <w:ind w:firstLine="640" w:firstLineChars="200"/>
        <w:rPr>
          <w:rFonts w:ascii="仿宋" w:hAnsi="仿宋" w:eastAsia="仿宋" w:cs="仿宋"/>
          <w:sz w:val="32"/>
          <w:szCs w:val="32"/>
        </w:rPr>
      </w:pPr>
      <w:r>
        <w:rPr>
          <w:rFonts w:hint="eastAsia" w:ascii="仿宋" w:hAnsi="仿宋" w:eastAsia="仿宋" w:cs="仿宋"/>
          <w:sz w:val="32"/>
          <w:szCs w:val="32"/>
        </w:rPr>
        <w:t>2.其他收入：预算单位在“财政拨款”、“事业收入”、“经营收入”、“附属单位上缴收入”等之外取得的各项收入。</w:t>
      </w:r>
    </w:p>
    <w:p>
      <w:pPr>
        <w:ind w:firstLine="640" w:firstLineChars="200"/>
        <w:rPr>
          <w:rFonts w:ascii="仿宋" w:hAnsi="仿宋" w:eastAsia="仿宋" w:cs="仿宋"/>
          <w:sz w:val="32"/>
          <w:szCs w:val="32"/>
        </w:rPr>
      </w:pPr>
      <w:r>
        <w:rPr>
          <w:rFonts w:hint="eastAsia" w:ascii="仿宋" w:hAnsi="仿宋" w:eastAsia="仿宋" w:cs="仿宋"/>
          <w:sz w:val="32"/>
          <w:szCs w:val="32"/>
        </w:rPr>
        <w:t>3.年初结转和结余：预算单位以前年度尚未完成、结转到本年按有关规定继续使用的资金。</w:t>
      </w:r>
    </w:p>
    <w:p>
      <w:pPr>
        <w:ind w:firstLine="640" w:firstLineChars="200"/>
        <w:rPr>
          <w:rFonts w:ascii="仿宋" w:hAnsi="仿宋" w:eastAsia="仿宋" w:cs="仿宋"/>
          <w:sz w:val="32"/>
          <w:szCs w:val="32"/>
        </w:rPr>
      </w:pPr>
      <w:r>
        <w:rPr>
          <w:rFonts w:hint="eastAsia" w:ascii="仿宋" w:hAnsi="仿宋" w:eastAsia="仿宋" w:cs="仿宋"/>
          <w:sz w:val="32"/>
          <w:szCs w:val="32"/>
        </w:rPr>
        <w:t>4.年末结转和结余：指单位按有关规定结转到下年或以后年度继续使用的资金。</w:t>
      </w:r>
    </w:p>
    <w:p>
      <w:pPr>
        <w:rPr>
          <w:rFonts w:ascii="仿宋" w:hAnsi="仿宋" w:eastAsia="仿宋" w:cs="仿宋"/>
          <w:sz w:val="32"/>
          <w:szCs w:val="32"/>
        </w:rPr>
      </w:pPr>
      <w:r>
        <w:rPr>
          <w:rFonts w:hint="eastAsia" w:ascii="仿宋" w:hAnsi="仿宋" w:eastAsia="仿宋" w:cs="仿宋"/>
          <w:sz w:val="32"/>
          <w:szCs w:val="32"/>
        </w:rPr>
        <w:t xml:space="preserve">    5.基本支出：是预算单位为保障其正常运转，完成日常工作任务所发生的支出，包括人员支出和日常公用支出。</w:t>
      </w:r>
    </w:p>
    <w:p>
      <w:pPr>
        <w:ind w:firstLine="640" w:firstLineChars="200"/>
        <w:rPr>
          <w:rFonts w:ascii="仿宋" w:hAnsi="仿宋" w:eastAsia="仿宋" w:cs="仿宋"/>
          <w:sz w:val="32"/>
          <w:szCs w:val="32"/>
        </w:rPr>
      </w:pPr>
      <w:r>
        <w:rPr>
          <w:rFonts w:hint="eastAsia" w:ascii="仿宋" w:hAnsi="仿宋" w:eastAsia="仿宋" w:cs="仿宋"/>
          <w:sz w:val="32"/>
          <w:szCs w:val="32"/>
        </w:rPr>
        <w:t>6.项目支出：是预算单位为完成其特定的行政工作任务或事业发展目标，在基本支出之外发生的各项支出。</w:t>
      </w:r>
    </w:p>
    <w:p>
      <w:pPr>
        <w:ind w:firstLine="640" w:firstLineChars="200"/>
        <w:rPr>
          <w:rFonts w:ascii="仿宋" w:hAnsi="仿宋" w:eastAsia="仿宋" w:cs="仿宋"/>
          <w:sz w:val="32"/>
          <w:szCs w:val="32"/>
        </w:rPr>
      </w:pPr>
      <w:r>
        <w:rPr>
          <w:rFonts w:hint="eastAsia" w:ascii="仿宋" w:hAnsi="仿宋" w:eastAsia="仿宋" w:cs="仿宋"/>
          <w:sz w:val="32"/>
          <w:szCs w:val="32"/>
        </w:rPr>
        <w:t>7.因公出国（境）费用：反映单位公务出国（境）的国际旅费、国外城市间交通费、住宿费、伙食费、培训费、公杂费等支出。</w:t>
      </w:r>
    </w:p>
    <w:p>
      <w:pPr>
        <w:ind w:firstLine="640" w:firstLineChars="200"/>
        <w:rPr>
          <w:rFonts w:ascii="仿宋" w:hAnsi="仿宋" w:eastAsia="仿宋" w:cs="仿宋"/>
          <w:sz w:val="32"/>
          <w:szCs w:val="32"/>
        </w:rPr>
      </w:pPr>
      <w:r>
        <w:rPr>
          <w:rFonts w:hint="eastAsia" w:ascii="仿宋" w:hAnsi="仿宋" w:eastAsia="仿宋" w:cs="仿宋"/>
          <w:sz w:val="32"/>
          <w:szCs w:val="32"/>
        </w:rPr>
        <w:t>8.公务接待费：反映单位按规定开支的各类公务接待（含外宾接待）费用。</w:t>
      </w:r>
    </w:p>
    <w:p>
      <w:pPr>
        <w:ind w:firstLine="640" w:firstLineChars="200"/>
        <w:rPr>
          <w:rFonts w:ascii="仿宋" w:hAnsi="仿宋" w:eastAsia="仿宋" w:cs="仿宋"/>
          <w:sz w:val="32"/>
          <w:szCs w:val="32"/>
        </w:rPr>
      </w:pPr>
      <w:r>
        <w:rPr>
          <w:rFonts w:hint="eastAsia" w:ascii="仿宋" w:hAnsi="仿宋" w:eastAsia="仿宋" w:cs="仿宋"/>
          <w:sz w:val="32"/>
          <w:szCs w:val="32"/>
        </w:rPr>
        <w:t>9.机关运行经费：为保障行政单位和参照公务员法管理的事业单位运行使用一般公共预算财政拨款资金购买货物和服务的各项经费，即使用一般公共预算财政拨款资金安排的基本支出中的日常公用经费。</w:t>
      </w:r>
    </w:p>
    <w:p>
      <w:pPr>
        <w:ind w:firstLine="640" w:firstLineChars="200"/>
        <w:rPr>
          <w:rFonts w:ascii="仿宋" w:hAnsi="仿宋" w:eastAsia="仿宋" w:cs="仿宋"/>
          <w:sz w:val="32"/>
          <w:szCs w:val="32"/>
        </w:rPr>
      </w:pPr>
      <w:r>
        <w:rPr>
          <w:rFonts w:hint="eastAsia" w:ascii="仿宋" w:hAnsi="仿宋" w:eastAsia="仿宋" w:cs="仿宋"/>
          <w:sz w:val="32"/>
          <w:szCs w:val="32"/>
        </w:rPr>
        <w:t>10.流动资产：是指一年以内变现或耗用的资产，包括库存现金、银行存款、零余额用款额度、财政应返还额度、应收及预付款项、存货等。</w:t>
      </w:r>
    </w:p>
    <w:p>
      <w:pPr>
        <w:ind w:firstLine="640" w:firstLineChars="200"/>
        <w:rPr>
          <w:rFonts w:ascii="仿宋" w:hAnsi="仿宋" w:eastAsia="仿宋" w:cs="仿宋"/>
          <w:sz w:val="32"/>
          <w:szCs w:val="32"/>
        </w:rPr>
      </w:pPr>
      <w:r>
        <w:rPr>
          <w:rFonts w:hint="eastAsia" w:ascii="仿宋" w:hAnsi="仿宋" w:eastAsia="仿宋" w:cs="仿宋"/>
          <w:sz w:val="32"/>
          <w:szCs w:val="32"/>
        </w:rPr>
        <w:t>11.固定资产：是指使用期限超过1年（不含1年），单位价值在规定标准以上，并且在使用过程中基本保持原有物质形态的资产。</w:t>
      </w:r>
    </w:p>
    <w:p>
      <w:pPr>
        <w:ind w:firstLine="640" w:firstLineChars="200"/>
        <w:rPr>
          <w:rFonts w:ascii="仿宋" w:hAnsi="仿宋" w:eastAsia="仿宋" w:cs="仿宋"/>
          <w:sz w:val="32"/>
          <w:szCs w:val="32"/>
        </w:rPr>
      </w:pPr>
      <w:r>
        <w:rPr>
          <w:rFonts w:hint="eastAsia" w:ascii="仿宋" w:hAnsi="仿宋" w:eastAsia="仿宋" w:cs="仿宋"/>
          <w:sz w:val="32"/>
          <w:szCs w:val="32"/>
        </w:rPr>
        <w:t>12. 一般公共服务支出(201):指政府提供公共服务的支出.</w:t>
      </w:r>
    </w:p>
    <w:p>
      <w:pPr>
        <w:ind w:firstLine="640" w:firstLineChars="200"/>
        <w:rPr>
          <w:rFonts w:ascii="仿宋" w:hAnsi="仿宋" w:eastAsia="仿宋" w:cs="仿宋"/>
          <w:sz w:val="32"/>
          <w:szCs w:val="32"/>
        </w:rPr>
      </w:pPr>
      <w:r>
        <w:rPr>
          <w:rFonts w:hint="eastAsia" w:ascii="仿宋" w:hAnsi="仿宋" w:eastAsia="仿宋" w:cs="仿宋"/>
          <w:sz w:val="32"/>
          <w:szCs w:val="32"/>
        </w:rPr>
        <w:t>13.审计事务(20108): 指政府提供审计业务服务的支出。</w:t>
      </w:r>
    </w:p>
    <w:p>
      <w:pPr>
        <w:ind w:firstLine="640" w:firstLineChars="200"/>
        <w:rPr>
          <w:rFonts w:ascii="仿宋" w:hAnsi="仿宋" w:eastAsia="仿宋" w:cs="仿宋"/>
          <w:sz w:val="32"/>
          <w:szCs w:val="32"/>
        </w:rPr>
      </w:pPr>
      <w:r>
        <w:rPr>
          <w:rFonts w:hint="eastAsia" w:ascii="仿宋" w:hAnsi="仿宋" w:eastAsia="仿宋" w:cs="仿宋"/>
          <w:sz w:val="32"/>
          <w:szCs w:val="32"/>
        </w:rPr>
        <w:t>14.行政运行（2010801）：指行政单位（包括实行公务员管理的事业单位）的基本支出。</w:t>
      </w:r>
    </w:p>
    <w:p>
      <w:pPr>
        <w:ind w:firstLine="640" w:firstLineChars="200"/>
        <w:rPr>
          <w:rFonts w:ascii="仿宋" w:hAnsi="仿宋" w:eastAsia="仿宋" w:cs="仿宋"/>
          <w:sz w:val="32"/>
          <w:szCs w:val="32"/>
        </w:rPr>
      </w:pPr>
      <w:r>
        <w:rPr>
          <w:rFonts w:hint="eastAsia" w:ascii="仿宋" w:hAnsi="仿宋" w:eastAsia="仿宋" w:cs="仿宋"/>
          <w:sz w:val="32"/>
          <w:szCs w:val="32"/>
        </w:rPr>
        <w:t>15.一般行政管理事务（2010802）：指行政单位（包括实行公务员管理的事业单位）未单独设置项级科目的其他项目支出。</w:t>
      </w:r>
    </w:p>
    <w:p>
      <w:pPr>
        <w:ind w:firstLine="640" w:firstLineChars="200"/>
        <w:rPr>
          <w:rFonts w:ascii="仿宋" w:hAnsi="仿宋" w:eastAsia="仿宋" w:cs="仿宋"/>
          <w:sz w:val="32"/>
          <w:szCs w:val="32"/>
        </w:rPr>
      </w:pPr>
      <w:r>
        <w:rPr>
          <w:rFonts w:hint="eastAsia" w:ascii="仿宋" w:hAnsi="仿宋" w:eastAsia="仿宋" w:cs="仿宋"/>
          <w:sz w:val="32"/>
          <w:szCs w:val="32"/>
        </w:rPr>
        <w:t>16.审计业务（2010804）：指行政单位发生的审计项目经费支出。</w:t>
      </w:r>
    </w:p>
    <w:p>
      <w:pPr>
        <w:ind w:firstLine="640" w:firstLineChars="200"/>
        <w:rPr>
          <w:rFonts w:ascii="仿宋" w:hAnsi="仿宋" w:eastAsia="仿宋" w:cs="仿宋"/>
          <w:sz w:val="32"/>
          <w:szCs w:val="32"/>
        </w:rPr>
      </w:pPr>
      <w:r>
        <w:rPr>
          <w:rFonts w:hint="eastAsia" w:ascii="仿宋" w:hAnsi="仿宋" w:eastAsia="仿宋" w:cs="仿宋"/>
          <w:sz w:val="32"/>
          <w:szCs w:val="32"/>
        </w:rPr>
        <w:t>17.信息化建设（2010806）：指行政单位（包括实行公务员管理的事业单位）的信息化建设支出。</w:t>
      </w:r>
    </w:p>
    <w:p>
      <w:pPr>
        <w:ind w:firstLine="640" w:firstLineChars="200"/>
        <w:rPr>
          <w:rFonts w:ascii="仿宋" w:hAnsi="仿宋" w:eastAsia="仿宋" w:cs="仿宋"/>
          <w:sz w:val="32"/>
          <w:szCs w:val="32"/>
        </w:rPr>
      </w:pPr>
      <w:r>
        <w:rPr>
          <w:rFonts w:hint="eastAsia" w:ascii="仿宋" w:hAnsi="仿宋" w:eastAsia="仿宋" w:cs="仿宋"/>
          <w:sz w:val="32"/>
          <w:szCs w:val="32"/>
        </w:rPr>
        <w:t>18.其他审计事务支出（2010899）：指上述项目以外其他审计事务方面的支出。</w:t>
      </w:r>
    </w:p>
    <w:p>
      <w:pPr>
        <w:ind w:firstLine="640" w:firstLineChars="200"/>
        <w:rPr>
          <w:rFonts w:ascii="仿宋" w:hAnsi="仿宋" w:eastAsia="仿宋" w:cs="仿宋"/>
          <w:sz w:val="32"/>
          <w:szCs w:val="32"/>
        </w:rPr>
      </w:pPr>
      <w:r>
        <w:rPr>
          <w:rFonts w:hint="eastAsia" w:ascii="仿宋" w:hAnsi="仿宋" w:eastAsia="仿宋" w:cs="仿宋"/>
          <w:sz w:val="32"/>
          <w:szCs w:val="32"/>
        </w:rPr>
        <w:t>19.社会保障和就业支出（208）：指政府在社会保障与就业方面的支出。</w:t>
      </w:r>
    </w:p>
    <w:p>
      <w:pPr>
        <w:ind w:firstLine="640" w:firstLineChars="200"/>
        <w:rPr>
          <w:rFonts w:ascii="仿宋" w:hAnsi="仿宋" w:eastAsia="仿宋" w:cs="仿宋"/>
          <w:sz w:val="32"/>
          <w:szCs w:val="32"/>
        </w:rPr>
      </w:pPr>
      <w:r>
        <w:rPr>
          <w:rFonts w:hint="eastAsia" w:ascii="仿宋" w:hAnsi="仿宋" w:eastAsia="仿宋" w:cs="仿宋"/>
          <w:sz w:val="32"/>
          <w:szCs w:val="32"/>
        </w:rPr>
        <w:t>20.行政事业单位离退休（20805）：指用于行政事业单位离退休方面的支出。</w:t>
      </w:r>
    </w:p>
    <w:p>
      <w:pPr>
        <w:ind w:firstLine="640" w:firstLineChars="200"/>
        <w:rPr>
          <w:rFonts w:ascii="仿宋" w:hAnsi="仿宋" w:eastAsia="仿宋" w:cs="仿宋"/>
          <w:sz w:val="32"/>
          <w:szCs w:val="32"/>
        </w:rPr>
      </w:pPr>
      <w:r>
        <w:rPr>
          <w:rFonts w:hint="eastAsia" w:ascii="仿宋" w:hAnsi="仿宋" w:eastAsia="仿宋" w:cs="仿宋"/>
          <w:sz w:val="32"/>
          <w:szCs w:val="32"/>
        </w:rPr>
        <w:t>21.机关事业单位基本养老保险缴费支出（2080505）：指机关事业单位实施养老保险制度由单位缴纳的基本养老保险费支出。</w:t>
      </w:r>
    </w:p>
    <w:p>
      <w:pPr>
        <w:ind w:firstLine="640" w:firstLineChars="200"/>
        <w:rPr>
          <w:rFonts w:ascii="仿宋" w:hAnsi="仿宋" w:eastAsia="仿宋" w:cs="仿宋"/>
          <w:sz w:val="32"/>
          <w:szCs w:val="32"/>
        </w:rPr>
      </w:pPr>
      <w:r>
        <w:rPr>
          <w:rFonts w:hint="eastAsia" w:ascii="仿宋" w:hAnsi="仿宋" w:eastAsia="仿宋" w:cs="仿宋"/>
          <w:sz w:val="32"/>
          <w:szCs w:val="32"/>
        </w:rPr>
        <w:t>22.机关事业单位职业年金缴费支出（2080506）：指机关事业单位实施养老保险制度由单位实际缴纳的职业年金支出。</w:t>
      </w:r>
    </w:p>
    <w:p>
      <w:pPr>
        <w:ind w:firstLine="640" w:firstLineChars="200"/>
        <w:rPr>
          <w:rFonts w:ascii="仿宋" w:hAnsi="仿宋" w:eastAsia="仿宋" w:cs="仿宋"/>
          <w:sz w:val="32"/>
          <w:szCs w:val="32"/>
        </w:rPr>
      </w:pPr>
      <w:r>
        <w:rPr>
          <w:rFonts w:hint="eastAsia" w:ascii="仿宋" w:hAnsi="仿宋" w:eastAsia="仿宋" w:cs="仿宋"/>
          <w:sz w:val="32"/>
          <w:szCs w:val="32"/>
        </w:rPr>
        <w:t>23.医疗卫生与计划生育支出（210）：指政府医疗与计划生育方面的支出。</w:t>
      </w:r>
    </w:p>
    <w:p>
      <w:pPr>
        <w:ind w:firstLine="640" w:firstLineChars="200"/>
        <w:rPr>
          <w:rFonts w:ascii="仿宋" w:hAnsi="仿宋" w:eastAsia="仿宋" w:cs="仿宋"/>
          <w:sz w:val="32"/>
          <w:szCs w:val="32"/>
        </w:rPr>
      </w:pPr>
      <w:r>
        <w:rPr>
          <w:rFonts w:hint="eastAsia" w:ascii="仿宋" w:hAnsi="仿宋" w:eastAsia="仿宋" w:cs="仿宋"/>
          <w:sz w:val="32"/>
          <w:szCs w:val="32"/>
        </w:rPr>
        <w:t>24.行政事业单位医疗（21011）：指行政事业单位医疗保障方面的支出。</w:t>
      </w:r>
    </w:p>
    <w:p>
      <w:pPr>
        <w:ind w:firstLine="640" w:firstLineChars="200"/>
        <w:rPr>
          <w:rFonts w:ascii="仿宋" w:hAnsi="仿宋" w:eastAsia="仿宋" w:cs="仿宋"/>
          <w:sz w:val="32"/>
          <w:szCs w:val="32"/>
        </w:rPr>
      </w:pPr>
      <w:r>
        <w:rPr>
          <w:rFonts w:hint="eastAsia" w:ascii="仿宋" w:hAnsi="仿宋" w:eastAsia="仿宋" w:cs="仿宋"/>
          <w:sz w:val="32"/>
          <w:szCs w:val="32"/>
        </w:rPr>
        <w:t>25.行政单位医疗（2101101）：指行政单位医疗保障方面的支出。</w:t>
      </w:r>
    </w:p>
    <w:p>
      <w:pPr>
        <w:ind w:firstLine="640" w:firstLineChars="200"/>
        <w:rPr>
          <w:rFonts w:ascii="仿宋" w:hAnsi="仿宋" w:eastAsia="仿宋" w:cs="仿宋"/>
          <w:sz w:val="32"/>
          <w:szCs w:val="32"/>
        </w:rPr>
      </w:pPr>
      <w:r>
        <w:rPr>
          <w:rFonts w:hint="eastAsia" w:ascii="仿宋" w:hAnsi="仿宋" w:eastAsia="仿宋" w:cs="仿宋"/>
          <w:sz w:val="32"/>
          <w:szCs w:val="32"/>
        </w:rPr>
        <w:t>26.住房保障支出（221）：指政府机构缴纳住房方面的支出。</w:t>
      </w:r>
    </w:p>
    <w:p>
      <w:pPr>
        <w:ind w:firstLine="640" w:firstLineChars="200"/>
        <w:rPr>
          <w:rFonts w:ascii="仿宋" w:hAnsi="仿宋" w:eastAsia="仿宋" w:cs="仿宋"/>
          <w:sz w:val="32"/>
          <w:szCs w:val="32"/>
        </w:rPr>
      </w:pPr>
      <w:r>
        <w:rPr>
          <w:rFonts w:hint="eastAsia" w:ascii="仿宋" w:hAnsi="仿宋" w:eastAsia="仿宋" w:cs="仿宋"/>
          <w:sz w:val="32"/>
          <w:szCs w:val="32"/>
        </w:rPr>
        <w:t>27.住房改革支出（22102）：指行政事业单位用财政拨款资金和其他资金等安排的住房改革支出。</w:t>
      </w:r>
    </w:p>
    <w:p>
      <w:pPr>
        <w:ind w:firstLine="640" w:firstLineChars="200"/>
        <w:rPr>
          <w:rFonts w:ascii="仿宋" w:hAnsi="仿宋" w:eastAsia="仿宋" w:cs="仿宋"/>
          <w:sz w:val="32"/>
          <w:szCs w:val="32"/>
        </w:rPr>
      </w:pPr>
      <w:r>
        <w:rPr>
          <w:rFonts w:hint="eastAsia" w:ascii="仿宋" w:hAnsi="仿宋" w:eastAsia="仿宋" w:cs="仿宋"/>
          <w:sz w:val="32"/>
          <w:szCs w:val="32"/>
        </w:rPr>
        <w:t>28.住房公积金(2210201):指行政事业单位按人力资源和社会保障部、财政部规定的基本工资和津贴补贴以及规定比例为职工缴纳的住房公积金。</w:t>
      </w:r>
    </w:p>
    <w:p>
      <w:pPr>
        <w:ind w:firstLine="640" w:firstLineChars="200"/>
        <w:rPr>
          <w:rFonts w:ascii="仿宋" w:hAnsi="仿宋" w:eastAsia="仿宋" w:cs="仿宋"/>
          <w:sz w:val="32"/>
          <w:szCs w:val="32"/>
        </w:rPr>
      </w:pPr>
      <w:r>
        <w:rPr>
          <w:rFonts w:hint="eastAsia" w:ascii="仿宋" w:hAnsi="仿宋" w:eastAsia="仿宋" w:cs="仿宋"/>
          <w:sz w:val="32"/>
          <w:szCs w:val="32"/>
        </w:rPr>
        <w:t>29.购房补贴（2210203）：指按房改政策规定，行政事业单位向符合条件职工（含离退休人员）、军队（含武警）向转役复员离退休人员发放的用于购买住房的补贴。</w:t>
      </w:r>
    </w:p>
    <w:p>
      <w:pPr>
        <w:ind w:firstLine="640" w:firstLineChars="200"/>
        <w:rPr>
          <w:rFonts w:ascii="仿宋" w:hAnsi="仿宋" w:eastAsia="仿宋" w:cs="仿宋"/>
          <w:sz w:val="32"/>
          <w:szCs w:val="32"/>
        </w:rPr>
      </w:pPr>
      <w:r>
        <w:rPr>
          <w:rFonts w:hint="eastAsia" w:ascii="仿宋" w:hAnsi="仿宋" w:eastAsia="仿宋" w:cs="仿宋"/>
          <w:sz w:val="32"/>
          <w:szCs w:val="32"/>
        </w:rPr>
        <w:t>30.其他支出（229）：指不能划分到上述功能科目的其他政府支出。</w:t>
      </w:r>
    </w:p>
    <w:p>
      <w:pPr>
        <w:ind w:firstLine="640" w:firstLineChars="200"/>
        <w:rPr>
          <w:rFonts w:ascii="仿宋" w:hAnsi="仿宋" w:eastAsia="仿宋" w:cs="仿宋"/>
          <w:sz w:val="32"/>
          <w:szCs w:val="32"/>
        </w:rPr>
      </w:pPr>
      <w:r>
        <w:rPr>
          <w:rFonts w:hint="eastAsia" w:ascii="仿宋" w:hAnsi="仿宋" w:eastAsia="仿宋" w:cs="仿宋"/>
          <w:sz w:val="32"/>
          <w:szCs w:val="32"/>
        </w:rPr>
        <w:t>31.其他政府性基金及对应专项债务收入安排的支出（22904/2290400）：指其他政府性基金及对应专项债务收入安排的支出(包括用以前年度欠款收入安排的支出)。</w:t>
      </w:r>
    </w:p>
    <w:p>
      <w:pPr>
        <w:ind w:firstLine="640" w:firstLineChars="200"/>
        <w:rPr>
          <w:rFonts w:ascii="仿宋" w:hAnsi="仿宋" w:eastAsia="仿宋" w:cs="仿宋"/>
          <w:sz w:val="32"/>
          <w:szCs w:val="32"/>
        </w:rPr>
      </w:pPr>
    </w:p>
    <w:p>
      <w:pPr>
        <w:rPr>
          <w:rFonts w:ascii="仿宋" w:hAnsi="仿宋" w:eastAsia="仿宋" w:cs="仿宋"/>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EFF4F"/>
    <w:multiLevelType w:val="singleLevel"/>
    <w:tmpl w:val="8F1EFF4F"/>
    <w:lvl w:ilvl="0" w:tentative="0">
      <w:start w:val="1"/>
      <w:numFmt w:val="decimal"/>
      <w:suff w:val="nothing"/>
      <w:lvlText w:val="（%1）"/>
      <w:lvlJc w:val="left"/>
    </w:lvl>
  </w:abstractNum>
  <w:abstractNum w:abstractNumId="1">
    <w:nsid w:val="92E00D96"/>
    <w:multiLevelType w:val="singleLevel"/>
    <w:tmpl w:val="92E00D96"/>
    <w:lvl w:ilvl="0" w:tentative="0">
      <w:start w:val="4"/>
      <w:numFmt w:val="chineseCounting"/>
      <w:suff w:val="nothing"/>
      <w:lvlText w:val="%1、"/>
      <w:lvlJc w:val="left"/>
      <w:rPr>
        <w:rFonts w:hint="eastAsia"/>
      </w:rPr>
    </w:lvl>
  </w:abstractNum>
  <w:abstractNum w:abstractNumId="2">
    <w:nsid w:val="B233408A"/>
    <w:multiLevelType w:val="singleLevel"/>
    <w:tmpl w:val="B233408A"/>
    <w:lvl w:ilvl="0" w:tentative="0">
      <w:start w:val="1"/>
      <w:numFmt w:val="decimal"/>
      <w:suff w:val="nothing"/>
      <w:lvlText w:val="（%1）"/>
      <w:lvlJc w:val="left"/>
    </w:lvl>
  </w:abstractNum>
  <w:abstractNum w:abstractNumId="3">
    <w:nsid w:val="4336A5B7"/>
    <w:multiLevelType w:val="singleLevel"/>
    <w:tmpl w:val="4336A5B7"/>
    <w:lvl w:ilvl="0" w:tentative="0">
      <w:start w:val="8"/>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2042"/>
    <w:rsid w:val="00064128"/>
    <w:rsid w:val="000651D8"/>
    <w:rsid w:val="0007101E"/>
    <w:rsid w:val="00072BCA"/>
    <w:rsid w:val="000E188B"/>
    <w:rsid w:val="000E18A3"/>
    <w:rsid w:val="000E1A92"/>
    <w:rsid w:val="000F6A4F"/>
    <w:rsid w:val="001016A7"/>
    <w:rsid w:val="00114391"/>
    <w:rsid w:val="00120C66"/>
    <w:rsid w:val="00120CDC"/>
    <w:rsid w:val="0015192B"/>
    <w:rsid w:val="001758E9"/>
    <w:rsid w:val="00176822"/>
    <w:rsid w:val="0018273E"/>
    <w:rsid w:val="00184183"/>
    <w:rsid w:val="001902D7"/>
    <w:rsid w:val="00190775"/>
    <w:rsid w:val="001920D4"/>
    <w:rsid w:val="00192FAE"/>
    <w:rsid w:val="001A2286"/>
    <w:rsid w:val="001A45E9"/>
    <w:rsid w:val="001D5629"/>
    <w:rsid w:val="001E74C5"/>
    <w:rsid w:val="001F527C"/>
    <w:rsid w:val="00206218"/>
    <w:rsid w:val="00207B27"/>
    <w:rsid w:val="00214241"/>
    <w:rsid w:val="00221B85"/>
    <w:rsid w:val="00250207"/>
    <w:rsid w:val="00257A58"/>
    <w:rsid w:val="00270F3A"/>
    <w:rsid w:val="002738A3"/>
    <w:rsid w:val="002746F1"/>
    <w:rsid w:val="00276750"/>
    <w:rsid w:val="00282B23"/>
    <w:rsid w:val="002915C7"/>
    <w:rsid w:val="00294E07"/>
    <w:rsid w:val="00295463"/>
    <w:rsid w:val="00296D7C"/>
    <w:rsid w:val="002A7BA1"/>
    <w:rsid w:val="002C35BD"/>
    <w:rsid w:val="002D6A30"/>
    <w:rsid w:val="002E00D5"/>
    <w:rsid w:val="00322582"/>
    <w:rsid w:val="003265FA"/>
    <w:rsid w:val="00327825"/>
    <w:rsid w:val="00330A19"/>
    <w:rsid w:val="00342CD2"/>
    <w:rsid w:val="00344F37"/>
    <w:rsid w:val="0034725A"/>
    <w:rsid w:val="00361F65"/>
    <w:rsid w:val="00371925"/>
    <w:rsid w:val="00373442"/>
    <w:rsid w:val="003775A0"/>
    <w:rsid w:val="00381FC1"/>
    <w:rsid w:val="0038512D"/>
    <w:rsid w:val="00386388"/>
    <w:rsid w:val="0038715C"/>
    <w:rsid w:val="003A4B20"/>
    <w:rsid w:val="003A6FA2"/>
    <w:rsid w:val="003B0DD8"/>
    <w:rsid w:val="003B1368"/>
    <w:rsid w:val="003C23A0"/>
    <w:rsid w:val="003C4F54"/>
    <w:rsid w:val="003D0527"/>
    <w:rsid w:val="003D31D7"/>
    <w:rsid w:val="003D5271"/>
    <w:rsid w:val="003D746E"/>
    <w:rsid w:val="003E6F76"/>
    <w:rsid w:val="003F53B9"/>
    <w:rsid w:val="004040A3"/>
    <w:rsid w:val="004044EE"/>
    <w:rsid w:val="00417507"/>
    <w:rsid w:val="00420D41"/>
    <w:rsid w:val="00421AF8"/>
    <w:rsid w:val="00450FEA"/>
    <w:rsid w:val="004614FB"/>
    <w:rsid w:val="00482F4B"/>
    <w:rsid w:val="00492845"/>
    <w:rsid w:val="00493E30"/>
    <w:rsid w:val="004A7B52"/>
    <w:rsid w:val="004C62D1"/>
    <w:rsid w:val="004D09A8"/>
    <w:rsid w:val="004E0E8D"/>
    <w:rsid w:val="004F1790"/>
    <w:rsid w:val="004F2CCF"/>
    <w:rsid w:val="004F54CB"/>
    <w:rsid w:val="00514AEC"/>
    <w:rsid w:val="00515175"/>
    <w:rsid w:val="00515271"/>
    <w:rsid w:val="00516246"/>
    <w:rsid w:val="005174AB"/>
    <w:rsid w:val="00555B97"/>
    <w:rsid w:val="0057796B"/>
    <w:rsid w:val="00582F7A"/>
    <w:rsid w:val="00586939"/>
    <w:rsid w:val="00590A87"/>
    <w:rsid w:val="00595EAD"/>
    <w:rsid w:val="005A1EB3"/>
    <w:rsid w:val="005B180D"/>
    <w:rsid w:val="005B1CD6"/>
    <w:rsid w:val="005B602D"/>
    <w:rsid w:val="005C2F43"/>
    <w:rsid w:val="005E3140"/>
    <w:rsid w:val="006048A5"/>
    <w:rsid w:val="00604C57"/>
    <w:rsid w:val="0061194C"/>
    <w:rsid w:val="0061672A"/>
    <w:rsid w:val="006267B8"/>
    <w:rsid w:val="00632156"/>
    <w:rsid w:val="00633DDE"/>
    <w:rsid w:val="006405C2"/>
    <w:rsid w:val="006445BE"/>
    <w:rsid w:val="00651A48"/>
    <w:rsid w:val="006847B4"/>
    <w:rsid w:val="00685EAF"/>
    <w:rsid w:val="00694190"/>
    <w:rsid w:val="0069448C"/>
    <w:rsid w:val="0069528E"/>
    <w:rsid w:val="006970D0"/>
    <w:rsid w:val="006C34A6"/>
    <w:rsid w:val="006C527F"/>
    <w:rsid w:val="006D6A2F"/>
    <w:rsid w:val="007013D3"/>
    <w:rsid w:val="007033AA"/>
    <w:rsid w:val="00707643"/>
    <w:rsid w:val="007079F8"/>
    <w:rsid w:val="00717C1C"/>
    <w:rsid w:val="007200FE"/>
    <w:rsid w:val="0073424B"/>
    <w:rsid w:val="00741108"/>
    <w:rsid w:val="00741B55"/>
    <w:rsid w:val="00746CBE"/>
    <w:rsid w:val="00761B9C"/>
    <w:rsid w:val="00765C83"/>
    <w:rsid w:val="00780470"/>
    <w:rsid w:val="00794BF7"/>
    <w:rsid w:val="00795BC2"/>
    <w:rsid w:val="007A1604"/>
    <w:rsid w:val="007B0FA4"/>
    <w:rsid w:val="007B33DE"/>
    <w:rsid w:val="007B3679"/>
    <w:rsid w:val="007C44E9"/>
    <w:rsid w:val="007D348B"/>
    <w:rsid w:val="007E6CDF"/>
    <w:rsid w:val="008223CC"/>
    <w:rsid w:val="00822CEF"/>
    <w:rsid w:val="008346BD"/>
    <w:rsid w:val="00837841"/>
    <w:rsid w:val="00854686"/>
    <w:rsid w:val="008562A0"/>
    <w:rsid w:val="00881F0B"/>
    <w:rsid w:val="00886526"/>
    <w:rsid w:val="00887089"/>
    <w:rsid w:val="00893EDB"/>
    <w:rsid w:val="008C2CF4"/>
    <w:rsid w:val="008D48F1"/>
    <w:rsid w:val="008E54B4"/>
    <w:rsid w:val="008F1E0E"/>
    <w:rsid w:val="0090349E"/>
    <w:rsid w:val="009125B1"/>
    <w:rsid w:val="00913D52"/>
    <w:rsid w:val="00923634"/>
    <w:rsid w:val="009320DC"/>
    <w:rsid w:val="009503A3"/>
    <w:rsid w:val="00951A76"/>
    <w:rsid w:val="0097416C"/>
    <w:rsid w:val="0097677D"/>
    <w:rsid w:val="009809AE"/>
    <w:rsid w:val="00982B21"/>
    <w:rsid w:val="009845D7"/>
    <w:rsid w:val="00990DDE"/>
    <w:rsid w:val="00997B30"/>
    <w:rsid w:val="009A37C6"/>
    <w:rsid w:val="009B570B"/>
    <w:rsid w:val="009B781D"/>
    <w:rsid w:val="009D180F"/>
    <w:rsid w:val="009E735B"/>
    <w:rsid w:val="009F33E5"/>
    <w:rsid w:val="00A0740C"/>
    <w:rsid w:val="00A309C1"/>
    <w:rsid w:val="00A34BA9"/>
    <w:rsid w:val="00A43612"/>
    <w:rsid w:val="00A4622E"/>
    <w:rsid w:val="00A517C2"/>
    <w:rsid w:val="00A567AF"/>
    <w:rsid w:val="00A71EB2"/>
    <w:rsid w:val="00A828DF"/>
    <w:rsid w:val="00A85246"/>
    <w:rsid w:val="00AA03BD"/>
    <w:rsid w:val="00AC012E"/>
    <w:rsid w:val="00AC03C2"/>
    <w:rsid w:val="00AC74E6"/>
    <w:rsid w:val="00AF106F"/>
    <w:rsid w:val="00AF2F79"/>
    <w:rsid w:val="00AF3B7B"/>
    <w:rsid w:val="00AF77F1"/>
    <w:rsid w:val="00B44978"/>
    <w:rsid w:val="00B52F86"/>
    <w:rsid w:val="00B5679A"/>
    <w:rsid w:val="00B867F5"/>
    <w:rsid w:val="00B91B69"/>
    <w:rsid w:val="00B93A85"/>
    <w:rsid w:val="00BB1A58"/>
    <w:rsid w:val="00BB4E1E"/>
    <w:rsid w:val="00BC6167"/>
    <w:rsid w:val="00BD722D"/>
    <w:rsid w:val="00BF6CE9"/>
    <w:rsid w:val="00BF6D0A"/>
    <w:rsid w:val="00BF7509"/>
    <w:rsid w:val="00BF7B7E"/>
    <w:rsid w:val="00C03C0A"/>
    <w:rsid w:val="00C31791"/>
    <w:rsid w:val="00C33E6D"/>
    <w:rsid w:val="00C362CE"/>
    <w:rsid w:val="00C450CC"/>
    <w:rsid w:val="00C5682A"/>
    <w:rsid w:val="00C80187"/>
    <w:rsid w:val="00C81C6E"/>
    <w:rsid w:val="00C85CCC"/>
    <w:rsid w:val="00CA1E85"/>
    <w:rsid w:val="00CA3947"/>
    <w:rsid w:val="00CD2A12"/>
    <w:rsid w:val="00CD3F92"/>
    <w:rsid w:val="00CD70CB"/>
    <w:rsid w:val="00CE47C0"/>
    <w:rsid w:val="00CE4D3C"/>
    <w:rsid w:val="00CE7492"/>
    <w:rsid w:val="00CF1EE7"/>
    <w:rsid w:val="00D14CD2"/>
    <w:rsid w:val="00D366CD"/>
    <w:rsid w:val="00D41B69"/>
    <w:rsid w:val="00D4707B"/>
    <w:rsid w:val="00D54C56"/>
    <w:rsid w:val="00D61851"/>
    <w:rsid w:val="00D61FA7"/>
    <w:rsid w:val="00D70031"/>
    <w:rsid w:val="00D81005"/>
    <w:rsid w:val="00D82028"/>
    <w:rsid w:val="00D82442"/>
    <w:rsid w:val="00D826D8"/>
    <w:rsid w:val="00D83AEB"/>
    <w:rsid w:val="00D878BC"/>
    <w:rsid w:val="00D91495"/>
    <w:rsid w:val="00D914B2"/>
    <w:rsid w:val="00D91A88"/>
    <w:rsid w:val="00D95E1E"/>
    <w:rsid w:val="00DA64A4"/>
    <w:rsid w:val="00DD55A4"/>
    <w:rsid w:val="00DE1E92"/>
    <w:rsid w:val="00DE4BF0"/>
    <w:rsid w:val="00DF03E0"/>
    <w:rsid w:val="00DF4F09"/>
    <w:rsid w:val="00DF70C6"/>
    <w:rsid w:val="00E0018C"/>
    <w:rsid w:val="00E11F7A"/>
    <w:rsid w:val="00E2537B"/>
    <w:rsid w:val="00E3509E"/>
    <w:rsid w:val="00E65BF4"/>
    <w:rsid w:val="00E71FA7"/>
    <w:rsid w:val="00E72A06"/>
    <w:rsid w:val="00EA41D6"/>
    <w:rsid w:val="00EB4E58"/>
    <w:rsid w:val="00EB6701"/>
    <w:rsid w:val="00EB7242"/>
    <w:rsid w:val="00ED24E5"/>
    <w:rsid w:val="00EF3F12"/>
    <w:rsid w:val="00EF6DB6"/>
    <w:rsid w:val="00F03027"/>
    <w:rsid w:val="00F04FB9"/>
    <w:rsid w:val="00F20479"/>
    <w:rsid w:val="00F20E78"/>
    <w:rsid w:val="00F2662F"/>
    <w:rsid w:val="00F30F2B"/>
    <w:rsid w:val="00F42C03"/>
    <w:rsid w:val="00F47F2E"/>
    <w:rsid w:val="00F55FBD"/>
    <w:rsid w:val="00F731CB"/>
    <w:rsid w:val="00F770F2"/>
    <w:rsid w:val="00F96E70"/>
    <w:rsid w:val="00F97ACF"/>
    <w:rsid w:val="00FB2A8A"/>
    <w:rsid w:val="00FB67F9"/>
    <w:rsid w:val="00FB6DE5"/>
    <w:rsid w:val="00FB7D78"/>
    <w:rsid w:val="00FC46E6"/>
    <w:rsid w:val="00FC7092"/>
    <w:rsid w:val="00FC74BF"/>
    <w:rsid w:val="00FD477C"/>
    <w:rsid w:val="00FD4D65"/>
    <w:rsid w:val="00FF3C3B"/>
    <w:rsid w:val="00FF4349"/>
    <w:rsid w:val="01157F83"/>
    <w:rsid w:val="012C1DD9"/>
    <w:rsid w:val="018F6751"/>
    <w:rsid w:val="01AC19DB"/>
    <w:rsid w:val="01B54637"/>
    <w:rsid w:val="01B66D9E"/>
    <w:rsid w:val="01C17016"/>
    <w:rsid w:val="01CC438C"/>
    <w:rsid w:val="01F02326"/>
    <w:rsid w:val="01FF3A78"/>
    <w:rsid w:val="020D1743"/>
    <w:rsid w:val="0222520C"/>
    <w:rsid w:val="0240058A"/>
    <w:rsid w:val="02661590"/>
    <w:rsid w:val="02697ECD"/>
    <w:rsid w:val="0299790C"/>
    <w:rsid w:val="02DD3C4B"/>
    <w:rsid w:val="02EE6E86"/>
    <w:rsid w:val="02F25C26"/>
    <w:rsid w:val="032D0524"/>
    <w:rsid w:val="033862D2"/>
    <w:rsid w:val="0346095F"/>
    <w:rsid w:val="03585F50"/>
    <w:rsid w:val="036C00E7"/>
    <w:rsid w:val="03766622"/>
    <w:rsid w:val="0392745C"/>
    <w:rsid w:val="0398254B"/>
    <w:rsid w:val="03AF229E"/>
    <w:rsid w:val="03B23394"/>
    <w:rsid w:val="03C95803"/>
    <w:rsid w:val="03F15257"/>
    <w:rsid w:val="03F75772"/>
    <w:rsid w:val="040737DA"/>
    <w:rsid w:val="04254C9A"/>
    <w:rsid w:val="045623CF"/>
    <w:rsid w:val="0482362E"/>
    <w:rsid w:val="04860946"/>
    <w:rsid w:val="04A166AB"/>
    <w:rsid w:val="04C7471F"/>
    <w:rsid w:val="04EA5706"/>
    <w:rsid w:val="04EB2AE6"/>
    <w:rsid w:val="050805A2"/>
    <w:rsid w:val="05185426"/>
    <w:rsid w:val="054575CA"/>
    <w:rsid w:val="05594289"/>
    <w:rsid w:val="056606E7"/>
    <w:rsid w:val="059247BE"/>
    <w:rsid w:val="059A6B33"/>
    <w:rsid w:val="05AC5312"/>
    <w:rsid w:val="05B41784"/>
    <w:rsid w:val="05B74B9D"/>
    <w:rsid w:val="05BA3D84"/>
    <w:rsid w:val="05E54A2C"/>
    <w:rsid w:val="05F040E9"/>
    <w:rsid w:val="06151C97"/>
    <w:rsid w:val="061A1B40"/>
    <w:rsid w:val="06413370"/>
    <w:rsid w:val="06491ECF"/>
    <w:rsid w:val="067529C2"/>
    <w:rsid w:val="067A7D91"/>
    <w:rsid w:val="068C5933"/>
    <w:rsid w:val="068F0843"/>
    <w:rsid w:val="069F70FC"/>
    <w:rsid w:val="06AA0684"/>
    <w:rsid w:val="06B028D9"/>
    <w:rsid w:val="06FA72B5"/>
    <w:rsid w:val="07033846"/>
    <w:rsid w:val="071A1382"/>
    <w:rsid w:val="071D3B6C"/>
    <w:rsid w:val="0751485F"/>
    <w:rsid w:val="077B3D65"/>
    <w:rsid w:val="078C26FE"/>
    <w:rsid w:val="0794484F"/>
    <w:rsid w:val="07B8198B"/>
    <w:rsid w:val="07F4238F"/>
    <w:rsid w:val="0851301A"/>
    <w:rsid w:val="0857498A"/>
    <w:rsid w:val="08730451"/>
    <w:rsid w:val="087844AC"/>
    <w:rsid w:val="08CD0558"/>
    <w:rsid w:val="08D50A67"/>
    <w:rsid w:val="08EF5C65"/>
    <w:rsid w:val="090813B1"/>
    <w:rsid w:val="09164152"/>
    <w:rsid w:val="09266D78"/>
    <w:rsid w:val="09275E0C"/>
    <w:rsid w:val="092906CD"/>
    <w:rsid w:val="092F4C01"/>
    <w:rsid w:val="09344403"/>
    <w:rsid w:val="09361137"/>
    <w:rsid w:val="093C5B6E"/>
    <w:rsid w:val="099E3A94"/>
    <w:rsid w:val="09A43D9F"/>
    <w:rsid w:val="09A66E42"/>
    <w:rsid w:val="09B037C5"/>
    <w:rsid w:val="09C2627A"/>
    <w:rsid w:val="09D05B95"/>
    <w:rsid w:val="09DF6BFB"/>
    <w:rsid w:val="09E460E8"/>
    <w:rsid w:val="09E90A4D"/>
    <w:rsid w:val="09EC53F8"/>
    <w:rsid w:val="09EE6FBE"/>
    <w:rsid w:val="09FF59DF"/>
    <w:rsid w:val="0A1A640D"/>
    <w:rsid w:val="0A6A7B54"/>
    <w:rsid w:val="0A8900CF"/>
    <w:rsid w:val="0A8A6433"/>
    <w:rsid w:val="0AA442A6"/>
    <w:rsid w:val="0AAE74B5"/>
    <w:rsid w:val="0ABE0CA4"/>
    <w:rsid w:val="0ADB6EEA"/>
    <w:rsid w:val="0AE92E49"/>
    <w:rsid w:val="0AEF7897"/>
    <w:rsid w:val="0B2123D4"/>
    <w:rsid w:val="0B303933"/>
    <w:rsid w:val="0B53069B"/>
    <w:rsid w:val="0B5462BB"/>
    <w:rsid w:val="0B6626D9"/>
    <w:rsid w:val="0B8224FE"/>
    <w:rsid w:val="0BA824F0"/>
    <w:rsid w:val="0BEC3E5A"/>
    <w:rsid w:val="0BFC6E0D"/>
    <w:rsid w:val="0C0A5566"/>
    <w:rsid w:val="0C1018F3"/>
    <w:rsid w:val="0C1610A2"/>
    <w:rsid w:val="0C2C4674"/>
    <w:rsid w:val="0C5E6EB1"/>
    <w:rsid w:val="0C684490"/>
    <w:rsid w:val="0C8B77A8"/>
    <w:rsid w:val="0CC658E7"/>
    <w:rsid w:val="0CCC6589"/>
    <w:rsid w:val="0CD778AD"/>
    <w:rsid w:val="0D3F79D4"/>
    <w:rsid w:val="0D502CC7"/>
    <w:rsid w:val="0D5A1688"/>
    <w:rsid w:val="0D5B0A53"/>
    <w:rsid w:val="0D617623"/>
    <w:rsid w:val="0D8A03B7"/>
    <w:rsid w:val="0DE434C6"/>
    <w:rsid w:val="0DF210D6"/>
    <w:rsid w:val="0DFE625A"/>
    <w:rsid w:val="0E15426C"/>
    <w:rsid w:val="0E24139C"/>
    <w:rsid w:val="0E3457E4"/>
    <w:rsid w:val="0E561762"/>
    <w:rsid w:val="0E625220"/>
    <w:rsid w:val="0E770657"/>
    <w:rsid w:val="0EA1208C"/>
    <w:rsid w:val="0EC4433E"/>
    <w:rsid w:val="0EC62E37"/>
    <w:rsid w:val="0EC93B9A"/>
    <w:rsid w:val="0F121117"/>
    <w:rsid w:val="0F2C71D6"/>
    <w:rsid w:val="0F3221CA"/>
    <w:rsid w:val="0F4921F8"/>
    <w:rsid w:val="0FA677BA"/>
    <w:rsid w:val="0FE82380"/>
    <w:rsid w:val="0FF42C9F"/>
    <w:rsid w:val="101D32DA"/>
    <w:rsid w:val="1081358D"/>
    <w:rsid w:val="108435E7"/>
    <w:rsid w:val="108E40DB"/>
    <w:rsid w:val="10922F34"/>
    <w:rsid w:val="109F22A7"/>
    <w:rsid w:val="10C60074"/>
    <w:rsid w:val="10D66AEE"/>
    <w:rsid w:val="10D73A89"/>
    <w:rsid w:val="10FF7725"/>
    <w:rsid w:val="110426BF"/>
    <w:rsid w:val="111A5C84"/>
    <w:rsid w:val="113511C7"/>
    <w:rsid w:val="1147075C"/>
    <w:rsid w:val="11490016"/>
    <w:rsid w:val="114A78B6"/>
    <w:rsid w:val="116B2993"/>
    <w:rsid w:val="116D2231"/>
    <w:rsid w:val="116E3A77"/>
    <w:rsid w:val="118E0BA4"/>
    <w:rsid w:val="11CC4D3C"/>
    <w:rsid w:val="11D44A54"/>
    <w:rsid w:val="11E26A1E"/>
    <w:rsid w:val="11F12334"/>
    <w:rsid w:val="11F252E5"/>
    <w:rsid w:val="121D1370"/>
    <w:rsid w:val="121F1278"/>
    <w:rsid w:val="12274031"/>
    <w:rsid w:val="122C1CE7"/>
    <w:rsid w:val="12534728"/>
    <w:rsid w:val="129C0A39"/>
    <w:rsid w:val="12A71217"/>
    <w:rsid w:val="12BF1A8E"/>
    <w:rsid w:val="12D24EE6"/>
    <w:rsid w:val="12DD2689"/>
    <w:rsid w:val="12E4433A"/>
    <w:rsid w:val="12F17A2C"/>
    <w:rsid w:val="12F27AC8"/>
    <w:rsid w:val="12F54123"/>
    <w:rsid w:val="1349056A"/>
    <w:rsid w:val="135D4892"/>
    <w:rsid w:val="135D76F0"/>
    <w:rsid w:val="136C40D7"/>
    <w:rsid w:val="13727983"/>
    <w:rsid w:val="13761E8D"/>
    <w:rsid w:val="138F5748"/>
    <w:rsid w:val="1397675A"/>
    <w:rsid w:val="13A001EB"/>
    <w:rsid w:val="13A300BB"/>
    <w:rsid w:val="13AB7B34"/>
    <w:rsid w:val="13E774FE"/>
    <w:rsid w:val="13EA554D"/>
    <w:rsid w:val="13F729C7"/>
    <w:rsid w:val="14376471"/>
    <w:rsid w:val="144D28CD"/>
    <w:rsid w:val="14A73A18"/>
    <w:rsid w:val="14B80A84"/>
    <w:rsid w:val="14BD1A5D"/>
    <w:rsid w:val="14CD1BF1"/>
    <w:rsid w:val="14DA0F62"/>
    <w:rsid w:val="14F20306"/>
    <w:rsid w:val="14F7683E"/>
    <w:rsid w:val="15125A69"/>
    <w:rsid w:val="153F5D22"/>
    <w:rsid w:val="154874EF"/>
    <w:rsid w:val="155350F8"/>
    <w:rsid w:val="155F6F7B"/>
    <w:rsid w:val="15647C11"/>
    <w:rsid w:val="15703847"/>
    <w:rsid w:val="15A002F1"/>
    <w:rsid w:val="15B911C0"/>
    <w:rsid w:val="15BA515B"/>
    <w:rsid w:val="15D01C2C"/>
    <w:rsid w:val="15F64BF3"/>
    <w:rsid w:val="15F748F2"/>
    <w:rsid w:val="16144B09"/>
    <w:rsid w:val="161C1C26"/>
    <w:rsid w:val="161C67F6"/>
    <w:rsid w:val="1636457A"/>
    <w:rsid w:val="164A3A54"/>
    <w:rsid w:val="165A7E0A"/>
    <w:rsid w:val="165E4B63"/>
    <w:rsid w:val="166552F1"/>
    <w:rsid w:val="1667460B"/>
    <w:rsid w:val="167C3A23"/>
    <w:rsid w:val="167E2C9C"/>
    <w:rsid w:val="168A1062"/>
    <w:rsid w:val="16944DCE"/>
    <w:rsid w:val="16A94C57"/>
    <w:rsid w:val="16AC015D"/>
    <w:rsid w:val="16BF7910"/>
    <w:rsid w:val="16E4421E"/>
    <w:rsid w:val="170D5851"/>
    <w:rsid w:val="17226E7F"/>
    <w:rsid w:val="17285AFB"/>
    <w:rsid w:val="17381C6F"/>
    <w:rsid w:val="173A6F28"/>
    <w:rsid w:val="178B41BF"/>
    <w:rsid w:val="179747ED"/>
    <w:rsid w:val="179B5682"/>
    <w:rsid w:val="17E14E62"/>
    <w:rsid w:val="17E74FF4"/>
    <w:rsid w:val="17FD5E14"/>
    <w:rsid w:val="18005213"/>
    <w:rsid w:val="180C4E5E"/>
    <w:rsid w:val="18181EDD"/>
    <w:rsid w:val="18197BC1"/>
    <w:rsid w:val="184108C3"/>
    <w:rsid w:val="18535D05"/>
    <w:rsid w:val="18985877"/>
    <w:rsid w:val="18C932DC"/>
    <w:rsid w:val="18E22A8B"/>
    <w:rsid w:val="18E56EAE"/>
    <w:rsid w:val="190F2BF1"/>
    <w:rsid w:val="19136B77"/>
    <w:rsid w:val="191E7005"/>
    <w:rsid w:val="199539A6"/>
    <w:rsid w:val="19BC3185"/>
    <w:rsid w:val="19DC506B"/>
    <w:rsid w:val="19ED086E"/>
    <w:rsid w:val="19EE2C55"/>
    <w:rsid w:val="1A0F1C21"/>
    <w:rsid w:val="1A18138C"/>
    <w:rsid w:val="1A4A2267"/>
    <w:rsid w:val="1A512FD8"/>
    <w:rsid w:val="1A573AB0"/>
    <w:rsid w:val="1A62786A"/>
    <w:rsid w:val="1AB16218"/>
    <w:rsid w:val="1B2D2C6E"/>
    <w:rsid w:val="1B495F64"/>
    <w:rsid w:val="1B4F2B0B"/>
    <w:rsid w:val="1B561A0C"/>
    <w:rsid w:val="1B642F94"/>
    <w:rsid w:val="1B685761"/>
    <w:rsid w:val="1B767F68"/>
    <w:rsid w:val="1B793B35"/>
    <w:rsid w:val="1B7E62BE"/>
    <w:rsid w:val="1B88369E"/>
    <w:rsid w:val="1B8C11D2"/>
    <w:rsid w:val="1BDB3610"/>
    <w:rsid w:val="1C024E7E"/>
    <w:rsid w:val="1C0F5940"/>
    <w:rsid w:val="1C106F92"/>
    <w:rsid w:val="1C234D82"/>
    <w:rsid w:val="1C415D4E"/>
    <w:rsid w:val="1C42241F"/>
    <w:rsid w:val="1C5C4BB7"/>
    <w:rsid w:val="1C650BCC"/>
    <w:rsid w:val="1C70441D"/>
    <w:rsid w:val="1C7858ED"/>
    <w:rsid w:val="1CCF38C8"/>
    <w:rsid w:val="1CE16B2E"/>
    <w:rsid w:val="1CE27C2F"/>
    <w:rsid w:val="1CEF0897"/>
    <w:rsid w:val="1D252AFB"/>
    <w:rsid w:val="1D403931"/>
    <w:rsid w:val="1D972C77"/>
    <w:rsid w:val="1DA7152F"/>
    <w:rsid w:val="1DA73837"/>
    <w:rsid w:val="1DBD2613"/>
    <w:rsid w:val="1DE23717"/>
    <w:rsid w:val="1DE86FF2"/>
    <w:rsid w:val="1DF73C71"/>
    <w:rsid w:val="1E0E2580"/>
    <w:rsid w:val="1E0E536E"/>
    <w:rsid w:val="1E600CB7"/>
    <w:rsid w:val="1E674FD2"/>
    <w:rsid w:val="1E9642B5"/>
    <w:rsid w:val="1E9E09F8"/>
    <w:rsid w:val="1EB22C52"/>
    <w:rsid w:val="1ECA0481"/>
    <w:rsid w:val="1EE50C14"/>
    <w:rsid w:val="1EFE6330"/>
    <w:rsid w:val="1F097C8C"/>
    <w:rsid w:val="1F4A29D2"/>
    <w:rsid w:val="1F8729A9"/>
    <w:rsid w:val="1F8975DA"/>
    <w:rsid w:val="1FB37A93"/>
    <w:rsid w:val="1FC607DF"/>
    <w:rsid w:val="1FCC265A"/>
    <w:rsid w:val="1FD73DEE"/>
    <w:rsid w:val="1FD8298B"/>
    <w:rsid w:val="1FE51F3E"/>
    <w:rsid w:val="20097C96"/>
    <w:rsid w:val="2040018B"/>
    <w:rsid w:val="205444D1"/>
    <w:rsid w:val="20AD3881"/>
    <w:rsid w:val="20CE04D0"/>
    <w:rsid w:val="20D441DB"/>
    <w:rsid w:val="20D76AC4"/>
    <w:rsid w:val="20E8531A"/>
    <w:rsid w:val="215158E5"/>
    <w:rsid w:val="2153129A"/>
    <w:rsid w:val="215D0451"/>
    <w:rsid w:val="2174592D"/>
    <w:rsid w:val="21753893"/>
    <w:rsid w:val="217F5019"/>
    <w:rsid w:val="2197365D"/>
    <w:rsid w:val="21CA48B8"/>
    <w:rsid w:val="22037769"/>
    <w:rsid w:val="2224710A"/>
    <w:rsid w:val="22337A75"/>
    <w:rsid w:val="226973BB"/>
    <w:rsid w:val="227E3B2E"/>
    <w:rsid w:val="22A42209"/>
    <w:rsid w:val="22D35ED7"/>
    <w:rsid w:val="22F3587C"/>
    <w:rsid w:val="230B6A50"/>
    <w:rsid w:val="230F5DF2"/>
    <w:rsid w:val="233D70EA"/>
    <w:rsid w:val="23440DCC"/>
    <w:rsid w:val="23491696"/>
    <w:rsid w:val="234A17FD"/>
    <w:rsid w:val="23937D86"/>
    <w:rsid w:val="23A56EB4"/>
    <w:rsid w:val="23B71FA5"/>
    <w:rsid w:val="23C6442C"/>
    <w:rsid w:val="23C90CA3"/>
    <w:rsid w:val="23CA2AE9"/>
    <w:rsid w:val="23CA6F9E"/>
    <w:rsid w:val="23F60071"/>
    <w:rsid w:val="23FF4C3E"/>
    <w:rsid w:val="240C1855"/>
    <w:rsid w:val="24382EF9"/>
    <w:rsid w:val="245653BE"/>
    <w:rsid w:val="247E4A04"/>
    <w:rsid w:val="24876767"/>
    <w:rsid w:val="248D467E"/>
    <w:rsid w:val="248E4D55"/>
    <w:rsid w:val="248F354E"/>
    <w:rsid w:val="249A000B"/>
    <w:rsid w:val="24A31A52"/>
    <w:rsid w:val="25077E0D"/>
    <w:rsid w:val="2512338F"/>
    <w:rsid w:val="251D2E31"/>
    <w:rsid w:val="255E46C3"/>
    <w:rsid w:val="25856CBC"/>
    <w:rsid w:val="259111B1"/>
    <w:rsid w:val="25DF6566"/>
    <w:rsid w:val="25F93E1E"/>
    <w:rsid w:val="25FD7ABF"/>
    <w:rsid w:val="2607408F"/>
    <w:rsid w:val="261401B5"/>
    <w:rsid w:val="2616603D"/>
    <w:rsid w:val="26170BFC"/>
    <w:rsid w:val="2617488A"/>
    <w:rsid w:val="261E1CE3"/>
    <w:rsid w:val="26644D28"/>
    <w:rsid w:val="266B035D"/>
    <w:rsid w:val="26770E38"/>
    <w:rsid w:val="26BA2AAA"/>
    <w:rsid w:val="26BB1035"/>
    <w:rsid w:val="26D453DA"/>
    <w:rsid w:val="26F27182"/>
    <w:rsid w:val="27207EF1"/>
    <w:rsid w:val="272F30ED"/>
    <w:rsid w:val="276912D9"/>
    <w:rsid w:val="27824F9D"/>
    <w:rsid w:val="278D7DA2"/>
    <w:rsid w:val="27994D16"/>
    <w:rsid w:val="27C11011"/>
    <w:rsid w:val="27C716E1"/>
    <w:rsid w:val="27D8689C"/>
    <w:rsid w:val="27EC2D97"/>
    <w:rsid w:val="27EC6305"/>
    <w:rsid w:val="27F62D43"/>
    <w:rsid w:val="2803437A"/>
    <w:rsid w:val="280D1A88"/>
    <w:rsid w:val="280D29A6"/>
    <w:rsid w:val="2813242E"/>
    <w:rsid w:val="282A6BD7"/>
    <w:rsid w:val="283454D1"/>
    <w:rsid w:val="286E5C96"/>
    <w:rsid w:val="28C30353"/>
    <w:rsid w:val="28D104C6"/>
    <w:rsid w:val="28D47DC6"/>
    <w:rsid w:val="28FD0FC8"/>
    <w:rsid w:val="29006F46"/>
    <w:rsid w:val="29173FAD"/>
    <w:rsid w:val="29635148"/>
    <w:rsid w:val="297D3269"/>
    <w:rsid w:val="29B40A4A"/>
    <w:rsid w:val="2A2E7F58"/>
    <w:rsid w:val="2A303A20"/>
    <w:rsid w:val="2A363320"/>
    <w:rsid w:val="2A406EE6"/>
    <w:rsid w:val="2A8623B6"/>
    <w:rsid w:val="2A8A001F"/>
    <w:rsid w:val="2AA0187A"/>
    <w:rsid w:val="2AA42486"/>
    <w:rsid w:val="2AC97652"/>
    <w:rsid w:val="2AEA1FC2"/>
    <w:rsid w:val="2AF4789C"/>
    <w:rsid w:val="2B1E03BA"/>
    <w:rsid w:val="2B5466CE"/>
    <w:rsid w:val="2B870FBA"/>
    <w:rsid w:val="2BAF21A3"/>
    <w:rsid w:val="2BB77E97"/>
    <w:rsid w:val="2BC42F78"/>
    <w:rsid w:val="2BEB1B9A"/>
    <w:rsid w:val="2BEC3F9C"/>
    <w:rsid w:val="2BF436FF"/>
    <w:rsid w:val="2BF85EC9"/>
    <w:rsid w:val="2C156054"/>
    <w:rsid w:val="2C156DB9"/>
    <w:rsid w:val="2C18475B"/>
    <w:rsid w:val="2C690C68"/>
    <w:rsid w:val="2C714C77"/>
    <w:rsid w:val="2C9E0E5F"/>
    <w:rsid w:val="2C9F2F63"/>
    <w:rsid w:val="2CBA4DAA"/>
    <w:rsid w:val="2CBB423A"/>
    <w:rsid w:val="2CC24006"/>
    <w:rsid w:val="2CC93529"/>
    <w:rsid w:val="2CD96EC9"/>
    <w:rsid w:val="2CDB627C"/>
    <w:rsid w:val="2D354D73"/>
    <w:rsid w:val="2D461FDD"/>
    <w:rsid w:val="2D4622A0"/>
    <w:rsid w:val="2D694B6F"/>
    <w:rsid w:val="2D7E03AF"/>
    <w:rsid w:val="2D80581A"/>
    <w:rsid w:val="2DAC38C1"/>
    <w:rsid w:val="2DD6511F"/>
    <w:rsid w:val="2DDA1876"/>
    <w:rsid w:val="2DDB6A3C"/>
    <w:rsid w:val="2DE04D3A"/>
    <w:rsid w:val="2DF74D8C"/>
    <w:rsid w:val="2E0B1077"/>
    <w:rsid w:val="2E1006D3"/>
    <w:rsid w:val="2E125EBF"/>
    <w:rsid w:val="2E3C1219"/>
    <w:rsid w:val="2E5045BD"/>
    <w:rsid w:val="2E561BA1"/>
    <w:rsid w:val="2E6C150B"/>
    <w:rsid w:val="2E9509A4"/>
    <w:rsid w:val="2EAD3A08"/>
    <w:rsid w:val="2EB8738D"/>
    <w:rsid w:val="2ED21902"/>
    <w:rsid w:val="2EDA7473"/>
    <w:rsid w:val="2EE720A1"/>
    <w:rsid w:val="2EEB3698"/>
    <w:rsid w:val="2EF202A5"/>
    <w:rsid w:val="2EF67E43"/>
    <w:rsid w:val="2F107E50"/>
    <w:rsid w:val="2F1409B8"/>
    <w:rsid w:val="2F294B3C"/>
    <w:rsid w:val="2F342EAA"/>
    <w:rsid w:val="2F3F0464"/>
    <w:rsid w:val="2F516D7E"/>
    <w:rsid w:val="2F715904"/>
    <w:rsid w:val="2F735000"/>
    <w:rsid w:val="2F9B7A1B"/>
    <w:rsid w:val="2FA33899"/>
    <w:rsid w:val="2FCC20B3"/>
    <w:rsid w:val="2FD223A8"/>
    <w:rsid w:val="2FF5625D"/>
    <w:rsid w:val="2FF81BE3"/>
    <w:rsid w:val="30067075"/>
    <w:rsid w:val="300E5EAF"/>
    <w:rsid w:val="301B1616"/>
    <w:rsid w:val="304C6C11"/>
    <w:rsid w:val="3098027A"/>
    <w:rsid w:val="309D72CA"/>
    <w:rsid w:val="30D36322"/>
    <w:rsid w:val="31037BFB"/>
    <w:rsid w:val="31213ACD"/>
    <w:rsid w:val="315E4158"/>
    <w:rsid w:val="318C094E"/>
    <w:rsid w:val="31C31528"/>
    <w:rsid w:val="31F65D52"/>
    <w:rsid w:val="320618F4"/>
    <w:rsid w:val="32266812"/>
    <w:rsid w:val="328235F4"/>
    <w:rsid w:val="328A28AD"/>
    <w:rsid w:val="32904577"/>
    <w:rsid w:val="329859F2"/>
    <w:rsid w:val="329A2F52"/>
    <w:rsid w:val="32A347B6"/>
    <w:rsid w:val="32A82DFD"/>
    <w:rsid w:val="32D63EA2"/>
    <w:rsid w:val="32E81219"/>
    <w:rsid w:val="32EA40CC"/>
    <w:rsid w:val="32EB7E09"/>
    <w:rsid w:val="333D7E14"/>
    <w:rsid w:val="33514A9B"/>
    <w:rsid w:val="336C7E9D"/>
    <w:rsid w:val="33773000"/>
    <w:rsid w:val="33853C0A"/>
    <w:rsid w:val="338800BD"/>
    <w:rsid w:val="33975D99"/>
    <w:rsid w:val="33BE6573"/>
    <w:rsid w:val="33DA1F8D"/>
    <w:rsid w:val="33E45E91"/>
    <w:rsid w:val="33F946F5"/>
    <w:rsid w:val="340613C0"/>
    <w:rsid w:val="340D18EA"/>
    <w:rsid w:val="34121CE4"/>
    <w:rsid w:val="3417729E"/>
    <w:rsid w:val="341E06EC"/>
    <w:rsid w:val="3421776A"/>
    <w:rsid w:val="342A2A82"/>
    <w:rsid w:val="343A0020"/>
    <w:rsid w:val="344451C4"/>
    <w:rsid w:val="34B3340B"/>
    <w:rsid w:val="34B5153C"/>
    <w:rsid w:val="34C62A9E"/>
    <w:rsid w:val="34CB62B0"/>
    <w:rsid w:val="34D24184"/>
    <w:rsid w:val="34E70F21"/>
    <w:rsid w:val="34EB4D33"/>
    <w:rsid w:val="34FB266B"/>
    <w:rsid w:val="35035B4C"/>
    <w:rsid w:val="350E2BBF"/>
    <w:rsid w:val="35170015"/>
    <w:rsid w:val="351E7842"/>
    <w:rsid w:val="35332079"/>
    <w:rsid w:val="353B1216"/>
    <w:rsid w:val="35531EB2"/>
    <w:rsid w:val="355871C0"/>
    <w:rsid w:val="35673D00"/>
    <w:rsid w:val="356D055F"/>
    <w:rsid w:val="3573194E"/>
    <w:rsid w:val="35B91C79"/>
    <w:rsid w:val="35CF6628"/>
    <w:rsid w:val="35D12632"/>
    <w:rsid w:val="35FE1590"/>
    <w:rsid w:val="36535100"/>
    <w:rsid w:val="36643E07"/>
    <w:rsid w:val="367E4496"/>
    <w:rsid w:val="36826251"/>
    <w:rsid w:val="36835834"/>
    <w:rsid w:val="368B785A"/>
    <w:rsid w:val="368B7A32"/>
    <w:rsid w:val="36AE06C1"/>
    <w:rsid w:val="36B17A79"/>
    <w:rsid w:val="36B546D4"/>
    <w:rsid w:val="36E652C4"/>
    <w:rsid w:val="36FC24CF"/>
    <w:rsid w:val="37001E93"/>
    <w:rsid w:val="37256ED4"/>
    <w:rsid w:val="372D0739"/>
    <w:rsid w:val="373055DD"/>
    <w:rsid w:val="376E371B"/>
    <w:rsid w:val="379E7F68"/>
    <w:rsid w:val="37BB0419"/>
    <w:rsid w:val="37ED156D"/>
    <w:rsid w:val="3813617A"/>
    <w:rsid w:val="386062DD"/>
    <w:rsid w:val="38743DB4"/>
    <w:rsid w:val="38936468"/>
    <w:rsid w:val="38964D4A"/>
    <w:rsid w:val="38B3722B"/>
    <w:rsid w:val="38B83A94"/>
    <w:rsid w:val="38C46883"/>
    <w:rsid w:val="38D061B3"/>
    <w:rsid w:val="38FE0701"/>
    <w:rsid w:val="39003E1C"/>
    <w:rsid w:val="391426C5"/>
    <w:rsid w:val="39152235"/>
    <w:rsid w:val="395F3AE3"/>
    <w:rsid w:val="3961540F"/>
    <w:rsid w:val="398660A9"/>
    <w:rsid w:val="399C05F8"/>
    <w:rsid w:val="39AE469A"/>
    <w:rsid w:val="39BB4178"/>
    <w:rsid w:val="39C63780"/>
    <w:rsid w:val="39E43874"/>
    <w:rsid w:val="39E674F4"/>
    <w:rsid w:val="3A326250"/>
    <w:rsid w:val="3A42559E"/>
    <w:rsid w:val="3A520B03"/>
    <w:rsid w:val="3A874BD0"/>
    <w:rsid w:val="3A9C087D"/>
    <w:rsid w:val="3AAB724A"/>
    <w:rsid w:val="3AAE71AC"/>
    <w:rsid w:val="3AD01247"/>
    <w:rsid w:val="3AF3432D"/>
    <w:rsid w:val="3B131362"/>
    <w:rsid w:val="3B76627D"/>
    <w:rsid w:val="3B7C67CF"/>
    <w:rsid w:val="3B8A4A60"/>
    <w:rsid w:val="3B9B2670"/>
    <w:rsid w:val="3BFF777B"/>
    <w:rsid w:val="3C0C2BCE"/>
    <w:rsid w:val="3C1712AB"/>
    <w:rsid w:val="3C1F7BDF"/>
    <w:rsid w:val="3C290B63"/>
    <w:rsid w:val="3C3E2D1D"/>
    <w:rsid w:val="3C4832FE"/>
    <w:rsid w:val="3C4867F7"/>
    <w:rsid w:val="3C5A14F4"/>
    <w:rsid w:val="3C5D3174"/>
    <w:rsid w:val="3C807925"/>
    <w:rsid w:val="3C81305B"/>
    <w:rsid w:val="3C8403F0"/>
    <w:rsid w:val="3C851A32"/>
    <w:rsid w:val="3C8B1428"/>
    <w:rsid w:val="3CBA2CA3"/>
    <w:rsid w:val="3CD474AD"/>
    <w:rsid w:val="3CF261AC"/>
    <w:rsid w:val="3CF84379"/>
    <w:rsid w:val="3CFA7B28"/>
    <w:rsid w:val="3CFE322A"/>
    <w:rsid w:val="3D072572"/>
    <w:rsid w:val="3D307DF5"/>
    <w:rsid w:val="3D407924"/>
    <w:rsid w:val="3D410DB5"/>
    <w:rsid w:val="3D444EAE"/>
    <w:rsid w:val="3D4457C4"/>
    <w:rsid w:val="3D4637C9"/>
    <w:rsid w:val="3D4A5C01"/>
    <w:rsid w:val="3D522261"/>
    <w:rsid w:val="3D742ABE"/>
    <w:rsid w:val="3DA15AC7"/>
    <w:rsid w:val="3DB62A7C"/>
    <w:rsid w:val="3DCA5A24"/>
    <w:rsid w:val="3DD861AE"/>
    <w:rsid w:val="3DDA7544"/>
    <w:rsid w:val="3DEE5E79"/>
    <w:rsid w:val="3E055810"/>
    <w:rsid w:val="3E413C78"/>
    <w:rsid w:val="3E7D767D"/>
    <w:rsid w:val="3E8C2BDC"/>
    <w:rsid w:val="3E9F5FC6"/>
    <w:rsid w:val="3EDC14A3"/>
    <w:rsid w:val="3F335963"/>
    <w:rsid w:val="3F3D3D62"/>
    <w:rsid w:val="3F55479E"/>
    <w:rsid w:val="3F5A120D"/>
    <w:rsid w:val="3F647F02"/>
    <w:rsid w:val="3F6F3A0D"/>
    <w:rsid w:val="3F7117DA"/>
    <w:rsid w:val="3F7470BB"/>
    <w:rsid w:val="3F8D30EC"/>
    <w:rsid w:val="3F93290B"/>
    <w:rsid w:val="3F975B1D"/>
    <w:rsid w:val="3FE36774"/>
    <w:rsid w:val="3FE91D30"/>
    <w:rsid w:val="3FFE3A8B"/>
    <w:rsid w:val="40021F01"/>
    <w:rsid w:val="400B6F09"/>
    <w:rsid w:val="401B7126"/>
    <w:rsid w:val="402769A0"/>
    <w:rsid w:val="403F2956"/>
    <w:rsid w:val="405918D3"/>
    <w:rsid w:val="40693653"/>
    <w:rsid w:val="40A80148"/>
    <w:rsid w:val="40B54C5C"/>
    <w:rsid w:val="40BD5177"/>
    <w:rsid w:val="40D81B2A"/>
    <w:rsid w:val="411C44A5"/>
    <w:rsid w:val="41224FBA"/>
    <w:rsid w:val="412B686E"/>
    <w:rsid w:val="4137601D"/>
    <w:rsid w:val="413F05B1"/>
    <w:rsid w:val="415364CC"/>
    <w:rsid w:val="41536E37"/>
    <w:rsid w:val="415C2A6E"/>
    <w:rsid w:val="415D2F83"/>
    <w:rsid w:val="423441B6"/>
    <w:rsid w:val="424F3DCD"/>
    <w:rsid w:val="425812CF"/>
    <w:rsid w:val="42604F45"/>
    <w:rsid w:val="426B1FBE"/>
    <w:rsid w:val="42950C31"/>
    <w:rsid w:val="42B92D35"/>
    <w:rsid w:val="42B94F1C"/>
    <w:rsid w:val="42BE1C6A"/>
    <w:rsid w:val="42C62A78"/>
    <w:rsid w:val="42C64B28"/>
    <w:rsid w:val="42E5377B"/>
    <w:rsid w:val="43046782"/>
    <w:rsid w:val="43071CC2"/>
    <w:rsid w:val="43235E0B"/>
    <w:rsid w:val="432452AA"/>
    <w:rsid w:val="43302BA0"/>
    <w:rsid w:val="4344141B"/>
    <w:rsid w:val="43460CB9"/>
    <w:rsid w:val="43682C44"/>
    <w:rsid w:val="43767BEA"/>
    <w:rsid w:val="43816860"/>
    <w:rsid w:val="439C6218"/>
    <w:rsid w:val="44131D77"/>
    <w:rsid w:val="44167229"/>
    <w:rsid w:val="441E187D"/>
    <w:rsid w:val="443856A1"/>
    <w:rsid w:val="4445272A"/>
    <w:rsid w:val="4456672D"/>
    <w:rsid w:val="44A81A60"/>
    <w:rsid w:val="44BD565C"/>
    <w:rsid w:val="44CE3D1A"/>
    <w:rsid w:val="44D57F42"/>
    <w:rsid w:val="44FF23E4"/>
    <w:rsid w:val="453403ED"/>
    <w:rsid w:val="453B473D"/>
    <w:rsid w:val="45654C15"/>
    <w:rsid w:val="4567792B"/>
    <w:rsid w:val="4571002F"/>
    <w:rsid w:val="457140F7"/>
    <w:rsid w:val="4575203F"/>
    <w:rsid w:val="45802443"/>
    <w:rsid w:val="45951560"/>
    <w:rsid w:val="459B19A5"/>
    <w:rsid w:val="45AE3109"/>
    <w:rsid w:val="45C84AA4"/>
    <w:rsid w:val="45D2153A"/>
    <w:rsid w:val="46092E46"/>
    <w:rsid w:val="461878B9"/>
    <w:rsid w:val="461A2A84"/>
    <w:rsid w:val="46314F48"/>
    <w:rsid w:val="464774D1"/>
    <w:rsid w:val="46587979"/>
    <w:rsid w:val="468263E2"/>
    <w:rsid w:val="46843A25"/>
    <w:rsid w:val="469B4661"/>
    <w:rsid w:val="469D7D6C"/>
    <w:rsid w:val="46BF5C15"/>
    <w:rsid w:val="46C913DB"/>
    <w:rsid w:val="46CA2D04"/>
    <w:rsid w:val="46D26C3C"/>
    <w:rsid w:val="46E05A14"/>
    <w:rsid w:val="4714527B"/>
    <w:rsid w:val="472D3A08"/>
    <w:rsid w:val="4731707D"/>
    <w:rsid w:val="4739136D"/>
    <w:rsid w:val="473D10F5"/>
    <w:rsid w:val="47560C32"/>
    <w:rsid w:val="478108D1"/>
    <w:rsid w:val="47847E0D"/>
    <w:rsid w:val="479B799D"/>
    <w:rsid w:val="479D32EE"/>
    <w:rsid w:val="47B46596"/>
    <w:rsid w:val="47E54138"/>
    <w:rsid w:val="47E75C9C"/>
    <w:rsid w:val="47EE6A72"/>
    <w:rsid w:val="48340CD1"/>
    <w:rsid w:val="48394A28"/>
    <w:rsid w:val="48413386"/>
    <w:rsid w:val="487E10E3"/>
    <w:rsid w:val="48B763A3"/>
    <w:rsid w:val="48CA3006"/>
    <w:rsid w:val="48F22839"/>
    <w:rsid w:val="48F35622"/>
    <w:rsid w:val="490239E5"/>
    <w:rsid w:val="491B6CCE"/>
    <w:rsid w:val="492560B2"/>
    <w:rsid w:val="495723BA"/>
    <w:rsid w:val="4962680B"/>
    <w:rsid w:val="49882A69"/>
    <w:rsid w:val="499A3878"/>
    <w:rsid w:val="49C10628"/>
    <w:rsid w:val="49C10761"/>
    <w:rsid w:val="49D3695B"/>
    <w:rsid w:val="49E453B2"/>
    <w:rsid w:val="49F36E2D"/>
    <w:rsid w:val="4A0A587A"/>
    <w:rsid w:val="4A4E46D4"/>
    <w:rsid w:val="4A611E43"/>
    <w:rsid w:val="4A6D77D8"/>
    <w:rsid w:val="4A977CF1"/>
    <w:rsid w:val="4AA36FF6"/>
    <w:rsid w:val="4AC922D2"/>
    <w:rsid w:val="4AD51C03"/>
    <w:rsid w:val="4AEA7110"/>
    <w:rsid w:val="4B000188"/>
    <w:rsid w:val="4B2C4FBE"/>
    <w:rsid w:val="4B59396C"/>
    <w:rsid w:val="4B6A0939"/>
    <w:rsid w:val="4B794362"/>
    <w:rsid w:val="4B835CE0"/>
    <w:rsid w:val="4B8A3473"/>
    <w:rsid w:val="4B954AA5"/>
    <w:rsid w:val="4B9C545A"/>
    <w:rsid w:val="4BA462BB"/>
    <w:rsid w:val="4BAB03E8"/>
    <w:rsid w:val="4BB20ADC"/>
    <w:rsid w:val="4C0F610C"/>
    <w:rsid w:val="4C332A87"/>
    <w:rsid w:val="4C642BAA"/>
    <w:rsid w:val="4C7968D9"/>
    <w:rsid w:val="4CA00E2D"/>
    <w:rsid w:val="4CB62562"/>
    <w:rsid w:val="4CB9285E"/>
    <w:rsid w:val="4CD84991"/>
    <w:rsid w:val="4D055CEC"/>
    <w:rsid w:val="4D06622F"/>
    <w:rsid w:val="4DA54D18"/>
    <w:rsid w:val="4DA62B4B"/>
    <w:rsid w:val="4DC45722"/>
    <w:rsid w:val="4DE75DBD"/>
    <w:rsid w:val="4DFB472B"/>
    <w:rsid w:val="4E015202"/>
    <w:rsid w:val="4E0C380A"/>
    <w:rsid w:val="4E7666A1"/>
    <w:rsid w:val="4E770EED"/>
    <w:rsid w:val="4E88569F"/>
    <w:rsid w:val="4E967A2D"/>
    <w:rsid w:val="4EB171C0"/>
    <w:rsid w:val="4ECF18DC"/>
    <w:rsid w:val="4ED91869"/>
    <w:rsid w:val="4EDC5559"/>
    <w:rsid w:val="4EF553A1"/>
    <w:rsid w:val="4F0B21DB"/>
    <w:rsid w:val="4F1E7FE0"/>
    <w:rsid w:val="4F1F3DAB"/>
    <w:rsid w:val="4F382E9A"/>
    <w:rsid w:val="4F4F43AF"/>
    <w:rsid w:val="4F715158"/>
    <w:rsid w:val="4F8B6141"/>
    <w:rsid w:val="4F9210D6"/>
    <w:rsid w:val="4F9C6C01"/>
    <w:rsid w:val="4FAF39D7"/>
    <w:rsid w:val="4FCB3950"/>
    <w:rsid w:val="5000520B"/>
    <w:rsid w:val="50225D97"/>
    <w:rsid w:val="50263F40"/>
    <w:rsid w:val="50416D43"/>
    <w:rsid w:val="504F63AB"/>
    <w:rsid w:val="50550967"/>
    <w:rsid w:val="507063DA"/>
    <w:rsid w:val="5076171B"/>
    <w:rsid w:val="50AF4444"/>
    <w:rsid w:val="50B9745C"/>
    <w:rsid w:val="50BE13F3"/>
    <w:rsid w:val="50FD132C"/>
    <w:rsid w:val="5117400E"/>
    <w:rsid w:val="51383213"/>
    <w:rsid w:val="514244DE"/>
    <w:rsid w:val="51674389"/>
    <w:rsid w:val="516B23B3"/>
    <w:rsid w:val="518A60F8"/>
    <w:rsid w:val="518C5ACC"/>
    <w:rsid w:val="51A12F85"/>
    <w:rsid w:val="51DD1B3D"/>
    <w:rsid w:val="51FB53A1"/>
    <w:rsid w:val="522408EC"/>
    <w:rsid w:val="523348F3"/>
    <w:rsid w:val="523A18CE"/>
    <w:rsid w:val="524050CA"/>
    <w:rsid w:val="524B365F"/>
    <w:rsid w:val="525120B4"/>
    <w:rsid w:val="525277E9"/>
    <w:rsid w:val="52820789"/>
    <w:rsid w:val="52826E60"/>
    <w:rsid w:val="52A31CE3"/>
    <w:rsid w:val="52C55AB3"/>
    <w:rsid w:val="52CF74BC"/>
    <w:rsid w:val="52E77567"/>
    <w:rsid w:val="52F5271A"/>
    <w:rsid w:val="531A2A2D"/>
    <w:rsid w:val="53221EAF"/>
    <w:rsid w:val="53237263"/>
    <w:rsid w:val="532C734F"/>
    <w:rsid w:val="533B5045"/>
    <w:rsid w:val="5344239B"/>
    <w:rsid w:val="53596B44"/>
    <w:rsid w:val="535D7BBD"/>
    <w:rsid w:val="538E73C9"/>
    <w:rsid w:val="5391538B"/>
    <w:rsid w:val="539871DB"/>
    <w:rsid w:val="53A048B9"/>
    <w:rsid w:val="53C2050E"/>
    <w:rsid w:val="53E84A0B"/>
    <w:rsid w:val="53EE75DF"/>
    <w:rsid w:val="540610A0"/>
    <w:rsid w:val="543764E2"/>
    <w:rsid w:val="5460412B"/>
    <w:rsid w:val="546D1CAD"/>
    <w:rsid w:val="549326B0"/>
    <w:rsid w:val="549E79E8"/>
    <w:rsid w:val="54B27211"/>
    <w:rsid w:val="54C30E75"/>
    <w:rsid w:val="54CC3379"/>
    <w:rsid w:val="55107C12"/>
    <w:rsid w:val="551B6A0B"/>
    <w:rsid w:val="5551793E"/>
    <w:rsid w:val="557535A9"/>
    <w:rsid w:val="55A011B4"/>
    <w:rsid w:val="55A64D28"/>
    <w:rsid w:val="55A76F43"/>
    <w:rsid w:val="55B6592A"/>
    <w:rsid w:val="55C240C3"/>
    <w:rsid w:val="55F00BAE"/>
    <w:rsid w:val="55F965F6"/>
    <w:rsid w:val="56090169"/>
    <w:rsid w:val="560B07CB"/>
    <w:rsid w:val="5612144B"/>
    <w:rsid w:val="562B0BCE"/>
    <w:rsid w:val="565A399E"/>
    <w:rsid w:val="566721C6"/>
    <w:rsid w:val="567548DC"/>
    <w:rsid w:val="56962AE5"/>
    <w:rsid w:val="569C2C87"/>
    <w:rsid w:val="56D23B1A"/>
    <w:rsid w:val="56DE7B9C"/>
    <w:rsid w:val="56F51DCF"/>
    <w:rsid w:val="57375987"/>
    <w:rsid w:val="573E3144"/>
    <w:rsid w:val="57495859"/>
    <w:rsid w:val="57694F4E"/>
    <w:rsid w:val="579C773A"/>
    <w:rsid w:val="579F147A"/>
    <w:rsid w:val="579F537D"/>
    <w:rsid w:val="57B02965"/>
    <w:rsid w:val="57B11349"/>
    <w:rsid w:val="57B70478"/>
    <w:rsid w:val="57BB35C5"/>
    <w:rsid w:val="580864BA"/>
    <w:rsid w:val="58124823"/>
    <w:rsid w:val="58142E81"/>
    <w:rsid w:val="5819720A"/>
    <w:rsid w:val="581B6462"/>
    <w:rsid w:val="581E2684"/>
    <w:rsid w:val="58300FDF"/>
    <w:rsid w:val="58427E24"/>
    <w:rsid w:val="585C27AC"/>
    <w:rsid w:val="589D3635"/>
    <w:rsid w:val="58A12A3A"/>
    <w:rsid w:val="58C26A20"/>
    <w:rsid w:val="58CB501A"/>
    <w:rsid w:val="58CC26D4"/>
    <w:rsid w:val="58DC7279"/>
    <w:rsid w:val="58E30CC5"/>
    <w:rsid w:val="58F63C2F"/>
    <w:rsid w:val="590D65EA"/>
    <w:rsid w:val="592A1FCC"/>
    <w:rsid w:val="593E0CA3"/>
    <w:rsid w:val="598C1EB9"/>
    <w:rsid w:val="599B58D9"/>
    <w:rsid w:val="59A47300"/>
    <w:rsid w:val="59BA4DB0"/>
    <w:rsid w:val="59EF5F28"/>
    <w:rsid w:val="59F96420"/>
    <w:rsid w:val="5A0456C9"/>
    <w:rsid w:val="5A1C3EF8"/>
    <w:rsid w:val="5A443EC5"/>
    <w:rsid w:val="5A463C3D"/>
    <w:rsid w:val="5A471AC8"/>
    <w:rsid w:val="5A4B2A62"/>
    <w:rsid w:val="5A8132C4"/>
    <w:rsid w:val="5A94591C"/>
    <w:rsid w:val="5A982FF6"/>
    <w:rsid w:val="5AAF054C"/>
    <w:rsid w:val="5AB20C0E"/>
    <w:rsid w:val="5AB86BCB"/>
    <w:rsid w:val="5AD27CAA"/>
    <w:rsid w:val="5AEA6688"/>
    <w:rsid w:val="5AF2133A"/>
    <w:rsid w:val="5B0E60A3"/>
    <w:rsid w:val="5B126EAD"/>
    <w:rsid w:val="5B23320B"/>
    <w:rsid w:val="5B366BBA"/>
    <w:rsid w:val="5B4740CE"/>
    <w:rsid w:val="5B556F49"/>
    <w:rsid w:val="5B774B6E"/>
    <w:rsid w:val="5BAC0EAF"/>
    <w:rsid w:val="5BD537CC"/>
    <w:rsid w:val="5BE169F8"/>
    <w:rsid w:val="5C2569D7"/>
    <w:rsid w:val="5C2B758B"/>
    <w:rsid w:val="5C2C7C6A"/>
    <w:rsid w:val="5C2F099F"/>
    <w:rsid w:val="5C4B7F2D"/>
    <w:rsid w:val="5C58661D"/>
    <w:rsid w:val="5C820BDE"/>
    <w:rsid w:val="5C9A6B37"/>
    <w:rsid w:val="5CA10BF6"/>
    <w:rsid w:val="5CCD36DE"/>
    <w:rsid w:val="5CDA2D2A"/>
    <w:rsid w:val="5CEA784C"/>
    <w:rsid w:val="5CF377FF"/>
    <w:rsid w:val="5D364101"/>
    <w:rsid w:val="5D40498D"/>
    <w:rsid w:val="5D5123FB"/>
    <w:rsid w:val="5D5C2F46"/>
    <w:rsid w:val="5D5D4BA1"/>
    <w:rsid w:val="5D76777D"/>
    <w:rsid w:val="5D821DEE"/>
    <w:rsid w:val="5D9F2F8F"/>
    <w:rsid w:val="5DC54C29"/>
    <w:rsid w:val="5DD30C0F"/>
    <w:rsid w:val="5E004D8F"/>
    <w:rsid w:val="5E2F7204"/>
    <w:rsid w:val="5E3F3C64"/>
    <w:rsid w:val="5E5C6E4D"/>
    <w:rsid w:val="5E6068A9"/>
    <w:rsid w:val="5E6B34AA"/>
    <w:rsid w:val="5E844887"/>
    <w:rsid w:val="5E8513B3"/>
    <w:rsid w:val="5E8B7D56"/>
    <w:rsid w:val="5E92437F"/>
    <w:rsid w:val="5E9940CC"/>
    <w:rsid w:val="5F0A7642"/>
    <w:rsid w:val="5F157CB2"/>
    <w:rsid w:val="5F225AE3"/>
    <w:rsid w:val="5F3446FE"/>
    <w:rsid w:val="5F37202F"/>
    <w:rsid w:val="5F6B47CF"/>
    <w:rsid w:val="5F727EAE"/>
    <w:rsid w:val="5F814129"/>
    <w:rsid w:val="5F9D5397"/>
    <w:rsid w:val="5FAC53B3"/>
    <w:rsid w:val="5FDB0C7C"/>
    <w:rsid w:val="5FEC1FFA"/>
    <w:rsid w:val="600F123E"/>
    <w:rsid w:val="602956CD"/>
    <w:rsid w:val="603C2F70"/>
    <w:rsid w:val="60572439"/>
    <w:rsid w:val="605C5B70"/>
    <w:rsid w:val="608F6159"/>
    <w:rsid w:val="60AE1691"/>
    <w:rsid w:val="60B8661A"/>
    <w:rsid w:val="60CD5118"/>
    <w:rsid w:val="60E606B7"/>
    <w:rsid w:val="61153814"/>
    <w:rsid w:val="61162FC9"/>
    <w:rsid w:val="61327448"/>
    <w:rsid w:val="6142321D"/>
    <w:rsid w:val="616C2A49"/>
    <w:rsid w:val="616F30D7"/>
    <w:rsid w:val="617C1708"/>
    <w:rsid w:val="617E76D6"/>
    <w:rsid w:val="61AE576E"/>
    <w:rsid w:val="61DA4C7B"/>
    <w:rsid w:val="61EA353F"/>
    <w:rsid w:val="61EA5A82"/>
    <w:rsid w:val="61F05A39"/>
    <w:rsid w:val="621511C2"/>
    <w:rsid w:val="623D1A5D"/>
    <w:rsid w:val="62411884"/>
    <w:rsid w:val="626C1129"/>
    <w:rsid w:val="627326C1"/>
    <w:rsid w:val="628B0CA3"/>
    <w:rsid w:val="62AB316E"/>
    <w:rsid w:val="62B624A0"/>
    <w:rsid w:val="62CD6387"/>
    <w:rsid w:val="62D520DF"/>
    <w:rsid w:val="62F25C33"/>
    <w:rsid w:val="63461804"/>
    <w:rsid w:val="636B6018"/>
    <w:rsid w:val="636D5AD0"/>
    <w:rsid w:val="637B1329"/>
    <w:rsid w:val="63867DB5"/>
    <w:rsid w:val="63B2483D"/>
    <w:rsid w:val="63C33080"/>
    <w:rsid w:val="63D46914"/>
    <w:rsid w:val="63DC460F"/>
    <w:rsid w:val="63F03F2F"/>
    <w:rsid w:val="63F40E5A"/>
    <w:rsid w:val="640B50A8"/>
    <w:rsid w:val="64297477"/>
    <w:rsid w:val="645268A3"/>
    <w:rsid w:val="6467001A"/>
    <w:rsid w:val="64921A1D"/>
    <w:rsid w:val="64E47486"/>
    <w:rsid w:val="65021090"/>
    <w:rsid w:val="65115DDB"/>
    <w:rsid w:val="651250AB"/>
    <w:rsid w:val="652D3F6C"/>
    <w:rsid w:val="65564143"/>
    <w:rsid w:val="655E6A60"/>
    <w:rsid w:val="65602CB2"/>
    <w:rsid w:val="6573400C"/>
    <w:rsid w:val="657729B1"/>
    <w:rsid w:val="658056A2"/>
    <w:rsid w:val="65876BD1"/>
    <w:rsid w:val="65A54256"/>
    <w:rsid w:val="65A61567"/>
    <w:rsid w:val="65AE5D4E"/>
    <w:rsid w:val="65B65184"/>
    <w:rsid w:val="65BA186D"/>
    <w:rsid w:val="65C40F49"/>
    <w:rsid w:val="65F67982"/>
    <w:rsid w:val="65F9553B"/>
    <w:rsid w:val="66091EA1"/>
    <w:rsid w:val="66356C98"/>
    <w:rsid w:val="663778DE"/>
    <w:rsid w:val="668C376A"/>
    <w:rsid w:val="669F4743"/>
    <w:rsid w:val="66BC1145"/>
    <w:rsid w:val="66D32591"/>
    <w:rsid w:val="66DE481E"/>
    <w:rsid w:val="66EB2C77"/>
    <w:rsid w:val="675B0058"/>
    <w:rsid w:val="6774113B"/>
    <w:rsid w:val="67960870"/>
    <w:rsid w:val="67975E38"/>
    <w:rsid w:val="67C053DC"/>
    <w:rsid w:val="67C82857"/>
    <w:rsid w:val="67D65BA3"/>
    <w:rsid w:val="67D960C6"/>
    <w:rsid w:val="67E07E94"/>
    <w:rsid w:val="67F77E0A"/>
    <w:rsid w:val="67FF3772"/>
    <w:rsid w:val="67FF78E0"/>
    <w:rsid w:val="680569E6"/>
    <w:rsid w:val="68284047"/>
    <w:rsid w:val="683E1152"/>
    <w:rsid w:val="68534C68"/>
    <w:rsid w:val="685A03D6"/>
    <w:rsid w:val="68710738"/>
    <w:rsid w:val="68763DCA"/>
    <w:rsid w:val="688C20C9"/>
    <w:rsid w:val="689D1628"/>
    <w:rsid w:val="68B07CCE"/>
    <w:rsid w:val="68D73C9E"/>
    <w:rsid w:val="68ED0F1C"/>
    <w:rsid w:val="68F30FDE"/>
    <w:rsid w:val="690245BC"/>
    <w:rsid w:val="693D6B6F"/>
    <w:rsid w:val="695635CF"/>
    <w:rsid w:val="696B6450"/>
    <w:rsid w:val="69813735"/>
    <w:rsid w:val="69833DCF"/>
    <w:rsid w:val="6992757B"/>
    <w:rsid w:val="69952686"/>
    <w:rsid w:val="69954686"/>
    <w:rsid w:val="699A2A5D"/>
    <w:rsid w:val="69E21062"/>
    <w:rsid w:val="6A1D64EA"/>
    <w:rsid w:val="6A296582"/>
    <w:rsid w:val="6A413352"/>
    <w:rsid w:val="6A741C05"/>
    <w:rsid w:val="6A7C48B2"/>
    <w:rsid w:val="6A8B3D68"/>
    <w:rsid w:val="6A961628"/>
    <w:rsid w:val="6A983F5F"/>
    <w:rsid w:val="6ABA26AC"/>
    <w:rsid w:val="6AD23BC5"/>
    <w:rsid w:val="6B003C5A"/>
    <w:rsid w:val="6B2157FF"/>
    <w:rsid w:val="6B3C7CB0"/>
    <w:rsid w:val="6B63091E"/>
    <w:rsid w:val="6B866910"/>
    <w:rsid w:val="6BAB0DF4"/>
    <w:rsid w:val="6BE12562"/>
    <w:rsid w:val="6BE41D00"/>
    <w:rsid w:val="6C043083"/>
    <w:rsid w:val="6C045048"/>
    <w:rsid w:val="6C196DE1"/>
    <w:rsid w:val="6C3124D8"/>
    <w:rsid w:val="6C5E049A"/>
    <w:rsid w:val="6C7C49BC"/>
    <w:rsid w:val="6C7E4E7E"/>
    <w:rsid w:val="6C815467"/>
    <w:rsid w:val="6CAC0CDC"/>
    <w:rsid w:val="6CBD6662"/>
    <w:rsid w:val="6CC410B5"/>
    <w:rsid w:val="6CD900EE"/>
    <w:rsid w:val="6CF57E29"/>
    <w:rsid w:val="6D1F4323"/>
    <w:rsid w:val="6D2C57F1"/>
    <w:rsid w:val="6D3A3CC1"/>
    <w:rsid w:val="6D570B8C"/>
    <w:rsid w:val="6D5E300E"/>
    <w:rsid w:val="6D7D184D"/>
    <w:rsid w:val="6DA52414"/>
    <w:rsid w:val="6DA53BF6"/>
    <w:rsid w:val="6DC639D4"/>
    <w:rsid w:val="6E36046F"/>
    <w:rsid w:val="6E427E1F"/>
    <w:rsid w:val="6E45171D"/>
    <w:rsid w:val="6E4D64C5"/>
    <w:rsid w:val="6E7102F9"/>
    <w:rsid w:val="6E911356"/>
    <w:rsid w:val="6E926000"/>
    <w:rsid w:val="6EAB1A6A"/>
    <w:rsid w:val="6EAB3473"/>
    <w:rsid w:val="6EDD5776"/>
    <w:rsid w:val="6EDF15DB"/>
    <w:rsid w:val="6F0D30D2"/>
    <w:rsid w:val="6F4D07EB"/>
    <w:rsid w:val="6FA518C6"/>
    <w:rsid w:val="6FA77718"/>
    <w:rsid w:val="6FDD2488"/>
    <w:rsid w:val="6FF16C11"/>
    <w:rsid w:val="700838E2"/>
    <w:rsid w:val="701F5D2A"/>
    <w:rsid w:val="70473E7E"/>
    <w:rsid w:val="70B16EF3"/>
    <w:rsid w:val="70DD2ABF"/>
    <w:rsid w:val="70F52CED"/>
    <w:rsid w:val="71361139"/>
    <w:rsid w:val="713D7B11"/>
    <w:rsid w:val="713E472B"/>
    <w:rsid w:val="714328CF"/>
    <w:rsid w:val="71436669"/>
    <w:rsid w:val="714E5594"/>
    <w:rsid w:val="71647466"/>
    <w:rsid w:val="716E2C34"/>
    <w:rsid w:val="718636AE"/>
    <w:rsid w:val="718F4E7B"/>
    <w:rsid w:val="719D0BBE"/>
    <w:rsid w:val="71D53E04"/>
    <w:rsid w:val="71F47109"/>
    <w:rsid w:val="71FA358A"/>
    <w:rsid w:val="72101994"/>
    <w:rsid w:val="72121B78"/>
    <w:rsid w:val="72270716"/>
    <w:rsid w:val="72417FD6"/>
    <w:rsid w:val="72A5291A"/>
    <w:rsid w:val="72DF1757"/>
    <w:rsid w:val="732E6268"/>
    <w:rsid w:val="73376381"/>
    <w:rsid w:val="734313AF"/>
    <w:rsid w:val="73661439"/>
    <w:rsid w:val="73D667B2"/>
    <w:rsid w:val="73DB6966"/>
    <w:rsid w:val="73DD7082"/>
    <w:rsid w:val="73EA6A84"/>
    <w:rsid w:val="74071160"/>
    <w:rsid w:val="74382152"/>
    <w:rsid w:val="743F33A0"/>
    <w:rsid w:val="744531AE"/>
    <w:rsid w:val="74635BE1"/>
    <w:rsid w:val="746E2DFC"/>
    <w:rsid w:val="748C69EF"/>
    <w:rsid w:val="74A778B5"/>
    <w:rsid w:val="74CB614A"/>
    <w:rsid w:val="74E5560D"/>
    <w:rsid w:val="74E830A4"/>
    <w:rsid w:val="74EF1F07"/>
    <w:rsid w:val="751A4FEA"/>
    <w:rsid w:val="753D55C7"/>
    <w:rsid w:val="755C2757"/>
    <w:rsid w:val="75610C07"/>
    <w:rsid w:val="756B247B"/>
    <w:rsid w:val="75700432"/>
    <w:rsid w:val="757253F0"/>
    <w:rsid w:val="759A5E47"/>
    <w:rsid w:val="7605701F"/>
    <w:rsid w:val="76067B8A"/>
    <w:rsid w:val="76075641"/>
    <w:rsid w:val="763D4494"/>
    <w:rsid w:val="764B1EF3"/>
    <w:rsid w:val="766B1263"/>
    <w:rsid w:val="769249E5"/>
    <w:rsid w:val="76965EE7"/>
    <w:rsid w:val="76997FB8"/>
    <w:rsid w:val="769D5DE5"/>
    <w:rsid w:val="76D84BE5"/>
    <w:rsid w:val="76DB542F"/>
    <w:rsid w:val="76E91B66"/>
    <w:rsid w:val="76EA42EB"/>
    <w:rsid w:val="76FA0B3B"/>
    <w:rsid w:val="77067865"/>
    <w:rsid w:val="770F45E2"/>
    <w:rsid w:val="77164638"/>
    <w:rsid w:val="77927B78"/>
    <w:rsid w:val="779801B4"/>
    <w:rsid w:val="77E309E8"/>
    <w:rsid w:val="77E62FC6"/>
    <w:rsid w:val="77FC0C2D"/>
    <w:rsid w:val="7812202F"/>
    <w:rsid w:val="78637E6F"/>
    <w:rsid w:val="787773FE"/>
    <w:rsid w:val="78821A6B"/>
    <w:rsid w:val="789A3A02"/>
    <w:rsid w:val="78AC7327"/>
    <w:rsid w:val="78C560A5"/>
    <w:rsid w:val="78CD723C"/>
    <w:rsid w:val="78EB2A72"/>
    <w:rsid w:val="79493CAF"/>
    <w:rsid w:val="79512FCD"/>
    <w:rsid w:val="79777E52"/>
    <w:rsid w:val="797A3B0F"/>
    <w:rsid w:val="799A606B"/>
    <w:rsid w:val="79A27F34"/>
    <w:rsid w:val="79B0616C"/>
    <w:rsid w:val="79B52178"/>
    <w:rsid w:val="79CB5C54"/>
    <w:rsid w:val="79FA2636"/>
    <w:rsid w:val="7A4C2D44"/>
    <w:rsid w:val="7A635727"/>
    <w:rsid w:val="7A6824F0"/>
    <w:rsid w:val="7A8E368B"/>
    <w:rsid w:val="7A9220DA"/>
    <w:rsid w:val="7A952FE1"/>
    <w:rsid w:val="7A9D3282"/>
    <w:rsid w:val="7AA635EF"/>
    <w:rsid w:val="7AB437DC"/>
    <w:rsid w:val="7ACA3FEA"/>
    <w:rsid w:val="7AF34EEE"/>
    <w:rsid w:val="7B184450"/>
    <w:rsid w:val="7B4A3DBF"/>
    <w:rsid w:val="7B4F6F5B"/>
    <w:rsid w:val="7B6174AA"/>
    <w:rsid w:val="7B6C4DEC"/>
    <w:rsid w:val="7B803A87"/>
    <w:rsid w:val="7B9257B3"/>
    <w:rsid w:val="7BAC61E1"/>
    <w:rsid w:val="7BAE7062"/>
    <w:rsid w:val="7BBF14BA"/>
    <w:rsid w:val="7BC32B83"/>
    <w:rsid w:val="7BCA77C7"/>
    <w:rsid w:val="7BD56708"/>
    <w:rsid w:val="7BDE78DB"/>
    <w:rsid w:val="7BFE5689"/>
    <w:rsid w:val="7C077524"/>
    <w:rsid w:val="7C2E575F"/>
    <w:rsid w:val="7C553DF5"/>
    <w:rsid w:val="7C5B2B22"/>
    <w:rsid w:val="7C6C2A5F"/>
    <w:rsid w:val="7C93554B"/>
    <w:rsid w:val="7CA01BC6"/>
    <w:rsid w:val="7CAA7721"/>
    <w:rsid w:val="7CB956CB"/>
    <w:rsid w:val="7CBD774D"/>
    <w:rsid w:val="7CBF7A5B"/>
    <w:rsid w:val="7CC5066E"/>
    <w:rsid w:val="7CCA3024"/>
    <w:rsid w:val="7CE86D8F"/>
    <w:rsid w:val="7CFB7EDB"/>
    <w:rsid w:val="7D0F39CD"/>
    <w:rsid w:val="7D114FAA"/>
    <w:rsid w:val="7D3231BC"/>
    <w:rsid w:val="7D457B29"/>
    <w:rsid w:val="7D5A7933"/>
    <w:rsid w:val="7D6B44F7"/>
    <w:rsid w:val="7D9B33CB"/>
    <w:rsid w:val="7DAD6A7B"/>
    <w:rsid w:val="7DAF6443"/>
    <w:rsid w:val="7DC16AAF"/>
    <w:rsid w:val="7DD1233A"/>
    <w:rsid w:val="7DD41B2F"/>
    <w:rsid w:val="7DD90DB1"/>
    <w:rsid w:val="7E0C61F3"/>
    <w:rsid w:val="7E274269"/>
    <w:rsid w:val="7E324382"/>
    <w:rsid w:val="7E3B291A"/>
    <w:rsid w:val="7E4060DC"/>
    <w:rsid w:val="7E475EF7"/>
    <w:rsid w:val="7E500B2D"/>
    <w:rsid w:val="7E507DEE"/>
    <w:rsid w:val="7E515851"/>
    <w:rsid w:val="7E616A01"/>
    <w:rsid w:val="7E7E3D78"/>
    <w:rsid w:val="7E8B55CA"/>
    <w:rsid w:val="7E8F702C"/>
    <w:rsid w:val="7E912D2D"/>
    <w:rsid w:val="7E971125"/>
    <w:rsid w:val="7EA50A49"/>
    <w:rsid w:val="7EA62303"/>
    <w:rsid w:val="7EC030A2"/>
    <w:rsid w:val="7ECA258C"/>
    <w:rsid w:val="7ECB4C46"/>
    <w:rsid w:val="7F0536F5"/>
    <w:rsid w:val="7F163147"/>
    <w:rsid w:val="7F2C265F"/>
    <w:rsid w:val="7F2D6099"/>
    <w:rsid w:val="7F5B452E"/>
    <w:rsid w:val="7F5C3180"/>
    <w:rsid w:val="7F5E0E75"/>
    <w:rsid w:val="7F606820"/>
    <w:rsid w:val="7F7734F8"/>
    <w:rsid w:val="7F790031"/>
    <w:rsid w:val="7F832261"/>
    <w:rsid w:val="7F832D85"/>
    <w:rsid w:val="7F9C1193"/>
    <w:rsid w:val="7FE95484"/>
    <w:rsid w:val="7FEA290A"/>
    <w:rsid w:val="7FF8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2472</Words>
  <Characters>14093</Characters>
  <Lines>117</Lines>
  <Paragraphs>33</Paragraphs>
  <TotalTime>13</TotalTime>
  <ScaleCrop>false</ScaleCrop>
  <LinksUpToDate>false</LinksUpToDate>
  <CharactersWithSpaces>16532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2019-01-10T08:57:00Z</dcterms:created>
  <dc:creator>张静</dc:creator>
  <cp:lastModifiedBy>Administrator</cp:lastModifiedBy>
  <cp:lastPrinted>2018-12-07T07:07:00Z</cp:lastPrinted>
  <dcterms:modified xsi:type="dcterms:W3CDTF">2021-12-17T02:11:42Z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CC13B99372064F47A2E7C4FCD4EF8AC7</vt:lpwstr>
  </property>
</Properties>
</file>