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温州市委农办（农业局）</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（一）主要职能</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1、负责全市统筹城乡发展和新农村建设工作</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（1）贯彻落实党和国家统筹城乡发展和“三农”工作的路线、方针、政策，拟订全市统筹城乡发展、建设现代新农村和推进城乡一体化战略的政策措施，提出处理农村改革和发展重大问题的建议。</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（2）承担市委、市政府有关统筹城乡发展和“三农”工作的调查研究、参谋咨询、综合协调、检查监督职责，组织、协调、推进现代新农村建设、城乡一体化等工作。</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（3）承担温州试验区改革任务。协调、指导全市统筹城乡综合改革试点和深化农村改革工作；负责指导农村经济体制改革和社会管理体制改革；“三分三改”和农村产权制度改革等具体工作。</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（4）参与指导农村基层组织、干部队伍、精神文明、民主法制和廉政文化建设；参与指导村级组织转、并、联工作；负责农村指导员工作。</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（5）负责农村扶贫开发与老区建设的综合协调工作；拟订经济欠发达地区和老区发展的扶贫开发规划、计划，经批准后组织实施。</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（6）承担市委农业和农村工作委员会的日常事务工作。</w:t>
      </w:r>
    </w:p>
    <w:p>
      <w:pPr>
        <w:pStyle w:val="5"/>
        <w:spacing w:before="0" w:beforeAutospacing="0" w:after="0" w:afterAutospacing="0" w:line="600" w:lineRule="atLeast"/>
        <w:rPr>
          <w:rFonts w:ascii="仿宋" w:hAnsi="仿宋" w:eastAsia="仿宋"/>
          <w:kern w:val="2"/>
          <w:sz w:val="32"/>
          <w:szCs w:val="32"/>
        </w:rPr>
      </w:pPr>
      <w:r>
        <w:rPr>
          <w:rFonts w:hint="eastAsia" w:ascii="仿宋" w:hAnsi="仿宋" w:eastAsia="仿宋"/>
          <w:kern w:val="2"/>
          <w:sz w:val="32"/>
          <w:szCs w:val="32"/>
        </w:rPr>
        <w:t>2、主管全市农业和农村经济发展</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（1）贯彻执行农业农村经济工作的法律、法规和方针、政策；拟订全市农业和农村经济工作的政策措施。</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2）拟订农业和农村经济发展战略、中长期发展规划和年度指导计划，经批准后组织实施；负责推进农业转型升级，引导农业产业结构的调整、农业资源的合理配置和农产品品质的改善；拟订农业开发规划并监督实施。</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3）提出深化农村经济体制改革的意见，拟订稳定和完善农村基本经营制度的有关政策；指导并实施“三分三改”工作，指导监督农村集体经济股份制改革和集体资产管理、财会、审计，推进农村土地使用权流转工作，指导农村土地承包、承包合同管理及承包纠纷仲裁工作；指导农村经济合作组织、农民专业合作社和农业行业协会发展；会同有关部门指导农产品流通体制改革；负责基层农业公共服务体系，指导农业社会化服务体系建设；监督管理减轻农民负担工作。</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4）负责都市型现代农业发展。组织实施粮食生产功能区和现代农业园区建设；负责生态循环农业、设施农业和外向型农业发展；负责农业机械化和信息化工作；负责休闲观光农业和“农家乐”工作；负责推进农业产业化经营，培育农业经营主体，指导大宗农产品市场体系建设；组织实施新一轮“菜篮子”工程，负责农副产品产、供、销的指导、协调和监督工作；组织开展农业国内外展销展示活动和农业招商引资工作，培育、保护和发展农产品品牌。</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（5）指导“美丽乡村”创建、农村公共设施建设和农村环境整治；参与中心镇改革发展和农村新社区建设。</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6）参与全市农业资源区划、区域开发计划工作；指导农业用地、宜农湿地保护、监督、管理工作，指导围垦滩涂的土壤改良和农业开发；参与小型农田基本建设、农业环保、农业基础设施建设、土地整治、中低产田改造、基本农田保护及耕地质量管理工作；负责农村可再生能源和新能源等的开发利用和管理工作。</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7）组织实施科教兴农战略。拟订农业教育、科技进步和推广体系建设的发展规划和有关政策，经批准后组织实施；负责农技推广体系建设和农业科技成果推广；负责种子种苗工程建设；负责农业生物物种资源、农业植物新品种的保护和农业转基因生物安全监督；按分工负责农业野生植物资源保护；负责农业科技项目的论证和推荐并指导实施；负责农科教协作有关工作，指导农业教育、农村劳动力素质培训、农业职业技能开发工作；会同有关部门开展农业系列专业技术人员技术职务的推荐、评审和农民技术职称的评审、管理工作。</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8）组织、指导农业行政执法、农业法制监督和法制宣传教育工作。指导农业行政执法体系和农资信用体系建设；依法开展农作物种子种苗（含食用菌菌种）、种畜禽、农药、肥料、兽药、饲料、饲料添加剂、兽医医疗器械等的监督管理；组织兽医医政、兽药药政工作；依法组织查处农业违法行为，指导、协调农业生产事故（纠纷）处理工作；负责农机安全监管。</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9）负责农产品质量安全监管。拟订农业产业生产技术规范并组织实施；负责农产品质量安全监测，依法开展农产品质量安全风险评估；会同有关部门指导农业标准化生产；指导农业检验检测体系建设；依法实施符合安全标准的农产品监督管理，划定农产品禁止生产区域。</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10）负责动植物疫病防控。会同有关部门拟订动植物防疫检疫政策并指导实施，指导动植物防疫和检疫体系建设；组织对动植物疫情疫病的监测和重大动植物疫病的防控工作；组织、监督动植物防疫检疫以及动物卫生监督执法工作。负责农业外来有害生物治理和外来物种管理工作；指导农业防灾救灾工作，组织种子、农药等救灾物资储备和调拨。</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（11）指导域外农业发展；承办农业涉外事务；组织开展农业贸易促进和国际间农业经济和技术交流与合作。</w:t>
      </w:r>
    </w:p>
    <w:p>
      <w:pPr>
        <w:autoSpaceDE w:val="0"/>
        <w:autoSpaceDN w:val="0"/>
        <w:adjustRightInd w:val="0"/>
        <w:spacing w:line="560" w:lineRule="exact"/>
        <w:rPr>
          <w:rFonts w:ascii="仿宋" w:hAnsi="仿宋" w:eastAsia="仿宋"/>
          <w:sz w:val="32"/>
          <w:szCs w:val="32"/>
        </w:rPr>
      </w:pPr>
      <w:r>
        <w:rPr>
          <w:rFonts w:hint="eastAsia" w:ascii="仿宋" w:hAnsi="仿宋" w:eastAsia="仿宋"/>
          <w:sz w:val="32"/>
          <w:szCs w:val="32"/>
        </w:rPr>
        <w:t>（二）部门决算单位构成</w:t>
      </w:r>
    </w:p>
    <w:p>
      <w:pPr>
        <w:autoSpaceDE w:val="0"/>
        <w:autoSpaceDN w:val="0"/>
        <w:adjustRightInd w:val="0"/>
        <w:spacing w:line="560" w:lineRule="exact"/>
        <w:ind w:firstLine="640" w:firstLineChars="200"/>
        <w:rPr>
          <w:rFonts w:ascii="仿宋" w:hAnsi="仿宋" w:eastAsia="仿宋"/>
          <w:sz w:val="32"/>
          <w:szCs w:val="32"/>
        </w:rPr>
      </w:pPr>
      <w:r>
        <w:rPr>
          <w:rFonts w:ascii="仿宋" w:hAnsi="仿宋" w:eastAsia="仿宋"/>
          <w:sz w:val="32"/>
          <w:szCs w:val="32"/>
        </w:rPr>
        <w:t>2017年</w:t>
      </w:r>
      <w:r>
        <w:rPr>
          <w:rFonts w:hint="eastAsia" w:ascii="仿宋" w:hAnsi="仿宋" w:eastAsia="仿宋"/>
          <w:sz w:val="32"/>
          <w:szCs w:val="32"/>
        </w:rPr>
        <w:t>度温州市委农办（温州市农业局）部门决算包括：本级决算及所属1个行政单位、10个事业单位决算，具体如下：（列表)</w:t>
      </w:r>
    </w:p>
    <w:tbl>
      <w:tblPr>
        <w:tblStyle w:val="6"/>
        <w:tblW w:w="6705" w:type="dxa"/>
        <w:jc w:val="center"/>
        <w:tblLayout w:type="autofit"/>
        <w:tblCellMar>
          <w:top w:w="0" w:type="dxa"/>
          <w:left w:w="108" w:type="dxa"/>
          <w:bottom w:w="0" w:type="dxa"/>
          <w:right w:w="108" w:type="dxa"/>
        </w:tblCellMar>
      </w:tblPr>
      <w:tblGrid>
        <w:gridCol w:w="1205"/>
        <w:gridCol w:w="5500"/>
      </w:tblGrid>
      <w:tr>
        <w:tblPrEx>
          <w:tblCellMar>
            <w:top w:w="0" w:type="dxa"/>
            <w:left w:w="108" w:type="dxa"/>
            <w:bottom w:w="0" w:type="dxa"/>
            <w:right w:w="108" w:type="dxa"/>
          </w:tblCellMar>
        </w:tblPrEx>
        <w:trPr>
          <w:trHeight w:val="510" w:hRule="atLeast"/>
          <w:jc w:val="center"/>
        </w:trPr>
        <w:tc>
          <w:tcPr>
            <w:tcW w:w="12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sz w:val="32"/>
                <w:szCs w:val="32"/>
              </w:rPr>
            </w:pPr>
            <w:r>
              <w:rPr>
                <w:rFonts w:hint="eastAsia" w:ascii="仿宋" w:hAnsi="仿宋" w:eastAsia="仿宋"/>
                <w:sz w:val="32"/>
                <w:szCs w:val="32"/>
              </w:rPr>
              <w:t>序号</w:t>
            </w:r>
          </w:p>
        </w:tc>
        <w:tc>
          <w:tcPr>
            <w:tcW w:w="5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sz w:val="32"/>
                <w:szCs w:val="32"/>
              </w:rPr>
            </w:pPr>
            <w:r>
              <w:rPr>
                <w:rFonts w:hint="eastAsia" w:ascii="仿宋" w:hAnsi="仿宋" w:eastAsia="仿宋"/>
                <w:sz w:val="32"/>
                <w:szCs w:val="32"/>
              </w:rPr>
              <w:t>单位名称</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1</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温州市委农办（温州市农业局）本级</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2</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温州市农产品检验测试中心</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3</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温州市农业站</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4</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温州市特产站</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5</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温州市植物保护站</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6</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温州市农业行政执法支队</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7</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温州市种子站</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8</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温州市优质农产品开发服务中心</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9</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温州市农村信息与宣传中心</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10</w:t>
            </w:r>
          </w:p>
        </w:tc>
        <w:tc>
          <w:tcPr>
            <w:tcW w:w="5500" w:type="dxa"/>
            <w:tcBorders>
              <w:top w:val="nil"/>
              <w:left w:val="nil"/>
              <w:bottom w:val="single" w:color="auto" w:sz="4" w:space="0"/>
              <w:right w:val="single" w:color="auto" w:sz="4" w:space="0"/>
            </w:tcBorders>
            <w:shd w:val="clear" w:color="auto" w:fill="auto"/>
            <w:noWrap/>
            <w:vAlign w:val="center"/>
          </w:tcPr>
          <w:p>
            <w:pPr>
              <w:pStyle w:val="5"/>
              <w:spacing w:before="0" w:beforeAutospacing="0" w:after="0" w:afterAutospacing="0" w:line="600" w:lineRule="atLeast"/>
              <w:jc w:val="both"/>
              <w:rPr>
                <w:rFonts w:ascii="仿宋" w:hAnsi="仿宋" w:eastAsia="仿宋"/>
                <w:kern w:val="2"/>
                <w:sz w:val="32"/>
                <w:szCs w:val="32"/>
              </w:rPr>
            </w:pPr>
            <w:r>
              <w:rPr>
                <w:rFonts w:hint="eastAsia" w:ascii="仿宋" w:hAnsi="仿宋" w:eastAsia="仿宋"/>
                <w:kern w:val="2"/>
                <w:sz w:val="32"/>
                <w:szCs w:val="32"/>
              </w:rPr>
              <w:t>温州市牲畜屠宰管理所</w:t>
            </w:r>
          </w:p>
        </w:tc>
      </w:tr>
      <w:tr>
        <w:tblPrEx>
          <w:tblCellMar>
            <w:top w:w="0" w:type="dxa"/>
            <w:left w:w="108" w:type="dxa"/>
            <w:bottom w:w="0" w:type="dxa"/>
            <w:right w:w="108" w:type="dxa"/>
          </w:tblCellMar>
        </w:tblPrEx>
        <w:trPr>
          <w:trHeight w:val="510" w:hRule="atLeast"/>
          <w:jc w:val="center"/>
        </w:trPr>
        <w:tc>
          <w:tcPr>
            <w:tcW w:w="120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sz w:val="32"/>
                <w:szCs w:val="32"/>
              </w:rPr>
            </w:pPr>
            <w:r>
              <w:rPr>
                <w:rFonts w:hint="eastAsia" w:ascii="仿宋" w:hAnsi="仿宋" w:eastAsia="仿宋"/>
                <w:sz w:val="32"/>
                <w:szCs w:val="32"/>
              </w:rPr>
              <w:t>11</w:t>
            </w:r>
          </w:p>
        </w:tc>
        <w:tc>
          <w:tcPr>
            <w:tcW w:w="5500" w:type="dxa"/>
            <w:tcBorders>
              <w:top w:val="nil"/>
              <w:left w:val="nil"/>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温州市耕地质量与土肥管理站</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sz w:val="24"/>
          <w:szCs w:val="24"/>
        </w:rPr>
      </w:pPr>
    </w:p>
    <w:tbl>
      <w:tblPr>
        <w:tblStyle w:val="6"/>
        <w:tblW w:w="8860" w:type="dxa"/>
        <w:tblInd w:w="93"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noWrap/>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6841"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w:t>
            </w:r>
            <w:r>
              <w:rPr>
                <w:rFonts w:hint="eastAsia" w:ascii="宋体" w:hAnsi="宋体" w:cs="Arial"/>
                <w:color w:val="000000"/>
                <w:kern w:val="0"/>
                <w:sz w:val="18"/>
                <w:szCs w:val="18"/>
              </w:rPr>
              <w:t>中共温州市委温州市人民政府农村工作办公室（温州市农业局）汇总</w:t>
            </w:r>
            <w:r>
              <w:rPr>
                <w:rFonts w:hint="eastAsia" w:ascii="微软雅黑" w:hAnsi="微软雅黑" w:eastAsia="微软雅黑"/>
                <w:color w:val="454545"/>
              </w:rPr>
              <w:t>　</w:t>
            </w:r>
          </w:p>
        </w:tc>
        <w:tc>
          <w:tcPr>
            <w:tcW w:w="201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6100.96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0.9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6093.34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3.44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202.48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5916.90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240.68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7.62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6119.36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6372.02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3731.80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390.34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250.33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140.01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3731.80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ind w:right="360"/>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145.31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7.39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137.92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6517.70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6517.70　</w:t>
            </w:r>
          </w:p>
        </w:tc>
      </w:tr>
    </w:tbl>
    <w:p>
      <w:pPr>
        <w:autoSpaceDE w:val="0"/>
        <w:autoSpaceDN w:val="0"/>
        <w:adjustRightInd w:val="0"/>
        <w:spacing w:line="560" w:lineRule="exact"/>
        <w:rPr>
          <w:rFonts w:ascii="黑体" w:hAnsi="Times New Roman" w:eastAsia="黑体" w:cs="黑体"/>
          <w:sz w:val="32"/>
          <w:szCs w:val="32"/>
          <w:lang w:val="zh-CN"/>
        </w:rPr>
      </w:pPr>
    </w:p>
    <w:tbl>
      <w:tblPr>
        <w:tblStyle w:val="6"/>
        <w:tblW w:w="21412" w:type="dxa"/>
        <w:tblInd w:w="93"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2017年度部门收入决算总表(分单位）</w:t>
      </w:r>
    </w:p>
    <w:tbl>
      <w:tblPr>
        <w:tblStyle w:val="6"/>
        <w:tblW w:w="27117" w:type="dxa"/>
        <w:tblInd w:w="93" w:type="dxa"/>
        <w:tblLayout w:type="autofit"/>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noWrap/>
            <w:vAlign w:val="bottom"/>
          </w:tcPr>
          <w:tbl>
            <w:tblPr>
              <w:tblStyle w:val="6"/>
              <w:tblW w:w="9901" w:type="dxa"/>
              <w:tblInd w:w="0" w:type="dxa"/>
              <w:tblLayout w:type="autofit"/>
              <w:tblCellMar>
                <w:top w:w="0" w:type="dxa"/>
                <w:left w:w="108" w:type="dxa"/>
                <w:bottom w:w="0" w:type="dxa"/>
                <w:right w:w="108" w:type="dxa"/>
              </w:tblCellMar>
            </w:tblPr>
            <w:tblGrid>
              <w:gridCol w:w="1840"/>
              <w:gridCol w:w="925"/>
              <w:gridCol w:w="774"/>
              <w:gridCol w:w="925"/>
              <w:gridCol w:w="925"/>
              <w:gridCol w:w="640"/>
              <w:gridCol w:w="640"/>
              <w:gridCol w:w="640"/>
              <w:gridCol w:w="640"/>
              <w:gridCol w:w="672"/>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52"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公开02-1表</w:t>
                  </w:r>
                </w:p>
              </w:tc>
            </w:tr>
            <w:tr>
              <w:tblPrEx>
                <w:tblCellMar>
                  <w:top w:w="0" w:type="dxa"/>
                  <w:left w:w="108" w:type="dxa"/>
                  <w:bottom w:w="0" w:type="dxa"/>
                  <w:right w:w="108" w:type="dxa"/>
                </w:tblCellMar>
              </w:tblPrEx>
              <w:trPr>
                <w:trHeight w:val="270" w:hRule="atLeast"/>
              </w:trPr>
              <w:tc>
                <w:tcPr>
                  <w:tcW w:w="7949" w:type="dxa"/>
                  <w:gridSpan w:val="9"/>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18"/>
                      <w:szCs w:val="18"/>
                    </w:rPr>
                    <w:t>部门：中共温州市委温州市人民政府农村工作办公室（温州市农业局）汇总　</w:t>
                  </w:r>
                </w:p>
              </w:tc>
              <w:tc>
                <w:tcPr>
                  <w:tcW w:w="1952"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单位名称</w:t>
                  </w:r>
                </w:p>
              </w:tc>
              <w:tc>
                <w:tcPr>
                  <w:tcW w:w="92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77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上年结转</w:t>
                  </w:r>
                </w:p>
              </w:tc>
              <w:tc>
                <w:tcPr>
                  <w:tcW w:w="249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c>
                <w:tcPr>
                  <w:tcW w:w="67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2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92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7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2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77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92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92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67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92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6,517.70</w:t>
                  </w:r>
                </w:p>
              </w:tc>
              <w:tc>
                <w:tcPr>
                  <w:tcW w:w="77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390.34</w:t>
                  </w:r>
                </w:p>
              </w:tc>
              <w:tc>
                <w:tcPr>
                  <w:tcW w:w="92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6,100.96</w:t>
                  </w:r>
                </w:p>
              </w:tc>
              <w:tc>
                <w:tcPr>
                  <w:tcW w:w="92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6,093.34</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7.62</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18.40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中共温州市委温州市人民政府农村工作办公室（温州市农业局）（本级）</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3,622.07</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261.35</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3,360.72</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3,360.72</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温州市农产品检验测试中心</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383.38</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7.85</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375.53</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375.29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0.24</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温州市农业站</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279.27</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34.63</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244.64</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244.14</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0.50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温州市特产站</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416.63</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30.28</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386.23</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386.23</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0.12</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温州市植物保护站</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341.28</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4.99</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328.18</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328.18</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0.10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温州市农业行政执法支队</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360.24</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27.83</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332.42</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326.88</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5.53</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温州市种子站</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375.48</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375.33</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375.33</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0.15</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温州市优质农产品开发服务中心</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244.57</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9.78</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234.79</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234.19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0.60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温州市农村信息与宣传中心</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176.00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1.55</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174.45</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174.45</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温州市牲畜屠宰管理所</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187.65</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9.77</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177.88</w:t>
                  </w:r>
                </w:p>
              </w:tc>
              <w:tc>
                <w:tcPr>
                  <w:tcW w:w="92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177.13</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0.75</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温州市耕地质量与土肥管理站</w:t>
                  </w:r>
                </w:p>
              </w:tc>
              <w:tc>
                <w:tcPr>
                  <w:tcW w:w="925"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131.13</w:t>
                  </w:r>
                </w:p>
              </w:tc>
              <w:tc>
                <w:tcPr>
                  <w:tcW w:w="774"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2.31</w:t>
                  </w:r>
                </w:p>
              </w:tc>
              <w:tc>
                <w:tcPr>
                  <w:tcW w:w="925"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110.79</w:t>
                  </w:r>
                </w:p>
              </w:tc>
              <w:tc>
                <w:tcPr>
                  <w:tcW w:w="925"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110.79</w:t>
                  </w:r>
                </w:p>
              </w:tc>
              <w:tc>
                <w:tcPr>
                  <w:tcW w:w="640"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8"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18.03</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7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590" w:firstLineChars="495"/>
              <w:rPr>
                <w:rFonts w:ascii="仿宋" w:hAnsi="Times New Roman" w:eastAsia="仿宋" w:cs="仿宋"/>
                <w:b/>
                <w:sz w:val="32"/>
                <w:szCs w:val="32"/>
              </w:rPr>
            </w:pPr>
            <w:r>
              <w:rPr>
                <w:rFonts w:hint="eastAsia" w:ascii="仿宋" w:hAnsi="Times New Roman" w:eastAsia="仿宋" w:cs="仿宋"/>
                <w:b/>
                <w:sz w:val="32"/>
                <w:szCs w:val="32"/>
              </w:rPr>
              <w:t>2017年度部门收入决算总表(分科目）</w:t>
            </w:r>
          </w:p>
          <w:tbl>
            <w:tblPr>
              <w:tblStyle w:val="6"/>
              <w:tblW w:w="5000" w:type="pct"/>
              <w:tblInd w:w="0" w:type="dxa"/>
              <w:tblLayout w:type="autofit"/>
              <w:tblCellMar>
                <w:top w:w="0" w:type="dxa"/>
                <w:left w:w="108" w:type="dxa"/>
                <w:bottom w:w="0" w:type="dxa"/>
                <w:right w:w="108" w:type="dxa"/>
              </w:tblCellMar>
            </w:tblPr>
            <w:tblGrid>
              <w:gridCol w:w="10332"/>
              <w:gridCol w:w="394"/>
              <w:gridCol w:w="394"/>
              <w:gridCol w:w="1862"/>
              <w:gridCol w:w="886"/>
              <w:gridCol w:w="886"/>
              <w:gridCol w:w="887"/>
              <w:gridCol w:w="887"/>
              <w:gridCol w:w="887"/>
              <w:gridCol w:w="1806"/>
            </w:tblGrid>
            <w:tr>
              <w:tblPrEx>
                <w:tblCellMar>
                  <w:top w:w="0" w:type="dxa"/>
                  <w:left w:w="108" w:type="dxa"/>
                  <w:bottom w:w="0" w:type="dxa"/>
                  <w:right w:w="108" w:type="dxa"/>
                </w:tblCellMar>
              </w:tblPrEx>
              <w:trPr>
                <w:trHeight w:val="255" w:hRule="atLeast"/>
              </w:trPr>
              <w:tc>
                <w:tcPr>
                  <w:tcW w:w="2612" w:type="pct"/>
                  <w:tcBorders>
                    <w:top w:val="nil"/>
                    <w:left w:val="nil"/>
                    <w:bottom w:val="nil"/>
                    <w:right w:val="nil"/>
                  </w:tcBorders>
                  <w:shd w:val="clear" w:color="auto" w:fill="auto"/>
                  <w:noWrap/>
                  <w:vAlign w:val="bottom"/>
                </w:tcPr>
                <w:p/>
                <w:tbl>
                  <w:tblPr>
                    <w:tblStyle w:val="6"/>
                    <w:tblW w:w="10116" w:type="dxa"/>
                    <w:tblInd w:w="0" w:type="dxa"/>
                    <w:tblLayout w:type="autofit"/>
                    <w:tblCellMar>
                      <w:top w:w="0" w:type="dxa"/>
                      <w:left w:w="108" w:type="dxa"/>
                      <w:bottom w:w="0" w:type="dxa"/>
                      <w:right w:w="108" w:type="dxa"/>
                    </w:tblCellMar>
                  </w:tblPr>
                  <w:tblGrid>
                    <w:gridCol w:w="926"/>
                    <w:gridCol w:w="970"/>
                    <w:gridCol w:w="138"/>
                    <w:gridCol w:w="930"/>
                    <w:gridCol w:w="777"/>
                    <w:gridCol w:w="930"/>
                    <w:gridCol w:w="930"/>
                    <w:gridCol w:w="640"/>
                    <w:gridCol w:w="640"/>
                    <w:gridCol w:w="640"/>
                    <w:gridCol w:w="675"/>
                    <w:gridCol w:w="640"/>
                    <w:gridCol w:w="640"/>
                    <w:gridCol w:w="640"/>
                  </w:tblGrid>
                  <w:tr>
                    <w:tblPrEx>
                      <w:tblCellMar>
                        <w:top w:w="0" w:type="dxa"/>
                        <w:left w:w="108" w:type="dxa"/>
                        <w:bottom w:w="0" w:type="dxa"/>
                        <w:right w:w="108" w:type="dxa"/>
                      </w:tblCellMar>
                    </w:tblPrEx>
                    <w:trPr>
                      <w:trHeight w:val="255" w:hRule="atLeast"/>
                    </w:trPr>
                    <w:tc>
                      <w:tcPr>
                        <w:tcW w:w="92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0" w:type="dxa"/>
                        <w:tcBorders>
                          <w:top w:val="nil"/>
                          <w:left w:val="nil"/>
                          <w:bottom w:val="nil"/>
                          <w:right w:val="nil"/>
                        </w:tcBorders>
                      </w:tcPr>
                      <w:p>
                        <w:pPr>
                          <w:widowControl/>
                          <w:jc w:val="left"/>
                          <w:rPr>
                            <w:rFonts w:ascii="Arial" w:hAnsi="Arial" w:cs="Arial"/>
                            <w:color w:val="000000"/>
                            <w:kern w:val="0"/>
                            <w:sz w:val="20"/>
                            <w:szCs w:val="20"/>
                          </w:rPr>
                        </w:pPr>
                      </w:p>
                    </w:tc>
                    <w:tc>
                      <w:tcPr>
                        <w:tcW w:w="106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8196" w:type="dxa"/>
                        <w:gridSpan w:val="11"/>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w:t>
                        </w:r>
                        <w:r>
                          <w:rPr>
                            <w:rFonts w:hint="eastAsia"/>
                            <w:sz w:val="20"/>
                            <w:szCs w:val="20"/>
                          </w:rPr>
                          <w:t>中共温州市委温州市人民政府农村工作办公室（温州市农业局）汇总　</w:t>
                        </w: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926"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科目编码</w:t>
                        </w:r>
                      </w:p>
                    </w:tc>
                    <w:tc>
                      <w:tcPr>
                        <w:tcW w:w="1108"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93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777"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上年结转</w:t>
                        </w:r>
                      </w:p>
                    </w:tc>
                    <w:tc>
                      <w:tcPr>
                        <w:tcW w:w="250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67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26"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cs="Arial"/>
                            <w:color w:val="000000"/>
                            <w:kern w:val="0"/>
                            <w:sz w:val="18"/>
                            <w:szCs w:val="18"/>
                          </w:rPr>
                        </w:pPr>
                      </w:p>
                    </w:tc>
                    <w:tc>
                      <w:tcPr>
                        <w:tcW w:w="1108"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18"/>
                            <w:szCs w:val="18"/>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777"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9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30"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7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93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93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6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930" w:type="dxa"/>
                        <w:tcBorders>
                          <w:top w:val="nil"/>
                          <w:left w:val="nil"/>
                          <w:bottom w:val="single" w:color="auto"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6,517.70</w:t>
                        </w:r>
                      </w:p>
                    </w:tc>
                    <w:tc>
                      <w:tcPr>
                        <w:tcW w:w="7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390.34</w:t>
                        </w:r>
                      </w:p>
                    </w:tc>
                    <w:tc>
                      <w:tcPr>
                        <w:tcW w:w="93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6,100.96</w:t>
                        </w:r>
                      </w:p>
                    </w:tc>
                    <w:tc>
                      <w:tcPr>
                        <w:tcW w:w="93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6,093.34</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7.62</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18.40</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一般公共服务支出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0.90</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20101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人大事务</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0.90</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2010150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事业运行</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0.90</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0.90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208</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社会保障和就业支出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3.44</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3.44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3.44</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20805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行政事业单位离退休</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3.44</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3.44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3.44</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2080505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机关事业单位基本养老保险缴费支出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2.93</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2.93</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2.93</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2080506</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机关事业单位职业年金缴费支出★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0.52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0.52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0.52</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医疗卫生与计划生育支出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202.48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202.48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202.48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21011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行政事业单位医疗</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202.48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202.48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202.48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2101101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行政单位医疗★</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121.29</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121.29</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121.29</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2101102</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事业单位医疗★</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81.19</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81.19</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81.19</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213</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农林水支出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6,062.58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390.34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5,645.83</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5,645.83</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18.40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21301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农业</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5,984.69</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390.34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5,567.94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5,567.94</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18.40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行政运行</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2,064.47</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199.72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1,864.75</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1,864.75</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2130102</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一般行政管理事务</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236.07</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12.69</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223.38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223.38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2130104</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事业运行</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1,487.69</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50.61</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1,436.70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1,436.70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0.37</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2130106</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科技转化与推广服务</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232.16</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21.89</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192.24</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192.24</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18.03</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2130108</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病虫害控制</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73.06</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65.06</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65.06</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8.00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2130109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农产品质量安全</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128.25</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128.25</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128.25</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2130110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执法监管</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81.23</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81.23</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81.23</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2130111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统计监测与信息服务</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140.33</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62.62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77.71</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77.71</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2130112</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农业行业业务管理</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69.00</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69.00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69.00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2130125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农产品加工与促销</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24.81</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24.81</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24.81</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2130199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其他农业支出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1,447.62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42.81</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1,404.80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1,404.80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21305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扶贫</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50.36</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50.36</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50.36</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2130599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其他扶贫支出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50.36</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50.36</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50.36</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21307</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农村综合改革</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27.52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27.52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27.52</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2130799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其他农村综合改革支出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27.52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27.52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27.52</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221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住房保障支出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240.68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240.68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240.68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22102</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住房改革支出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240.68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240.68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240.68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2210201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住房公积金</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211.08</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211.08</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211.08</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2210203</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购房补贴</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29.60</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29.60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29.60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229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其他支出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7.62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7.62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7.62</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b/>
                            <w:bCs/>
                            <w:sz w:val="20"/>
                            <w:szCs w:val="20"/>
                          </w:rPr>
                        </w:pPr>
                        <w:r>
                          <w:rPr>
                            <w:rFonts w:hint="eastAsia"/>
                            <w:b/>
                            <w:bCs/>
                            <w:sz w:val="20"/>
                            <w:szCs w:val="20"/>
                          </w:rPr>
                          <w:t>22904</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其他政府性基金及对应专项债务收入安排的支出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sz w:val="20"/>
                            <w:szCs w:val="20"/>
                          </w:rPr>
                        </w:pPr>
                        <w:r>
                          <w:rPr>
                            <w:rFonts w:hint="eastAsia"/>
                            <w:sz w:val="20"/>
                            <w:szCs w:val="20"/>
                          </w:rPr>
                          <w:t>7.62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7.62</w:t>
                        </w:r>
                      </w:p>
                    </w:tc>
                    <w:tc>
                      <w:tcPr>
                        <w:tcW w:w="93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7.62</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sz w:val="20"/>
                            <w:szCs w:val="20"/>
                          </w:rPr>
                        </w:pPr>
                        <w:r>
                          <w:rPr>
                            <w:rFonts w:hint="eastAsia"/>
                            <w:sz w:val="20"/>
                            <w:szCs w:val="20"/>
                          </w:rPr>
                          <w:t>2290400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sz w:val="20"/>
                            <w:szCs w:val="20"/>
                          </w:rPr>
                        </w:pPr>
                        <w:r>
                          <w:rPr>
                            <w:rFonts w:hint="eastAsia"/>
                            <w:sz w:val="20"/>
                            <w:szCs w:val="20"/>
                          </w:rPr>
                          <w:t>其他政府性基金及对应专项债务收入安排的支出</w:t>
                        </w:r>
                      </w:p>
                    </w:tc>
                    <w:tc>
                      <w:tcPr>
                        <w:tcW w:w="93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sz w:val="20"/>
                            <w:szCs w:val="20"/>
                          </w:rPr>
                        </w:pPr>
                        <w:r>
                          <w:rPr>
                            <w:rFonts w:hint="eastAsia"/>
                            <w:sz w:val="20"/>
                            <w:szCs w:val="20"/>
                          </w:rPr>
                          <w:t>7.62</w:t>
                        </w:r>
                      </w:p>
                    </w:tc>
                    <w:tc>
                      <w:tcPr>
                        <w:tcW w:w="777"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93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7.62</w:t>
                        </w:r>
                      </w:p>
                    </w:tc>
                    <w:tc>
                      <w:tcPr>
                        <w:tcW w:w="93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7.62</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75"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sz w:val="20"/>
                            <w:szCs w:val="20"/>
                          </w:rPr>
                        </w:pPr>
                        <w:r>
                          <w:rPr>
                            <w:rFonts w:hint="eastAsia"/>
                            <w:sz w:val="20"/>
                            <w:szCs w:val="20"/>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sz w:val="20"/>
                            <w:szCs w:val="20"/>
                          </w:rPr>
                        </w:pPr>
                        <w:r>
                          <w:rPr>
                            <w:rFonts w:hint="eastAsia"/>
                            <w:sz w:val="20"/>
                            <w:szCs w:val="20"/>
                          </w:rPr>
                          <w:t>0.00</w:t>
                        </w:r>
                      </w:p>
                    </w:tc>
                  </w:tr>
                </w:tbl>
                <w:p>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93"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78"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公开02-1表</w:t>
                  </w:r>
                </w:p>
              </w:tc>
            </w:tr>
          </w:tbl>
          <w:p>
            <w:pPr>
              <w:widowControl/>
              <w:jc w:val="left"/>
              <w:rPr>
                <w:rFonts w:ascii="宋体" w:hAnsi="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2017年度部门支出决算总表（分单位）</w:t>
      </w:r>
    </w:p>
    <w:tbl>
      <w:tblPr>
        <w:tblStyle w:val="6"/>
        <w:tblW w:w="16336" w:type="dxa"/>
        <w:tblInd w:w="93"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shd w:val="clear" w:color="auto" w:fill="auto"/>
            <w:noWrap/>
            <w:vAlign w:val="bottom"/>
          </w:tcPr>
          <w:tbl>
            <w:tblPr>
              <w:tblStyle w:val="6"/>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公开03-1表</w:t>
                  </w:r>
                </w:p>
              </w:tc>
            </w:tr>
            <w:tr>
              <w:tblPrEx>
                <w:tblCellMar>
                  <w:top w:w="0" w:type="dxa"/>
                  <w:left w:w="108" w:type="dxa"/>
                  <w:bottom w:w="0" w:type="dxa"/>
                  <w:right w:w="108" w:type="dxa"/>
                </w:tblCellMar>
              </w:tblPrEx>
              <w:trPr>
                <w:trHeight w:val="270" w:hRule="atLeast"/>
              </w:trPr>
              <w:tc>
                <w:tcPr>
                  <w:tcW w:w="7120" w:type="dxa"/>
                  <w:gridSpan w:val="6"/>
                  <w:tcBorders>
                    <w:top w:val="nil"/>
                    <w:left w:val="nil"/>
                    <w:bottom w:val="nil"/>
                    <w:right w:val="nil"/>
                  </w:tcBorders>
                  <w:shd w:val="clear" w:color="000000" w:fill="FFFFFF"/>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部门：中共温州市委温州市人民政府农村工作办公室（温州市农业局）汇总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jc w:val="center"/>
                    <w:rPr>
                      <w:rFonts w:ascii="宋体" w:hAnsi="宋体"/>
                      <w:sz w:val="20"/>
                      <w:szCs w:val="20"/>
                    </w:rPr>
                  </w:pPr>
                  <w:r>
                    <w:rPr>
                      <w:rFonts w:hint="eastAsia"/>
                      <w:sz w:val="20"/>
                      <w:szCs w:val="20"/>
                    </w:rPr>
                    <w:t>合计</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6372.02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3591.54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427.98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2352.50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中共温州市委温州市人民政府农村工作办公室（温州市农业局）（本级）</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3538.04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1823.28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226.74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1488.01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温州市农产品检验测试中心</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383.38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234.66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35.95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112.77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温州市农业站</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252.70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179.73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15.90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57.07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温州市特产站</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402.87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242.11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19.72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141.04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温州市植物保护站</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340.76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195.86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18.25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126.65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温州市农业行政执法支队</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360.24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247.50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29.19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83.55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温州市种子站</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375.33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222.15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24.31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128.88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温州市优质农产品开发服务中心</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241.95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123.19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17.08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101.68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温州市农村信息与宣传中心</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176.00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102.63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15.03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58.35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温州市牲畜屠宰管理所</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187.65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147.27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17.37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23.00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sz w:val="20"/>
                      <w:szCs w:val="20"/>
                    </w:rPr>
                  </w:pPr>
                  <w:r>
                    <w:rPr>
                      <w:rFonts w:hint="eastAsia"/>
                      <w:sz w:val="20"/>
                      <w:szCs w:val="20"/>
                    </w:rPr>
                    <w:t>温州市耕地质量与土肥管理站</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113.10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73.16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8.44 </w:t>
                  </w:r>
                </w:p>
              </w:tc>
              <w:tc>
                <w:tcPr>
                  <w:tcW w:w="1000"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31.50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2017年度部门支出决算总表（分科目）</w:t>
      </w:r>
    </w:p>
    <w:tbl>
      <w:tblPr>
        <w:tblStyle w:val="6"/>
        <w:tblW w:w="16336" w:type="dxa"/>
        <w:tblInd w:w="93"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shd w:val="clear" w:color="auto" w:fill="auto"/>
            <w:noWrap/>
            <w:vAlign w:val="bottom"/>
          </w:tcPr>
          <w:tbl>
            <w:tblPr>
              <w:tblStyle w:val="6"/>
              <w:tblW w:w="9688" w:type="dxa"/>
              <w:tblInd w:w="0" w:type="dxa"/>
              <w:tblLayout w:type="autofit"/>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宋体" w:hAnsi="宋体" w:cs="Arial"/>
                      <w:color w:val="000000"/>
                      <w:kern w:val="0"/>
                      <w:sz w:val="20"/>
                      <w:szCs w:val="20"/>
                    </w:rPr>
                  </w:pPr>
                  <w:r>
                    <w:rPr>
                      <w:rFonts w:ascii="宋体" w:hAnsi="宋体" w:cs="Arial"/>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8120" w:type="dxa"/>
                  <w:gridSpan w:val="9"/>
                  <w:tcBorders>
                    <w:top w:val="nil"/>
                    <w:left w:val="nil"/>
                    <w:bottom w:val="nil"/>
                    <w:right w:val="nil"/>
                  </w:tcBorders>
                  <w:shd w:val="clear" w:color="000000" w:fill="FFFFFF"/>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部门：中共温州市委温州市人民政府农村工作办公室（温州市农业局）汇总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6372.02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3591.54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427.98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2352.50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人大事务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2010150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0.90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3.44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3.44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3.44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3.44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2.93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2.93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0.52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0.52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202.48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202.48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21011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202.48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202.48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2101101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121.29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121.29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2101102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事业单位医疗★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81.19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81.19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农林水支出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5916.90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3136.41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427.98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2352.50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农业</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5839.01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3136.41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407.98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2294.61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2057.08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1821.14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235.93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235.76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235.76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事业运行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1487.32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1315.27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172.05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科技转化与推广服务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192.24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192.24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病虫害控制</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73.06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73.06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2130109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农产品质量安全</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128.25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128.25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执法监管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81.23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81.23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2130111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统计监测与信息服务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77.71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77.71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2130112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农业行业业务管理</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69.00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69.00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2130125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农产品加工与促销</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24.81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24.81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2130199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其他农业支出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1412.53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1412.53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扶贫</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50.36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30.36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2130599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其他扶贫支出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50.36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30.36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21307</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农村综合改革</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27.52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27.52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2130799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其他农村综合改革支出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27.52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27.52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240.68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240.68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240.68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240.68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211.08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211.08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29.60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29.60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kern w:val="0"/>
                      <w:sz w:val="18"/>
                      <w:szCs w:val="18"/>
                    </w:rPr>
                  </w:pPr>
                  <w:r>
                    <w:rPr>
                      <w:rFonts w:hint="eastAsia" w:ascii="宋体" w:hAnsi="宋体" w:cs="Arial"/>
                      <w:color w:val="000000"/>
                      <w:kern w:val="0"/>
                      <w:sz w:val="18"/>
                      <w:szCs w:val="18"/>
                    </w:rPr>
                    <w:t>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992" w:type="dxa"/>
                  <w:tcBorders>
                    <w:top w:val="nil"/>
                    <w:left w:val="single" w:color="auto" w:sz="4" w:space="0"/>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7.62 </w:t>
                  </w:r>
                </w:p>
              </w:tc>
              <w:tc>
                <w:tcPr>
                  <w:tcW w:w="1134" w:type="dxa"/>
                  <w:gridSpan w:val="2"/>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992" w:type="dxa"/>
                  <w:tcBorders>
                    <w:top w:val="nil"/>
                    <w:left w:val="nil"/>
                    <w:bottom w:val="single" w:color="000000" w:sz="4" w:space="0"/>
                    <w:right w:val="single" w:color="000000" w:sz="4" w:space="0"/>
                  </w:tcBorders>
                  <w:shd w:val="clear" w:color="000000" w:fill="FFFFFF"/>
                  <w:noWrap/>
                  <w:vAlign w:val="bottom"/>
                </w:tcPr>
                <w:p>
                  <w:pPr>
                    <w:jc w:val="right"/>
                    <w:rPr>
                      <w:rFonts w:ascii="宋体" w:hAnsi="宋体" w:cs="Arial"/>
                      <w:color w:val="000000"/>
                      <w:kern w:val="0"/>
                      <w:sz w:val="18"/>
                      <w:szCs w:val="18"/>
                    </w:rPr>
                  </w:pPr>
                  <w:r>
                    <w:rPr>
                      <w:rFonts w:ascii="宋体" w:hAnsi="宋体" w:cs="Arial"/>
                      <w:color w:val="000000"/>
                      <w:kern w:val="0"/>
                      <w:sz w:val="18"/>
                      <w:szCs w:val="18"/>
                    </w:rPr>
                    <w:t xml:space="preserve">0.00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p>
              </w:tc>
            </w:tr>
          </w:tbl>
          <w:p>
            <w:pPr>
              <w:widowControl/>
              <w:jc w:val="left"/>
              <w:rPr>
                <w:rFonts w:ascii="Arial" w:hAnsi="Arial" w:cs="Arial"/>
                <w:color w:val="000000"/>
                <w:kern w:val="0"/>
                <w:sz w:val="20"/>
                <w:szCs w:val="20"/>
              </w:rPr>
            </w:pPr>
          </w:p>
        </w:tc>
      </w:tr>
    </w:tbl>
    <w:p>
      <w:pPr>
        <w:autoSpaceDE w:val="0"/>
        <w:autoSpaceDN w:val="0"/>
        <w:adjustRightInd w:val="0"/>
        <w:spacing w:line="560" w:lineRule="exact"/>
        <w:rPr>
          <w:rFonts w:ascii="仿宋" w:hAnsi="Times New Roman" w:eastAsia="仿宋" w:cs="仿宋"/>
          <w:b/>
          <w:sz w:val="32"/>
          <w:szCs w:val="32"/>
        </w:rPr>
      </w:pPr>
    </w:p>
    <w:tbl>
      <w:tblPr>
        <w:tblStyle w:val="6"/>
        <w:tblW w:w="19156" w:type="dxa"/>
        <w:tblInd w:w="93" w:type="dxa"/>
        <w:tblLayout w:type="autofit"/>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2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公开03-1表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Style w:val="6"/>
        <w:tblW w:w="15990" w:type="dxa"/>
        <w:tblInd w:w="93" w:type="dxa"/>
        <w:tblLayout w:type="autofit"/>
        <w:tblCellMar>
          <w:top w:w="0" w:type="dxa"/>
          <w:left w:w="108" w:type="dxa"/>
          <w:bottom w:w="0" w:type="dxa"/>
          <w:right w:w="108" w:type="dxa"/>
        </w:tblCellMar>
      </w:tblPr>
      <w:tblGrid>
        <w:gridCol w:w="9342"/>
        <w:gridCol w:w="376"/>
        <w:gridCol w:w="880"/>
        <w:gridCol w:w="2240"/>
        <w:gridCol w:w="440"/>
        <w:gridCol w:w="2821"/>
      </w:tblGrid>
      <w:tr>
        <w:trPr>
          <w:trHeight w:val="255" w:hRule="atLeast"/>
        </w:trPr>
        <w:tc>
          <w:tcPr>
            <w:tcW w:w="9233" w:type="dxa"/>
            <w:tcBorders>
              <w:top w:val="nil"/>
              <w:left w:val="nil"/>
              <w:bottom w:val="nil"/>
              <w:right w:val="nil"/>
            </w:tcBorders>
            <w:shd w:val="clear" w:color="auto" w:fill="auto"/>
            <w:noWrap/>
            <w:vAlign w:val="bottom"/>
          </w:tcPr>
          <w:tbl>
            <w:tblPr>
              <w:tblStyle w:val="6"/>
              <w:tblW w:w="9126" w:type="dxa"/>
              <w:tblInd w:w="0" w:type="dxa"/>
              <w:tblLayout w:type="autofit"/>
              <w:tblCellMar>
                <w:top w:w="0" w:type="dxa"/>
                <w:left w:w="108" w:type="dxa"/>
                <w:bottom w:w="0" w:type="dxa"/>
                <w:right w:w="108" w:type="dxa"/>
              </w:tblCellMar>
            </w:tblPr>
            <w:tblGrid>
              <w:gridCol w:w="2260"/>
              <w:gridCol w:w="376"/>
              <w:gridCol w:w="880"/>
              <w:gridCol w:w="2240"/>
              <w:gridCol w:w="440"/>
              <w:gridCol w:w="77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2930"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宋体" w:hAnsi="宋体" w:cs="Arial"/>
                      <w:color w:val="000000"/>
                      <w:kern w:val="0"/>
                      <w:sz w:val="15"/>
                      <w:szCs w:val="15"/>
                    </w:rPr>
                    <w:t>公开</w:t>
                  </w:r>
                  <w:r>
                    <w:rPr>
                      <w:rFonts w:ascii="Arial" w:hAnsi="Arial" w:cs="Arial"/>
                      <w:color w:val="000000"/>
                      <w:kern w:val="0"/>
                      <w:sz w:val="15"/>
                      <w:szCs w:val="15"/>
                    </w:rPr>
                    <w:t>04</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6196" w:type="dxa"/>
                  <w:gridSpan w:val="5"/>
                  <w:tcBorders>
                    <w:top w:val="nil"/>
                    <w:left w:val="nil"/>
                    <w:bottom w:val="nil"/>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24"/>
                      <w:szCs w:val="24"/>
                    </w:rPr>
                    <w:t>　</w:t>
                  </w:r>
                  <w:r>
                    <w:rPr>
                      <w:rFonts w:hint="eastAsia" w:ascii="微软雅黑" w:hAnsi="微软雅黑" w:eastAsia="微软雅黑"/>
                      <w:color w:val="000000"/>
                      <w:sz w:val="18"/>
                      <w:szCs w:val="18"/>
                    </w:rPr>
                    <w:t>部门：中共温州市委温州市人民政府农村工作办公室（温州市农业局）汇总</w:t>
                  </w:r>
                  <w:r>
                    <w:rPr>
                      <w:rFonts w:hint="eastAsia" w:ascii="微软雅黑" w:hAnsi="微软雅黑" w:eastAsia="微软雅黑"/>
                      <w:color w:val="454545"/>
                      <w:sz w:val="18"/>
                      <w:szCs w:val="18"/>
                    </w:rPr>
                    <w:t>　</w:t>
                  </w:r>
                </w:p>
              </w:tc>
              <w:tc>
                <w:tcPr>
                  <w:tcW w:w="2930"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ascii="Arial" w:hAnsi="Arial"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收     入</w:t>
                  </w:r>
                </w:p>
              </w:tc>
              <w:tc>
                <w:tcPr>
                  <w:tcW w:w="561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2930"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7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7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6093.33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0.9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0.9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3.44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3.44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202.48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202.48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5896.51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5896.51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240.68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240.68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6100.95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77</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6351.63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6344.01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78</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295.35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79</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44.67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44.67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295.35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80</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81</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82</w:t>
                  </w:r>
                </w:p>
              </w:tc>
              <w:tc>
                <w:tcPr>
                  <w:tcW w:w="7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6396.30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83</w:t>
                  </w:r>
                </w:p>
              </w:tc>
              <w:tc>
                <w:tcPr>
                  <w:tcW w:w="77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6396.30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6388.68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Arial" w:hAnsi="Arial"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cs="Arial"/>
                <w:color w:val="000000"/>
                <w:kern w:val="0"/>
                <w:sz w:val="20"/>
                <w:szCs w:val="20"/>
              </w:rPr>
            </w:pPr>
            <w:r>
              <w:rPr>
                <w:rFonts w:ascii="Arial" w:hAnsi="Arial"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Style w:val="6"/>
        <w:tblW w:w="9712" w:type="dxa"/>
        <w:tblInd w:w="93" w:type="dxa"/>
        <w:tblLayout w:type="autofit"/>
        <w:tblCellMar>
          <w:top w:w="0" w:type="dxa"/>
          <w:left w:w="108" w:type="dxa"/>
          <w:bottom w:w="0" w:type="dxa"/>
          <w:right w:w="108" w:type="dxa"/>
        </w:tblCellMar>
      </w:tblPr>
      <w:tblGrid>
        <w:gridCol w:w="482"/>
        <w:gridCol w:w="488"/>
        <w:gridCol w:w="482"/>
        <w:gridCol w:w="1754"/>
        <w:gridCol w:w="377"/>
        <w:gridCol w:w="939"/>
        <w:gridCol w:w="636"/>
        <w:gridCol w:w="334"/>
        <w:gridCol w:w="1186"/>
        <w:gridCol w:w="674"/>
        <w:gridCol w:w="846"/>
        <w:gridCol w:w="1520"/>
      </w:tblGrid>
      <w:tr>
        <w:tblPrEx>
          <w:tblCellMar>
            <w:top w:w="0" w:type="dxa"/>
            <w:left w:w="108" w:type="dxa"/>
            <w:bottom w:w="0" w:type="dxa"/>
            <w:right w:w="108" w:type="dxa"/>
          </w:tblCellMar>
        </w:tblPrEx>
        <w:trPr>
          <w:trHeight w:val="255" w:hRule="atLeast"/>
        </w:trPr>
        <w:tc>
          <w:tcPr>
            <w:tcW w:w="3200" w:type="dxa"/>
            <w:gridSpan w:val="4"/>
            <w:tcBorders>
              <w:top w:val="nil"/>
              <w:left w:val="nil"/>
              <w:bottom w:val="nil"/>
              <w:right w:val="nil"/>
            </w:tcBorders>
            <w:shd w:val="clear" w:color="000000" w:fill="FFFFFF"/>
            <w:noWrap/>
            <w:vAlign w:val="bottom"/>
          </w:tcPr>
          <w:p>
            <w:pPr>
              <w:widowControl/>
              <w:jc w:val="center"/>
              <w:rPr>
                <w:rFonts w:ascii="Arial" w:hAnsi="Arial" w:cs="Arial"/>
                <w:color w:val="000000"/>
                <w:kern w:val="0"/>
                <w:sz w:val="20"/>
                <w:szCs w:val="20"/>
              </w:rPr>
            </w:pPr>
            <w:r>
              <w:rPr>
                <w:rFonts w:ascii="Arial" w:hAnsi="Arial" w:cs="Arial"/>
                <w:color w:val="000000"/>
                <w:kern w:val="0"/>
                <w:sz w:val="20"/>
                <w:szCs w:val="20"/>
              </w:rPr>
              <w:t>　</w:t>
            </w:r>
          </w:p>
        </w:tc>
        <w:tc>
          <w:tcPr>
            <w:tcW w:w="1952" w:type="dxa"/>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3040" w:type="dxa"/>
            <w:gridSpan w:val="3"/>
            <w:tcBorders>
              <w:top w:val="nil"/>
              <w:left w:val="nil"/>
              <w:bottom w:val="nil"/>
              <w:right w:val="nil"/>
            </w:tcBorders>
            <w:shd w:val="clear" w:color="000000" w:fill="FFFFFF"/>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公开05表</w:t>
            </w:r>
          </w:p>
        </w:tc>
      </w:tr>
      <w:tr>
        <w:tblPrEx>
          <w:tblCellMar>
            <w:top w:w="0" w:type="dxa"/>
            <w:left w:w="108" w:type="dxa"/>
            <w:bottom w:w="0" w:type="dxa"/>
            <w:right w:w="108" w:type="dxa"/>
          </w:tblCellMar>
        </w:tblPrEx>
        <w:trPr>
          <w:trHeight w:val="270" w:hRule="atLeast"/>
        </w:trPr>
        <w:tc>
          <w:tcPr>
            <w:tcW w:w="6672" w:type="dxa"/>
            <w:gridSpan w:val="9"/>
            <w:tcBorders>
              <w:top w:val="nil"/>
              <w:left w:val="nil"/>
              <w:bottom w:val="single" w:color="000000" w:sz="8" w:space="0"/>
              <w:right w:val="nil"/>
            </w:tcBorders>
            <w:shd w:val="clear" w:color="000000" w:fill="FFFFFF"/>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w:t>
            </w:r>
            <w:r>
              <w:rPr>
                <w:rFonts w:hint="eastAsia" w:ascii="微软雅黑" w:hAnsi="微软雅黑" w:eastAsia="微软雅黑"/>
                <w:color w:val="000000"/>
              </w:rPr>
              <w:t>中共温州市委温州市人民政府农村工作办公室（温州市农业局）汇总</w:t>
            </w:r>
            <w:r>
              <w:rPr>
                <w:rFonts w:hint="eastAsia" w:ascii="微软雅黑" w:hAnsi="微软雅黑" w:eastAsia="微软雅黑"/>
                <w:color w:val="454545"/>
              </w:rPr>
              <w:t>　</w:t>
            </w:r>
            <w:r>
              <w:rPr>
                <w:rFonts w:ascii="Arial" w:hAnsi="Arial"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952"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备注</w:t>
            </w:r>
          </w:p>
        </w:tc>
      </w:tr>
      <w:tr>
        <w:tblPrEx>
          <w:tblCellMar>
            <w:top w:w="0" w:type="dxa"/>
            <w:left w:w="108" w:type="dxa"/>
            <w:bottom w:w="0" w:type="dxa"/>
            <w:right w:w="108" w:type="dxa"/>
          </w:tblCellMar>
        </w:tblPrEx>
        <w:trPr>
          <w:trHeight w:val="308" w:hRule="atLeast"/>
        </w:trPr>
        <w:tc>
          <w:tcPr>
            <w:tcW w:w="1446"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95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5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5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款</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952"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6,344.01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4,011.90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sz w:val="20"/>
                <w:szCs w:val="20"/>
              </w:rPr>
            </w:pPr>
            <w:r>
              <w:rPr>
                <w:rFonts w:hint="eastAsia"/>
                <w:sz w:val="20"/>
                <w:szCs w:val="20"/>
              </w:rPr>
              <w:t>2,332.11</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20101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人大事务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2010150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事业运行</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0.90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208</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3.44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3.44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20805</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行政事业单位离退休</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3.44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3.44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2080505</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机关事业单位基本养老保险缴费支出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2.93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2.93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2080506</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机关事业单位职业年金缴费支出★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医疗卫生与计划生育支出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202.48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202.48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21011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202.48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202.48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2101101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行政单位医疗★</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121.29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121.29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2101102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事业单位医疗★</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81.19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81.19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农林水支出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5,896.51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3,564.40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2,332.11</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农业</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5,818.62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3,544.40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2,274.22</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行政运行</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2,057.08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2,057.08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一般行政管理事务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223.38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223.38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2130104</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事业运行</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1,487.32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1,487.32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2130106</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科技转化与推广服务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192.24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192.24</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2130108</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病虫害控制</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65.06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65.06</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2130109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农产品质量安全</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128.25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128.25</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2130110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执法监管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81.23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81.23</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2130111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统计监测与信息服务</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77.71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77.71</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2130112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农业行业业务管理</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69.00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69.00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2130125</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农产品加工与促销</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24.81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24.81</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2130199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其他农业支出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1,412.53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1,412.53</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21305</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扶贫</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50.36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30.36</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2130599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其他扶贫支出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50.36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30.36</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21307</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农村综合改革</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27.52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27.52</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2130799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其他农村综合改革支出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27.52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27.52</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221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240.68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240.68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22102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住房改革支出</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240.68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240.68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2210201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住房公积金</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211.08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211.08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2210203</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000000"/>
                <w:kern w:val="0"/>
                <w:sz w:val="16"/>
                <w:szCs w:val="16"/>
              </w:rPr>
            </w:pPr>
            <w:r>
              <w:rPr>
                <w:rFonts w:hint="eastAsia" w:ascii="宋体" w:hAnsi="宋体" w:cs="Arial"/>
                <w:color w:val="000000"/>
                <w:kern w:val="0"/>
                <w:sz w:val="16"/>
                <w:szCs w:val="16"/>
              </w:rPr>
              <w:t>购房补贴</w:t>
            </w:r>
          </w:p>
        </w:tc>
        <w:tc>
          <w:tcPr>
            <w:tcW w:w="1952"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29.60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29.60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kern w:val="0"/>
                <w:sz w:val="16"/>
                <w:szCs w:val="16"/>
              </w:rPr>
            </w:pPr>
            <w:r>
              <w:rPr>
                <w:rFonts w:hint="eastAsia" w:ascii="宋体" w:hAnsi="宋体" w:cs="Arial"/>
                <w:color w:val="000000"/>
                <w:kern w:val="0"/>
                <w:sz w:val="16"/>
                <w:szCs w:val="16"/>
              </w:rPr>
              <w:t>0.00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p>
        </w:tc>
      </w:tr>
      <w:tr>
        <w:tblPrEx>
          <w:tblCellMar>
            <w:top w:w="0" w:type="dxa"/>
            <w:left w:w="108" w:type="dxa"/>
            <w:bottom w:w="0" w:type="dxa"/>
            <w:right w:w="108" w:type="dxa"/>
          </w:tblCellMar>
        </w:tblPrEx>
        <w:trPr>
          <w:trHeight w:val="540" w:hRule="atLeast"/>
        </w:trPr>
        <w:tc>
          <w:tcPr>
            <w:tcW w:w="9712" w:type="dxa"/>
            <w:gridSpan w:val="12"/>
            <w:tcBorders>
              <w:top w:val="nil"/>
              <w:left w:val="nil"/>
              <w:bottom w:val="nil"/>
              <w:right w:val="nil"/>
            </w:tcBorders>
            <w:shd w:val="clear" w:color="auto" w:fill="auto"/>
            <w:noWrap/>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13"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3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公开06表</w:t>
            </w:r>
          </w:p>
        </w:tc>
      </w:tr>
      <w:tr>
        <w:tblPrEx>
          <w:tblCellMar>
            <w:top w:w="0" w:type="dxa"/>
            <w:left w:w="108" w:type="dxa"/>
            <w:bottom w:w="0" w:type="dxa"/>
            <w:right w:w="108" w:type="dxa"/>
          </w:tblCellMar>
        </w:tblPrEx>
        <w:trPr>
          <w:trHeight w:val="255" w:hRule="atLeast"/>
        </w:trPr>
        <w:tc>
          <w:tcPr>
            <w:tcW w:w="7352" w:type="dxa"/>
            <w:gridSpan w:val="10"/>
            <w:tcBorders>
              <w:top w:val="nil"/>
              <w:left w:val="nil"/>
              <w:bottom w:val="single" w:color="auto" w:sz="4" w:space="0"/>
              <w:right w:val="nil"/>
            </w:tcBorders>
            <w:shd w:val="clear" w:color="auto" w:fill="auto"/>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w:t>
            </w:r>
            <w:r>
              <w:rPr>
                <w:rFonts w:hint="eastAsia" w:ascii="微软雅黑" w:hAnsi="微软雅黑" w:eastAsia="微软雅黑"/>
                <w:color w:val="000000"/>
              </w:rPr>
              <w:t>中共温州市委温州市人民政府农村工作办公室（温州市农业局）汇总</w:t>
            </w:r>
            <w:r>
              <w:rPr>
                <w:rFonts w:hint="eastAsia" w:ascii="微软雅黑" w:hAnsi="微软雅黑" w:eastAsia="微软雅黑"/>
                <w:color w:val="454545"/>
              </w:rPr>
              <w:t>　</w:t>
            </w:r>
          </w:p>
        </w:tc>
        <w:tc>
          <w:tcPr>
            <w:tcW w:w="2360" w:type="dxa"/>
            <w:gridSpan w:val="2"/>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522"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93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工资福利支出</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2885.23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426.80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基本工资</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564.86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40.62</w:t>
            </w:r>
          </w:p>
        </w:tc>
      </w:tr>
      <w:tr>
        <w:tblPrEx>
          <w:tblCellMar>
            <w:top w:w="0" w:type="dxa"/>
            <w:left w:w="108" w:type="dxa"/>
            <w:bottom w:w="0" w:type="dxa"/>
            <w:right w:w="108" w:type="dxa"/>
          </w:tblCellMar>
        </w:tblPrEx>
        <w:trPr>
          <w:trHeight w:val="27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津贴补贴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498.08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1.42</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奖金</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684.31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其他社会保障缴费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28.44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0.22</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伙食补助费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43.00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0.04</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绩效工资</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461.44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0.46</w:t>
            </w:r>
          </w:p>
        </w:tc>
      </w:tr>
      <w:tr>
        <w:tblPrEx>
          <w:tblCellMar>
            <w:top w:w="0" w:type="dxa"/>
            <w:left w:w="108" w:type="dxa"/>
            <w:bottom w:w="0" w:type="dxa"/>
            <w:right w:w="108" w:type="dxa"/>
          </w:tblCellMar>
        </w:tblPrEx>
        <w:trPr>
          <w:trHeight w:val="555"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机关事业单位基本养老保险缴费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289.24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20.89</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职业年金缴费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116.58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其他工资福利支出</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199.28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8.81</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对个人和家庭的补助</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698.69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6.69</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离休费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149.37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8.46</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退休费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0.64</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退职（役）费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抚恤金</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39.10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3.65</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生活补助</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16.53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5.49</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救济费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8.51</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医疗费</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202.35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助学金</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奖励金</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生产补贴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82.70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住房公积金</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211.08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19.68</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提租补贴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19.46</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购房补贴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29.60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49.75</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采暖补贴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3.47</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物业服务补贴</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0.00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123.01</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其他对个人和家庭的补助支出</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sz w:val="20"/>
                <w:szCs w:val="20"/>
              </w:rPr>
            </w:pPr>
            <w:r>
              <w:rPr>
                <w:sz w:val="20"/>
                <w:szCs w:val="20"/>
              </w:rPr>
              <w:t xml:space="preserve">50.66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22.80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1.19</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r>
              <w:rPr>
                <w:rFonts w:hint="eastAsia"/>
                <w:sz w:val="20"/>
                <w:szCs w:val="20"/>
              </w:rPr>
              <w:t>1.19</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sz w:val="20"/>
                <w:szCs w:val="20"/>
              </w:rPr>
            </w:pPr>
            <w:r>
              <w:rPr>
                <w:rFonts w:hint="eastAsia"/>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sz w:val="20"/>
                <w:szCs w:val="20"/>
              </w:rPr>
            </w:pP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255" w:hRule="atLeast"/>
        </w:trPr>
        <w:tc>
          <w:tcPr>
            <w:tcW w:w="3583"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人员经费合计</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16"/>
                <w:szCs w:val="16"/>
              </w:rPr>
            </w:pPr>
            <w:r>
              <w:rPr>
                <w:rFonts w:ascii="Arial" w:hAnsi="Arial" w:cs="Arial"/>
                <w:color w:val="000000"/>
                <w:kern w:val="0"/>
                <w:sz w:val="16"/>
                <w:szCs w:val="16"/>
              </w:rPr>
              <w:t>　</w:t>
            </w:r>
            <w:r>
              <w:rPr>
                <w:rFonts w:hint="eastAsia" w:ascii="Arial" w:hAnsi="Arial" w:cs="Arial"/>
                <w:color w:val="000000"/>
                <w:kern w:val="0"/>
                <w:sz w:val="16"/>
                <w:szCs w:val="16"/>
              </w:rPr>
              <w:t>3582.92</w:t>
            </w:r>
          </w:p>
        </w:tc>
        <w:tc>
          <w:tcPr>
            <w:tcW w:w="283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w:t>
            </w:r>
            <w:r>
              <w:rPr>
                <w:rFonts w:hint="eastAsia" w:ascii="宋体" w:hAnsi="宋体" w:cs="Arial"/>
                <w:color w:val="000000"/>
                <w:kern w:val="0"/>
                <w:sz w:val="16"/>
                <w:szCs w:val="16"/>
              </w:rPr>
              <w:t>427.98</w:t>
            </w:r>
          </w:p>
        </w:tc>
      </w:tr>
    </w:tbl>
    <w:p>
      <w:pPr>
        <w:autoSpaceDE w:val="0"/>
        <w:autoSpaceDN w:val="0"/>
        <w:adjustRightInd w:val="0"/>
        <w:spacing w:line="560" w:lineRule="exact"/>
        <w:rPr>
          <w:rFonts w:ascii="仿宋" w:hAnsi="Times New Roman" w:eastAsia="仿宋" w:cs="仿宋"/>
          <w:b/>
          <w:sz w:val="32"/>
          <w:szCs w:val="32"/>
        </w:rPr>
      </w:pPr>
    </w:p>
    <w:tbl>
      <w:tblPr>
        <w:tblStyle w:val="6"/>
        <w:tblW w:w="18916" w:type="dxa"/>
        <w:tblInd w:w="93"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rPr>
          <w:trHeight w:val="255" w:hRule="atLeast"/>
        </w:trPr>
        <w:tc>
          <w:tcPr>
            <w:tcW w:w="978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4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40" w:type="dxa"/>
            <w:tcBorders>
              <w:top w:val="nil"/>
              <w:left w:val="nil"/>
              <w:bottom w:val="single" w:color="000000" w:sz="8" w:space="0"/>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2017年度部门政府性基金收入支出决算表</w:t>
      </w:r>
    </w:p>
    <w:tbl>
      <w:tblPr>
        <w:tblStyle w:val="6"/>
        <w:tblW w:w="9428" w:type="dxa"/>
        <w:tblInd w:w="93" w:type="dxa"/>
        <w:tblLayout w:type="autofit"/>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4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公开07表</w:t>
            </w:r>
          </w:p>
        </w:tc>
      </w:tr>
      <w:tr>
        <w:tblPrEx>
          <w:tblCellMar>
            <w:top w:w="0" w:type="dxa"/>
            <w:left w:w="108" w:type="dxa"/>
            <w:bottom w:w="0" w:type="dxa"/>
            <w:right w:w="108" w:type="dxa"/>
          </w:tblCellMar>
        </w:tblPrEx>
        <w:trPr>
          <w:trHeight w:val="255" w:hRule="atLeast"/>
        </w:trPr>
        <w:tc>
          <w:tcPr>
            <w:tcW w:w="7128" w:type="dxa"/>
            <w:gridSpan w:val="8"/>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r>
              <w:rPr>
                <w:rFonts w:hint="eastAsia" w:ascii="宋体" w:hAnsi="宋体" w:cs="Arial"/>
                <w:color w:val="000000"/>
                <w:kern w:val="0"/>
                <w:sz w:val="16"/>
                <w:szCs w:val="16"/>
              </w:rPr>
              <w:t>部门：</w:t>
            </w:r>
            <w:r>
              <w:rPr>
                <w:rFonts w:hint="eastAsia" w:ascii="微软雅黑" w:hAnsi="微软雅黑" w:eastAsia="微软雅黑"/>
                <w:color w:val="000000"/>
              </w:rPr>
              <w:t>中共温州市委温州市人民政府农村工作办公室（温州市农业局）汇总</w:t>
            </w:r>
            <w:r>
              <w:rPr>
                <w:rFonts w:hint="eastAsia" w:ascii="微软雅黑" w:hAnsi="微软雅黑" w:eastAsia="微软雅黑"/>
                <w:color w:val="454545"/>
              </w:rPr>
              <w:t>　</w:t>
            </w:r>
          </w:p>
        </w:tc>
        <w:tc>
          <w:tcPr>
            <w:tcW w:w="10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7.62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b/>
                <w:bCs/>
                <w:sz w:val="20"/>
                <w:szCs w:val="20"/>
              </w:rPr>
            </w:pPr>
            <w:r>
              <w:rPr>
                <w:rFonts w:hint="eastAsia"/>
                <w:b/>
                <w:bCs/>
                <w:sz w:val="20"/>
                <w:szCs w:val="20"/>
              </w:rPr>
              <w:t>229</w:t>
            </w:r>
          </w:p>
        </w:tc>
        <w:tc>
          <w:tcPr>
            <w:tcW w:w="1460" w:type="dxa"/>
            <w:tcBorders>
              <w:top w:val="nil"/>
              <w:left w:val="nil"/>
              <w:bottom w:val="single" w:color="000000" w:sz="4" w:space="0"/>
              <w:right w:val="single" w:color="000000" w:sz="4" w:space="0"/>
            </w:tcBorders>
            <w:shd w:val="clear" w:color="auto" w:fill="auto"/>
            <w:noWrap/>
            <w:vAlign w:val="center"/>
          </w:tcPr>
          <w:p>
            <w:pPr>
              <w:rPr>
                <w:rFonts w:ascii="宋体" w:hAnsi="宋体"/>
                <w:b/>
                <w:bCs/>
                <w:sz w:val="12"/>
                <w:szCs w:val="12"/>
              </w:rPr>
            </w:pPr>
            <w:r>
              <w:rPr>
                <w:rFonts w:hint="eastAsia"/>
                <w:b/>
                <w:bCs/>
                <w:sz w:val="12"/>
                <w:szCs w:val="12"/>
              </w:rPr>
              <w:t>其他支出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b/>
                <w:bCs/>
                <w:sz w:val="20"/>
                <w:szCs w:val="20"/>
              </w:rPr>
            </w:pPr>
            <w:r>
              <w:rPr>
                <w:rFonts w:hint="eastAsia"/>
                <w:b/>
                <w:bCs/>
                <w:sz w:val="20"/>
                <w:szCs w:val="20"/>
              </w:rPr>
              <w:t>22904</w:t>
            </w:r>
          </w:p>
        </w:tc>
        <w:tc>
          <w:tcPr>
            <w:tcW w:w="1460" w:type="dxa"/>
            <w:tcBorders>
              <w:top w:val="nil"/>
              <w:left w:val="nil"/>
              <w:bottom w:val="single" w:color="000000" w:sz="4" w:space="0"/>
              <w:right w:val="single" w:color="000000" w:sz="4" w:space="0"/>
            </w:tcBorders>
            <w:shd w:val="clear" w:color="auto" w:fill="auto"/>
            <w:noWrap/>
            <w:vAlign w:val="center"/>
          </w:tcPr>
          <w:p>
            <w:pPr>
              <w:rPr>
                <w:rFonts w:ascii="宋体" w:hAnsi="宋体"/>
                <w:b/>
                <w:bCs/>
                <w:sz w:val="12"/>
                <w:szCs w:val="12"/>
              </w:rPr>
            </w:pPr>
            <w:r>
              <w:rPr>
                <w:rFonts w:hint="eastAsia"/>
                <w:b/>
                <w:bCs/>
                <w:sz w:val="12"/>
                <w:szCs w:val="12"/>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sz w:val="20"/>
                <w:szCs w:val="20"/>
              </w:rPr>
            </w:pPr>
            <w:r>
              <w:rPr>
                <w:rFonts w:hint="eastAsia"/>
                <w:sz w:val="20"/>
                <w:szCs w:val="20"/>
              </w:rPr>
              <w:t>2290400</w:t>
            </w:r>
          </w:p>
        </w:tc>
        <w:tc>
          <w:tcPr>
            <w:tcW w:w="1460" w:type="dxa"/>
            <w:tcBorders>
              <w:top w:val="nil"/>
              <w:left w:val="nil"/>
              <w:bottom w:val="single" w:color="000000" w:sz="4" w:space="0"/>
              <w:right w:val="single" w:color="000000" w:sz="4" w:space="0"/>
            </w:tcBorders>
            <w:shd w:val="clear" w:color="auto" w:fill="auto"/>
            <w:noWrap/>
            <w:vAlign w:val="center"/>
          </w:tcPr>
          <w:p>
            <w:pPr>
              <w:rPr>
                <w:rFonts w:ascii="宋体" w:hAnsi="宋体"/>
                <w:sz w:val="20"/>
                <w:szCs w:val="20"/>
              </w:rPr>
            </w:pPr>
            <w:r>
              <w:rPr>
                <w:rFonts w:hint="eastAsia"/>
                <w:sz w:val="20"/>
                <w:szCs w:val="20"/>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7.62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rPr>
          <w:rFonts w:ascii="仿宋" w:hAnsi="Times New Roman" w:eastAsia="仿宋" w:cs="仿宋"/>
          <w:b/>
          <w:sz w:val="32"/>
          <w:szCs w:val="32"/>
        </w:rPr>
      </w:pPr>
    </w:p>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cs="Arial"/>
          <w:color w:val="000000"/>
          <w:sz w:val="15"/>
          <w:szCs w:val="15"/>
        </w:rPr>
      </w:pPr>
      <w:r>
        <w:rPr>
          <w:rFonts w:hint="eastAsia" w:cs="Arial"/>
          <w:color w:val="000000"/>
          <w:sz w:val="15"/>
          <w:szCs w:val="15"/>
        </w:rPr>
        <w:t>公开08表</w:t>
      </w:r>
    </w:p>
    <w:p>
      <w:pPr>
        <w:wordWrap w:val="0"/>
        <w:jc w:val="right"/>
        <w:rPr>
          <w:rFonts w:cs="Arial"/>
          <w:color w:val="000000"/>
          <w:sz w:val="15"/>
          <w:szCs w:val="15"/>
        </w:rPr>
      </w:pPr>
      <w:r>
        <w:rPr>
          <w:rFonts w:hint="eastAsia" w:cs="Arial"/>
          <w:color w:val="000000"/>
          <w:sz w:val="15"/>
          <w:szCs w:val="15"/>
        </w:rPr>
        <w:t>金额单位：万元</w:t>
      </w:r>
    </w:p>
    <w:p>
      <w:pPr>
        <w:jc w:val="left"/>
        <w:rPr>
          <w:rFonts w:cs="Arial"/>
          <w:color w:val="000000"/>
          <w:sz w:val="20"/>
          <w:szCs w:val="20"/>
        </w:rPr>
      </w:pPr>
      <w:r>
        <w:rPr>
          <w:rFonts w:hint="eastAsia" w:cs="Arial"/>
          <w:color w:val="000000"/>
          <w:sz w:val="20"/>
          <w:szCs w:val="20"/>
        </w:rPr>
        <w:t>部门：</w:t>
      </w:r>
    </w:p>
    <w:tbl>
      <w:tblPr>
        <w:tblStyle w:val="6"/>
        <w:tblW w:w="10490" w:type="dxa"/>
        <w:tblInd w:w="-176" w:type="dxa"/>
        <w:tblLayout w:type="autofit"/>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blPrEx>
          <w:tblCellMar>
            <w:top w:w="0" w:type="dxa"/>
            <w:left w:w="108" w:type="dxa"/>
            <w:bottom w:w="0" w:type="dxa"/>
            <w:right w:w="108" w:type="dxa"/>
          </w:tblCellMar>
        </w:tblPrEx>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公务接待费</w:t>
            </w:r>
          </w:p>
        </w:tc>
      </w:tr>
      <w:tr>
        <w:tblPrEx>
          <w:tblCellMar>
            <w:top w:w="0" w:type="dxa"/>
            <w:left w:w="108" w:type="dxa"/>
            <w:bottom w:w="0" w:type="dxa"/>
            <w:right w:w="108" w:type="dxa"/>
          </w:tblCellMar>
        </w:tblPrEx>
        <w:trPr>
          <w:trHeight w:val="93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r>
      <w:tr>
        <w:tblPrEx>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46.55　</w:t>
            </w:r>
          </w:p>
        </w:tc>
        <w:tc>
          <w:tcPr>
            <w:tcW w:w="10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　</w:t>
            </w:r>
          </w:p>
        </w:tc>
        <w:tc>
          <w:tcPr>
            <w:tcW w:w="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31.55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20.45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8.46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3.47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3.47　</w:t>
            </w:r>
          </w:p>
        </w:tc>
        <w:tc>
          <w:tcPr>
            <w:tcW w:w="8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8.52　</w:t>
            </w:r>
          </w:p>
        </w:tc>
      </w:tr>
    </w:tbl>
    <w:p>
      <w:pPr>
        <w:autoSpaceDE w:val="0"/>
        <w:autoSpaceDN w:val="0"/>
        <w:adjustRightInd w:val="0"/>
        <w:spacing w:line="560" w:lineRule="exact"/>
        <w:rPr>
          <w:rFonts w:ascii="仿宋" w:hAnsi="Times New Roman" w:eastAsia="仿宋" w:cs="仿宋"/>
          <w:sz w:val="32"/>
          <w:szCs w:val="32"/>
        </w:rPr>
      </w:pPr>
    </w:p>
    <w:p>
      <w:pPr>
        <w:shd w:val="clear" w:color="auto" w:fill="FFFFFF"/>
        <w:spacing w:line="600" w:lineRule="atLeast"/>
        <w:rPr>
          <w:rFonts w:ascii="Times New Roman" w:hAnsi="Times New Roman" w:eastAsia="黑体" w:cs="Times New Roman"/>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p>
    <w:p>
      <w:pPr>
        <w:shd w:val="clear" w:color="auto" w:fill="FFFFFF"/>
        <w:spacing w:line="600" w:lineRule="atLeast"/>
      </w:pPr>
      <w:r>
        <w:rPr>
          <w:rStyle w:val="9"/>
          <w:rFonts w:hint="eastAsia" w:ascii="楷体" w:hAnsi="仿宋" w:eastAsia="楷体" w:cs="Arial"/>
          <w:sz w:val="32"/>
          <w:szCs w:val="32"/>
        </w:rPr>
        <w:t>（一）收入支出决算总体情况</w:t>
      </w:r>
    </w:p>
    <w:p>
      <w:pPr>
        <w:shd w:val="clear" w:color="auto" w:fill="FFFFFF"/>
        <w:spacing w:line="600" w:lineRule="atLeast"/>
      </w:pPr>
      <w:r>
        <w:rPr>
          <w:rFonts w:hint="eastAsia" w:ascii="仿宋" w:hAnsi="仿宋" w:eastAsia="仿宋"/>
          <w:sz w:val="32"/>
          <w:szCs w:val="32"/>
        </w:rPr>
        <w:t>1、2017年度收入总计6,517.70万元,</w:t>
      </w:r>
      <w:r>
        <w:rPr>
          <w:rFonts w:hint="eastAsia" w:ascii="仿宋" w:hAnsi="Times New Roman" w:eastAsia="仿宋" w:cs="仿宋"/>
          <w:color w:val="000000"/>
          <w:sz w:val="32"/>
          <w:szCs w:val="32"/>
        </w:rPr>
        <w:t xml:space="preserve"> 较上年减少697.36万元，下降11.98 %，主要原因是</w:t>
      </w:r>
      <w:r>
        <w:rPr>
          <w:rFonts w:hint="eastAsia" w:ascii="仿宋" w:hAnsi="仿宋" w:eastAsia="仿宋"/>
          <w:sz w:val="32"/>
          <w:szCs w:val="32"/>
        </w:rPr>
        <w:t>工作部署调整本年部分项目预算收入,17年无需更新设备没有安排</w:t>
      </w:r>
      <w:r>
        <w:rPr>
          <w:rFonts w:hint="eastAsia" w:ascii="仿宋" w:hAnsi="Times New Roman" w:eastAsia="仿宋" w:cs="仿宋"/>
          <w:color w:val="000000"/>
          <w:sz w:val="32"/>
          <w:szCs w:val="32"/>
        </w:rPr>
        <w:t>。</w:t>
      </w:r>
      <w:r>
        <w:rPr>
          <w:rFonts w:hint="eastAsia" w:ascii="仿宋" w:hAnsi="仿宋" w:eastAsia="仿宋"/>
          <w:sz w:val="32"/>
          <w:szCs w:val="32"/>
        </w:rPr>
        <w:t>具体情况如下：</w:t>
      </w:r>
    </w:p>
    <w:p>
      <w:pPr>
        <w:shd w:val="clear" w:color="auto" w:fill="FFFFFF"/>
        <w:spacing w:line="600" w:lineRule="atLeast"/>
        <w:ind w:firstLine="640" w:firstLineChars="200"/>
      </w:pPr>
      <w:r>
        <w:rPr>
          <w:rFonts w:hint="eastAsia" w:ascii="仿宋" w:hAnsi="仿宋" w:eastAsia="仿宋"/>
          <w:sz w:val="32"/>
          <w:szCs w:val="32"/>
        </w:rPr>
        <w:t>（1）财政拨款收入6,100.96万元，较上年减少467.56万元，下降7.12%，主要原因为工作部署调整本年部分项目预算收入</w:t>
      </w:r>
      <w:r>
        <w:rPr>
          <w:rFonts w:ascii="仿宋" w:hAnsi="仿宋"/>
          <w:sz w:val="32"/>
          <w:szCs w:val="32"/>
        </w:rPr>
        <w:t>。</w:t>
      </w:r>
    </w:p>
    <w:p>
      <w:pPr>
        <w:shd w:val="clear" w:color="auto" w:fill="FFFFFF"/>
        <w:spacing w:line="600" w:lineRule="atLeast"/>
        <w:ind w:firstLine="640" w:firstLineChars="200"/>
      </w:pPr>
      <w:r>
        <w:rPr>
          <w:rFonts w:hint="eastAsia" w:ascii="仿宋" w:hAnsi="仿宋" w:eastAsia="仿宋"/>
          <w:sz w:val="32"/>
          <w:szCs w:val="32"/>
        </w:rPr>
        <w:t>（2）事业收入0万元。</w:t>
      </w:r>
    </w:p>
    <w:p>
      <w:pPr>
        <w:shd w:val="clear" w:color="auto" w:fill="FFFFFF"/>
        <w:spacing w:line="600" w:lineRule="atLeast"/>
        <w:ind w:firstLine="640"/>
      </w:pPr>
      <w:r>
        <w:rPr>
          <w:rFonts w:hint="eastAsia" w:ascii="仿宋" w:hAnsi="仿宋" w:eastAsia="仿宋"/>
          <w:sz w:val="32"/>
          <w:szCs w:val="32"/>
        </w:rPr>
        <w:t>（3）经营收入0万元。</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（4）其他收入18.40万元，较上年减少268.41万元，下降93.58%,主要原因是16年市级财政政府投资项目增加用于实验室仪器设备购置，17年无需更新设备没有安排。</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（5）用事业基金弥补差额8.00万元，较上年增加8.00万元</w:t>
      </w:r>
      <w:r>
        <w:rPr>
          <w:rFonts w:hint="eastAsia" w:ascii="仿宋" w:hAnsi="仿宋"/>
          <w:sz w:val="32"/>
          <w:szCs w:val="32"/>
        </w:rPr>
        <w:t>，</w:t>
      </w:r>
      <w:r>
        <w:rPr>
          <w:rFonts w:hint="eastAsia" w:ascii="仿宋" w:hAnsi="仿宋" w:eastAsia="仿宋"/>
          <w:sz w:val="32"/>
          <w:szCs w:val="32"/>
        </w:rPr>
        <w:t>主要用于支付病虫监测预警中心护栏网费用。</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（6）年初结转和结余390.34万元，较上年增加30.61万元，增长8.51%</w:t>
      </w:r>
      <w:r>
        <w:rPr>
          <w:rFonts w:hint="eastAsia" w:ascii="仿宋" w:hAnsi="仿宋"/>
          <w:sz w:val="32"/>
          <w:szCs w:val="32"/>
        </w:rPr>
        <w:t>，</w:t>
      </w:r>
      <w:r>
        <w:rPr>
          <w:rFonts w:hint="eastAsia" w:ascii="仿宋" w:hAnsi="仿宋" w:eastAsia="仿宋"/>
          <w:sz w:val="32"/>
          <w:szCs w:val="32"/>
        </w:rPr>
        <w:t>主要原因为省拨资金和专项上年度执行率略低，导致部分资金结余。</w:t>
      </w:r>
    </w:p>
    <w:p>
      <w:pPr>
        <w:shd w:val="clear" w:color="auto" w:fill="FFFFFF"/>
        <w:spacing w:line="600" w:lineRule="atLeast"/>
      </w:pPr>
      <w:r>
        <w:rPr>
          <w:rFonts w:hint="eastAsia" w:ascii="仿宋" w:hAnsi="仿宋" w:eastAsia="仿宋"/>
          <w:sz w:val="32"/>
          <w:szCs w:val="32"/>
        </w:rPr>
        <w:t>2、2017年度支出总计6,517.70万元，</w:t>
      </w:r>
      <w:r>
        <w:rPr>
          <w:rFonts w:hint="eastAsia" w:ascii="仿宋" w:hAnsi="Times New Roman" w:eastAsia="仿宋" w:cs="仿宋"/>
          <w:color w:val="000000"/>
          <w:sz w:val="32"/>
          <w:szCs w:val="32"/>
        </w:rPr>
        <w:t>较上年增加减少692.76万元，下降11.89%，主要原因是</w:t>
      </w:r>
      <w:r>
        <w:rPr>
          <w:rFonts w:hint="eastAsia" w:ascii="仿宋" w:hAnsi="仿宋" w:eastAsia="仿宋"/>
          <w:sz w:val="32"/>
          <w:szCs w:val="32"/>
        </w:rPr>
        <w:t>工作部署调整本年部分项目支出较上年有明显压减</w:t>
      </w:r>
      <w:r>
        <w:rPr>
          <w:rFonts w:hint="eastAsia" w:ascii="仿宋" w:hAnsi="Times New Roman" w:eastAsia="仿宋" w:cs="仿宋"/>
          <w:color w:val="000000"/>
          <w:sz w:val="32"/>
          <w:szCs w:val="32"/>
        </w:rPr>
        <w:t>。</w:t>
      </w:r>
      <w:r>
        <w:rPr>
          <w:rFonts w:hint="eastAsia" w:ascii="仿宋" w:hAnsi="仿宋" w:eastAsia="仿宋"/>
          <w:sz w:val="32"/>
          <w:szCs w:val="32"/>
        </w:rPr>
        <w:t>具体情况如下：</w:t>
      </w:r>
    </w:p>
    <w:p>
      <w:pPr>
        <w:shd w:val="clear" w:color="auto" w:fill="FFFFFF"/>
        <w:spacing w:line="600" w:lineRule="atLeast"/>
        <w:ind w:firstLine="640"/>
      </w:pPr>
      <w:r>
        <w:rPr>
          <w:rFonts w:hint="eastAsia" w:ascii="仿宋" w:hAnsi="仿宋" w:eastAsia="仿宋"/>
          <w:sz w:val="32"/>
          <w:szCs w:val="32"/>
        </w:rPr>
        <w:t>（1）一般公共服务支出（类）0.9万元，较上年增加0.9万元</w:t>
      </w:r>
      <w:r>
        <w:rPr>
          <w:rFonts w:ascii="仿宋" w:hAnsi="仿宋" w:eastAsia="仿宋"/>
          <w:sz w:val="32"/>
          <w:szCs w:val="32"/>
        </w:rPr>
        <w:t>。</w:t>
      </w:r>
      <w:r>
        <w:rPr>
          <w:rFonts w:hint="eastAsia" w:ascii="仿宋" w:hAnsi="仿宋" w:eastAsia="仿宋"/>
          <w:sz w:val="32"/>
          <w:szCs w:val="32"/>
        </w:rPr>
        <w:t>主要用于退休人员春节一次性补贴，增加的主要原因指标错误未及时调整。</w:t>
      </w:r>
    </w:p>
    <w:p>
      <w:pPr>
        <w:shd w:val="clear" w:color="auto" w:fill="FFFFFF"/>
        <w:spacing w:line="600" w:lineRule="atLeast"/>
        <w:ind w:firstLine="640"/>
      </w:pPr>
      <w:r>
        <w:rPr>
          <w:rFonts w:hint="eastAsia" w:ascii="仿宋" w:hAnsi="仿宋" w:eastAsia="仿宋"/>
          <w:sz w:val="32"/>
          <w:szCs w:val="32"/>
        </w:rPr>
        <w:t>（2）社会保障和就业支出（类）3.44万元，主要用于基本基本养老保险和年金缴费支出。较上年增加3.44万元，主要用于事业单位因人员变化而增加社会保险支出。</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（3）医疗卫生和计划生育支出（类）202.48万元，主要用于政府医疗卫生与计划生育管理方面的支出。较上年增加6.75万元，增长3.45%，主要原因每年医疗保障基数调高而增加支出。</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（4）农林水支出（类）5916.90万元，主要用于政府农林水事务支出。较上年减少723.94万元，下降10.90%，主要原因工作部署调整本年部分项目支出较上年有明显压减。</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（5）住房保障支出（类）240.68万元，主要用于职工住房方面的支出。较上年增加29.76万元，增加14.11%，主要原因公积金基数调整、人员增加导致支出增加。</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（6）其他支出（类）7.62万元，主要用于其他政府性基金及对应专项债务收入安排的支出。较上年增加3.62万元，增加90.5%，主要原因为人员增加追加金额。</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（7）结余分配0.37万元。主要是转入事业基金的金额。较上年减少0.64万元，下降63.08%，主要原因本年使用了上年结余金额导致结余分配数下降。</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8）年末结转和结余145.31万元，主要是基本支出结转和项目支出结转，预算单位以前年度尚未完成、结转到本年仍按原规定用途继续使用的资金，或项目已完成等产生的结余资金。较上年减少12.65万元，下降8.01%，主要原因本年使用了上年结余金额导致年末结转和结余下降。</w:t>
      </w:r>
    </w:p>
    <w:p>
      <w:pPr>
        <w:shd w:val="clear" w:color="auto" w:fill="FFFFFF"/>
        <w:spacing w:line="600" w:lineRule="atLeast"/>
        <w:rPr>
          <w:rFonts w:ascii="仿宋" w:hAnsi="仿宋" w:eastAsia="仿宋"/>
          <w:sz w:val="32"/>
          <w:szCs w:val="32"/>
        </w:rPr>
      </w:pPr>
      <w:r>
        <w:rPr>
          <w:rStyle w:val="9"/>
          <w:rFonts w:hint="eastAsia" w:ascii="楷体" w:hAnsi="仿宋" w:eastAsia="楷体" w:cs="Arial"/>
          <w:sz w:val="32"/>
          <w:szCs w:val="32"/>
        </w:rPr>
        <w:t>（二）本年收入决算情况</w:t>
      </w:r>
    </w:p>
    <w:p>
      <w:pPr>
        <w:shd w:val="clear" w:color="auto" w:fill="FFFFFF"/>
        <w:spacing w:line="600" w:lineRule="atLeast"/>
        <w:ind w:firstLine="640"/>
      </w:pPr>
      <w:r>
        <w:rPr>
          <w:rFonts w:hint="eastAsia" w:ascii="仿宋" w:hAnsi="仿宋" w:eastAsia="仿宋"/>
          <w:sz w:val="32"/>
          <w:szCs w:val="32"/>
        </w:rPr>
        <w:t>2017年度本年收入合计6,119.36万元，其中：财政拨款6,100.96万元，占99.70%；事业收入0万元，占0%；经营收入0万元，占0%；其他收入18.40万元，占0.30%。</w:t>
      </w:r>
    </w:p>
    <w:p>
      <w:pPr>
        <w:shd w:val="clear" w:color="auto" w:fill="FFFFFF"/>
        <w:spacing w:line="600" w:lineRule="atLeast"/>
      </w:pPr>
      <w:r>
        <w:rPr>
          <w:rStyle w:val="9"/>
          <w:rFonts w:hint="eastAsia" w:ascii="楷体" w:hAnsi="仿宋" w:eastAsia="楷体" w:cs="Arial"/>
          <w:sz w:val="32"/>
          <w:szCs w:val="32"/>
        </w:rPr>
        <w:t>（三）本年支出决算情况</w:t>
      </w:r>
    </w:p>
    <w:p>
      <w:pPr>
        <w:shd w:val="clear" w:color="auto" w:fill="FFFFFF"/>
        <w:spacing w:line="600" w:lineRule="atLeast"/>
        <w:ind w:firstLine="640"/>
      </w:pPr>
      <w:r>
        <w:rPr>
          <w:rFonts w:hint="eastAsia" w:ascii="仿宋" w:hAnsi="仿宋" w:eastAsia="仿宋"/>
          <w:sz w:val="32"/>
          <w:szCs w:val="32"/>
        </w:rPr>
        <w:t>2017年度本年支出合计6,372.02万元，其中：基本支出4,019.52万元，占63.08%；项目支出2,352.50万元，占36.92%。</w:t>
      </w:r>
    </w:p>
    <w:p>
      <w:pPr>
        <w:shd w:val="clear" w:color="auto" w:fill="FFFFFF"/>
        <w:spacing w:line="600" w:lineRule="atLeast"/>
      </w:pPr>
      <w:r>
        <w:rPr>
          <w:rStyle w:val="9"/>
          <w:rFonts w:hint="eastAsia" w:ascii="楷体" w:hAnsi="仿宋" w:eastAsia="楷体" w:cs="Arial"/>
          <w:sz w:val="32"/>
          <w:szCs w:val="32"/>
        </w:rPr>
        <w:t>（四）财政拨款收入支出决算情况</w:t>
      </w:r>
    </w:p>
    <w:p>
      <w:pPr>
        <w:shd w:val="clear" w:color="auto" w:fill="FFFFFF"/>
        <w:spacing w:line="600" w:lineRule="atLeast"/>
        <w:ind w:firstLine="640"/>
      </w:pPr>
      <w:r>
        <w:rPr>
          <w:rFonts w:hint="eastAsia" w:ascii="仿宋" w:hAnsi="仿宋" w:eastAsia="仿宋"/>
          <w:sz w:val="32"/>
          <w:szCs w:val="32"/>
        </w:rPr>
        <w:t>2017年度财政拨款收入总计6,396.30万元，支出总计6,396.30万元，与上年相比，财政拨款收、支总计各减少446.95万元，下降6.53%，主要原因是2017年资金使用调整，把部分部门预算编入了专项资金。</w:t>
      </w:r>
    </w:p>
    <w:p>
      <w:pPr>
        <w:shd w:val="clear" w:color="auto" w:fill="FFFFFF"/>
        <w:spacing w:line="600" w:lineRule="atLeast"/>
        <w:rPr>
          <w:rStyle w:val="9"/>
          <w:rFonts w:ascii="楷体" w:hAnsi="仿宋" w:eastAsia="楷体" w:cs="Arial"/>
          <w:sz w:val="32"/>
          <w:szCs w:val="32"/>
        </w:rPr>
      </w:pPr>
      <w:r>
        <w:rPr>
          <w:rStyle w:val="9"/>
          <w:rFonts w:hint="eastAsia" w:ascii="楷体" w:hAnsi="仿宋" w:eastAsia="楷体" w:cs="Arial"/>
          <w:sz w:val="32"/>
          <w:szCs w:val="32"/>
        </w:rPr>
        <w:t>（五）一般公共预算财政拨款支出情况</w:t>
      </w:r>
    </w:p>
    <w:p>
      <w:pPr>
        <w:shd w:val="clear" w:color="auto" w:fill="FFFFFF"/>
        <w:spacing w:line="600" w:lineRule="atLeast"/>
        <w:ind w:firstLine="640"/>
      </w:pPr>
      <w:r>
        <w:rPr>
          <w:rFonts w:hint="eastAsia" w:ascii="仿宋" w:hAnsi="仿宋" w:eastAsia="仿宋"/>
          <w:sz w:val="32"/>
          <w:szCs w:val="32"/>
        </w:rPr>
        <w:t>2017年度部门决算一般公共预算财政拨款支出决算6,344.01万元，比年初预算增加855.27万元，增长15.58%。具体情况如下：</w:t>
      </w:r>
    </w:p>
    <w:p>
      <w:pPr>
        <w:shd w:val="clear" w:color="auto" w:fill="FFFFFF"/>
        <w:spacing w:line="600" w:lineRule="atLeast"/>
        <w:ind w:firstLine="640" w:firstLineChars="200"/>
        <w:rPr>
          <w:rFonts w:ascii="仿宋" w:hAnsi="仿宋" w:eastAsia="仿宋"/>
          <w:sz w:val="32"/>
          <w:szCs w:val="32"/>
        </w:rPr>
      </w:pPr>
      <w:r>
        <w:rPr>
          <w:rFonts w:hint="eastAsia" w:ascii="仿宋" w:hAnsi="仿宋" w:eastAsia="仿宋"/>
          <w:sz w:val="32"/>
          <w:szCs w:val="32"/>
        </w:rPr>
        <w:t>1.一般公共服务支出（类）人大事务（款）用于在职人员工资及单位公用支出等。</w:t>
      </w:r>
    </w:p>
    <w:p>
      <w:pPr>
        <w:shd w:val="clear" w:color="auto" w:fill="FFFFFF"/>
        <w:spacing w:line="600" w:lineRule="atLeast"/>
        <w:ind w:firstLine="640" w:firstLineChars="200"/>
        <w:rPr>
          <w:rFonts w:ascii="仿宋" w:hAnsi="仿宋" w:eastAsia="仿宋"/>
          <w:sz w:val="32"/>
          <w:szCs w:val="32"/>
        </w:rPr>
      </w:pPr>
      <w:r>
        <w:rPr>
          <w:rFonts w:hint="eastAsia" w:ascii="仿宋" w:hAnsi="仿宋" w:eastAsia="仿宋"/>
          <w:sz w:val="32"/>
          <w:szCs w:val="32"/>
        </w:rPr>
        <w:t>事业运行（项）支出0.9万元，比年初预算增加0.9万元</w:t>
      </w:r>
      <w:r>
        <w:rPr>
          <w:rFonts w:ascii="仿宋" w:hAnsi="仿宋" w:eastAsia="仿宋"/>
          <w:sz w:val="32"/>
          <w:szCs w:val="32"/>
        </w:rPr>
        <w:t>。</w:t>
      </w:r>
    </w:p>
    <w:p>
      <w:pPr>
        <w:shd w:val="clear" w:color="auto" w:fill="FFFFFF"/>
        <w:spacing w:line="600" w:lineRule="atLeast"/>
        <w:ind w:firstLine="640" w:firstLineChars="200"/>
      </w:pPr>
      <w:r>
        <w:rPr>
          <w:rFonts w:hint="eastAsia" w:ascii="仿宋" w:hAnsi="仿宋" w:eastAsia="仿宋"/>
          <w:sz w:val="32"/>
          <w:szCs w:val="32"/>
        </w:rPr>
        <w:t>2.社会保障和就业支出（类）行政事业单位离退休（款）主要用于事业单位因离退休人员变化而增加保障支出。</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机关事业单位基本养老保险缴费支出（项）支出2.93万元，比年初预算增加2.93万元。主要是年中追加数，用于在职人员缴纳机关事业单位基本养老保险缴费支出。</w:t>
      </w:r>
    </w:p>
    <w:p>
      <w:pPr>
        <w:shd w:val="clear" w:color="auto" w:fill="FFFFFF"/>
        <w:spacing w:line="600" w:lineRule="atLeast"/>
        <w:ind w:firstLine="640"/>
      </w:pPr>
      <w:r>
        <w:rPr>
          <w:rFonts w:hint="eastAsia" w:ascii="仿宋" w:hAnsi="仿宋" w:eastAsia="仿宋"/>
          <w:sz w:val="32"/>
          <w:szCs w:val="32"/>
        </w:rPr>
        <w:t>机关事业单位职业年金缴费支出（项）支出0.52万元，比年初预算增加0.52万元，主要是年中追加数，用于在职人员缴纳机关事业单位职业年金缴费支出。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3.医疗卫生与计划生育支出（类）医疗保障（款）：指用于医疗保障方面的支出。</w:t>
      </w:r>
    </w:p>
    <w:p>
      <w:pPr>
        <w:pStyle w:val="5"/>
        <w:spacing w:before="0" w:beforeAutospacing="0" w:after="0" w:afterAutospacing="0" w:line="555" w:lineRule="atLeast"/>
        <w:ind w:firstLine="645"/>
        <w:rPr>
          <w:rFonts w:ascii="仿宋" w:hAnsi="仿宋" w:eastAsia="仿宋"/>
          <w:kern w:val="2"/>
          <w:sz w:val="32"/>
          <w:szCs w:val="32"/>
        </w:rPr>
      </w:pPr>
      <w:r>
        <w:rPr>
          <w:rFonts w:hint="eastAsia" w:ascii="仿宋" w:hAnsi="仿宋" w:eastAsia="仿宋"/>
          <w:kern w:val="2"/>
          <w:sz w:val="32"/>
          <w:szCs w:val="32"/>
        </w:rPr>
        <w:t>行政单位医疗（项）121.29万元，与年初预算接近；事业单位医疗（项）81.19万元，比年初预算数减少4.37万元，主要原因为事业单位人员变动调整支出减少。</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4.农林水支出（类）农业（款）：指财政用于种植业、畜牧业、渔业、兽医、农机、农垦、农场、农业产业化经营组织、农村和垦区公益事业、农产品加工等方面的支出。</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     行政运行（项）支出2057.08万元，比年初预算增加327.29万元，增加18.92%。主要是行政单位（包括实行公务员管理的事业单位）的人员工资福利标准变动和增人增资。</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一般行政管理事务（项）支出 223.38万元，比年初预算减少36.16万元，下降13.93%。减少36.16万元主要是行政单位（包括实行公务员管理的事业单位）项目支付完后的零星结余合计（执行率略微下降）。</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事业运行（项）支出1487.32万元，比年初预算增加120.85万元，增长8.84%。主要是农业事业单位在职人员工资福利提标和增人增资。 </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科技转化与推广服务（项）支出192.24万元，比年初预算减少35.76万元，减少15.68%。减少35.76万元主要是相关项目完成后结余资金（执行率略微下降）。</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病虫害控制（项）支出65.06万元，比年初预算减少5.44万元，下降7.71%。减少5.44万元主要是项目完成后结余资金（执行率略微下降）。</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农产品质量安全（项）支出128.25万元，比年初预算减少11.75万元，减少8.39%。减少11.75万元主要是项目完成后结余资金（执行率略微下降）。</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执法监管（项）支出81.23万元，比年初预算减少7.57万元，下降8.52%。减少7.57万元主要是项目完成后的结余资金（执行率略微下降）。</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统计监测与信息服务（项）支出77.71万元，比年初预算减少32.27万元，下降29.34%。减少32.27万元主要是相关项目执行率偏低造成的结余资金。</w:t>
      </w:r>
    </w:p>
    <w:p>
      <w:pPr>
        <w:pStyle w:val="5"/>
        <w:spacing w:before="0" w:beforeAutospacing="0" w:after="0" w:afterAutospacing="0" w:line="555" w:lineRule="atLeast"/>
        <w:ind w:firstLine="645"/>
        <w:rPr>
          <w:rFonts w:ascii="仿宋" w:hAnsi="仿宋" w:eastAsia="仿宋"/>
          <w:kern w:val="2"/>
          <w:sz w:val="32"/>
          <w:szCs w:val="32"/>
        </w:rPr>
      </w:pPr>
      <w:r>
        <w:rPr>
          <w:rFonts w:hint="eastAsia" w:ascii="仿宋" w:hAnsi="仿宋" w:eastAsia="仿宋"/>
          <w:kern w:val="2"/>
          <w:sz w:val="32"/>
          <w:szCs w:val="32"/>
        </w:rPr>
        <w:t>农业行业业务管理（项）69万元，比年初预算减少5万元，下降6.76%。减少5万元主要是相关项目执行率偏低造成的结余资金。</w:t>
      </w:r>
    </w:p>
    <w:p>
      <w:pPr>
        <w:pStyle w:val="5"/>
        <w:spacing w:before="0" w:beforeAutospacing="0" w:after="0" w:afterAutospacing="0" w:line="555" w:lineRule="atLeast"/>
        <w:ind w:firstLine="645"/>
        <w:rPr>
          <w:rFonts w:ascii="仿宋" w:hAnsi="仿宋" w:eastAsia="仿宋"/>
          <w:kern w:val="2"/>
          <w:sz w:val="32"/>
          <w:szCs w:val="32"/>
        </w:rPr>
      </w:pPr>
      <w:r>
        <w:rPr>
          <w:rFonts w:hint="eastAsia" w:ascii="微软雅黑" w:hAnsi="微软雅黑" w:eastAsia="微软雅黑"/>
          <w:color w:val="454545"/>
        </w:rPr>
        <w:t> </w:t>
      </w:r>
      <w:r>
        <w:rPr>
          <w:rFonts w:hint="eastAsia" w:ascii="仿宋" w:hAnsi="仿宋" w:eastAsia="仿宋"/>
          <w:kern w:val="2"/>
          <w:sz w:val="32"/>
          <w:szCs w:val="32"/>
        </w:rPr>
        <w:t>农产品加工与促销（项）支出24.81万元，比年初预算减少7.19万元，下降22.47%。减少7.19万元主要是相关项目执行率偏低造成的结余资金。</w:t>
      </w:r>
    </w:p>
    <w:p>
      <w:pPr>
        <w:pStyle w:val="5"/>
        <w:spacing w:before="0" w:beforeAutospacing="0" w:after="0" w:afterAutospacing="0" w:line="555" w:lineRule="atLeast"/>
        <w:ind w:firstLine="645"/>
        <w:rPr>
          <w:rFonts w:ascii="仿宋" w:hAnsi="仿宋" w:eastAsia="仿宋"/>
          <w:kern w:val="2"/>
          <w:sz w:val="32"/>
          <w:szCs w:val="32"/>
        </w:rPr>
      </w:pPr>
      <w:r>
        <w:rPr>
          <w:rFonts w:hint="eastAsia" w:ascii="仿宋" w:hAnsi="仿宋" w:eastAsia="仿宋"/>
          <w:kern w:val="2"/>
          <w:sz w:val="32"/>
          <w:szCs w:val="32"/>
        </w:rPr>
        <w:t>其他农业支出（项）支出1412.53万元，比年初预算增加453.58万元，增加47.30%。主要是跨年度支付项目，2016年有结余资金结转到2017年度支付。</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5.农林水支出（类）扶贫（款）：指用于农村（包括国有农场、国有林场）扶贫开发等方面的支出。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其他扶贫支出（项）支出50.36万元，比年初预算增加50.36万元，主要是因工作2017年度中央财政专项扶贫资金或省拨资金增加用于相关扶贫工作，年初无预算。</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6.农林水支出（类）农村综合改革（款）：指农村综合改革方面的支出。</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     其他农村综合改革支出（项）支出27.52万元，年初预算为8万，比年初预算增加了19.52万元，增加244%。主要是2017年度中央专项或省拨资金增加用于农村综合改革相关工作方面的支出。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7.住房保障支出（类）住房改革支出（款）：反映行政事业单位用财政拨款资金和其他资金等安排的住房改革支出。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住房公积金（项）支出211.08万元，比年初预算增加20.14万元，增加10.55%。主要是公积金基数和人员变化调整数造成支出增加。</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购房补贴（项）支出29.60万元，比年初预算增加6.46万元，增长27.92%，主要是1999年后参加工作的符合条件享受购买住房补贴的人员增加。</w:t>
      </w:r>
    </w:p>
    <w:p>
      <w:pPr>
        <w:shd w:val="clear" w:color="auto" w:fill="FFFFFF"/>
        <w:spacing w:line="600" w:lineRule="atLeast"/>
        <w:rPr>
          <w:rStyle w:val="9"/>
          <w:rFonts w:ascii="楷体" w:hAnsi="仿宋" w:eastAsia="楷体" w:cs="Arial"/>
          <w:sz w:val="32"/>
          <w:szCs w:val="32"/>
        </w:rPr>
      </w:pPr>
      <w:r>
        <w:rPr>
          <w:rStyle w:val="9"/>
          <w:rFonts w:hint="eastAsia" w:ascii="楷体" w:hAnsi="仿宋" w:eastAsia="楷体" w:cs="Arial"/>
          <w:sz w:val="32"/>
          <w:szCs w:val="32"/>
        </w:rPr>
        <w:t>（六）一般公共预算财政拨款基本支出情况</w:t>
      </w:r>
    </w:p>
    <w:p>
      <w:pPr>
        <w:shd w:val="clear" w:color="auto" w:fill="FFFFFF"/>
        <w:spacing w:line="600" w:lineRule="atLeast"/>
        <w:ind w:firstLine="640" w:firstLineChars="200"/>
        <w:rPr>
          <w:rFonts w:ascii="仿宋" w:hAnsi="仿宋" w:eastAsia="仿宋"/>
          <w:sz w:val="32"/>
          <w:szCs w:val="32"/>
        </w:rPr>
      </w:pPr>
      <w:r>
        <w:rPr>
          <w:rFonts w:hint="eastAsia" w:ascii="仿宋" w:hAnsi="仿宋" w:eastAsia="仿宋"/>
          <w:sz w:val="32"/>
          <w:szCs w:val="32"/>
        </w:rPr>
        <w:t>2017年度度一般公共预算财政拨款基本支出4,011.90万元。其中：人员经费3,583.92万元，包括基本工资、津贴补贴、奖金、社会保障缴费、伙食补助费、绩效工资、其他工资福利支出、离休费、退休费、抚恤金、生活补助、医疗费、住房公积金、其他对个人和家庭的补助支出；公用经费427.98万元，包括办公费、印刷费、水费、电费、邮电费、物业管理费、差旅费、维修（护）费、会议费、培训费、公务接待费、劳务费、工会经费、福利费、其他商品和服务支出。</w:t>
      </w:r>
    </w:p>
    <w:p>
      <w:pPr>
        <w:shd w:val="clear" w:color="auto" w:fill="FFFFFF"/>
        <w:spacing w:line="600" w:lineRule="atLeast"/>
      </w:pPr>
      <w:r>
        <w:rPr>
          <w:rStyle w:val="9"/>
          <w:rFonts w:hint="eastAsia" w:ascii="楷体" w:hAnsi="仿宋" w:eastAsia="楷体" w:cs="Arial"/>
          <w:sz w:val="32"/>
          <w:szCs w:val="32"/>
        </w:rPr>
        <w:t>（七）政府性基金预算财政拨款收入支出情况</w:t>
      </w:r>
    </w:p>
    <w:p>
      <w:pPr>
        <w:shd w:val="clear" w:color="auto" w:fill="FFFFFF"/>
        <w:spacing w:line="600" w:lineRule="atLeast"/>
        <w:ind w:firstLine="640"/>
      </w:pPr>
      <w:r>
        <w:rPr>
          <w:rFonts w:hint="eastAsia" w:ascii="仿宋" w:hAnsi="仿宋" w:eastAsia="仿宋"/>
          <w:sz w:val="32"/>
          <w:szCs w:val="32"/>
        </w:rPr>
        <w:t>2017年度政府性基金预算年初结转0万元，本年收入7.62万元，本年支出7.62万元，年末结转0万元。支出具体情况如下：</w:t>
      </w:r>
    </w:p>
    <w:p>
      <w:pPr>
        <w:shd w:val="clear" w:color="auto" w:fill="FFFFFF"/>
        <w:spacing w:line="600" w:lineRule="atLeast"/>
        <w:ind w:firstLine="640"/>
      </w:pPr>
      <w:r>
        <w:rPr>
          <w:rFonts w:hint="eastAsia" w:ascii="仿宋" w:hAnsi="仿宋" w:eastAsia="仿宋"/>
          <w:sz w:val="32"/>
          <w:szCs w:val="32"/>
        </w:rPr>
        <w:t>1.其他支出（类）其他政府性基金及对应债务收入安排的支出（款）其他政府性基金及对应债务收入安排的支出（项）事务支出7.62万元。比年初预算增加7.62万元，主要是为历年或当年省拨资金的使用数，当年未安排预算。</w:t>
      </w:r>
    </w:p>
    <w:p>
      <w:pPr>
        <w:shd w:val="clear" w:color="auto" w:fill="FFFFFF"/>
        <w:spacing w:line="600" w:lineRule="atLeast"/>
      </w:pPr>
      <w:r>
        <w:rPr>
          <w:rStyle w:val="9"/>
          <w:rFonts w:hint="eastAsia" w:ascii="楷体" w:hAnsi="仿宋" w:eastAsia="楷体" w:cs="Arial"/>
          <w:sz w:val="32"/>
          <w:szCs w:val="32"/>
        </w:rPr>
        <w:t xml:space="preserve">（八）一般公共预算 “三公”经费决算情况 </w:t>
      </w:r>
    </w:p>
    <w:p>
      <w:pPr>
        <w:autoSpaceDE w:val="0"/>
        <w:autoSpaceDN w:val="0"/>
        <w:adjustRightInd w:val="0"/>
        <w:spacing w:line="560" w:lineRule="exact"/>
        <w:ind w:firstLine="800" w:firstLineChars="250"/>
        <w:rPr>
          <w:rFonts w:ascii="仿宋" w:hAnsi="Times New Roman" w:eastAsia="仿宋" w:cs="仿宋"/>
          <w:color w:val="000000"/>
          <w:sz w:val="32"/>
          <w:szCs w:val="32"/>
        </w:rPr>
      </w:pP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w:t>
      </w:r>
      <w:r>
        <w:rPr>
          <w:rFonts w:hint="eastAsia" w:ascii="仿宋" w:hAnsi="Times New Roman" w:eastAsia="仿宋" w:cs="仿宋"/>
          <w:kern w:val="0"/>
          <w:sz w:val="32"/>
          <w:szCs w:val="32"/>
        </w:rPr>
        <w:t>支出20.44万元，</w:t>
      </w:r>
      <w:r>
        <w:rPr>
          <w:rFonts w:hint="eastAsia" w:ascii="仿宋" w:hAnsi="Times New Roman" w:eastAsia="仿宋" w:cs="仿宋"/>
          <w:sz w:val="32"/>
          <w:szCs w:val="32"/>
        </w:rPr>
        <w:t>比年初预算减少23.61万元，下降53.60%，主要原因是</w:t>
      </w:r>
      <w:r>
        <w:rPr>
          <w:rFonts w:hint="eastAsia" w:ascii="仿宋" w:hAnsi="仿宋" w:eastAsia="仿宋"/>
          <w:sz w:val="32"/>
          <w:szCs w:val="32"/>
        </w:rPr>
        <w:t>公务接待数量大幅减少</w:t>
      </w:r>
      <w:r>
        <w:rPr>
          <w:rFonts w:hint="eastAsia" w:ascii="仿宋" w:hAnsi="Times New Roman" w:eastAsia="仿宋" w:cs="仿宋"/>
          <w:sz w:val="32"/>
          <w:szCs w:val="32"/>
        </w:rPr>
        <w:t>；比上年决算数增加4.04万元，增长16.50</w:t>
      </w:r>
      <w:r>
        <w:rPr>
          <w:rFonts w:ascii="仿宋" w:hAnsi="Times New Roman" w:eastAsia="仿宋" w:cs="仿宋"/>
          <w:sz w:val="32"/>
          <w:szCs w:val="32"/>
        </w:rPr>
        <w:t>%</w:t>
      </w:r>
      <w:r>
        <w:rPr>
          <w:rFonts w:hint="eastAsia" w:ascii="仿宋" w:hAnsi="Times New Roman" w:eastAsia="仿宋" w:cs="仿宋"/>
          <w:sz w:val="32"/>
          <w:szCs w:val="32"/>
        </w:rPr>
        <w:t>，主要原因是出国费用增加。</w:t>
      </w:r>
    </w:p>
    <w:p>
      <w:pPr>
        <w:shd w:val="clear" w:color="auto" w:fill="FFFFFF"/>
        <w:spacing w:line="600" w:lineRule="atLeast"/>
        <w:ind w:firstLine="640"/>
        <w:rPr>
          <w:rFonts w:hint="eastAsia" w:ascii="仿宋" w:hAnsi="仿宋" w:eastAsia="仿宋"/>
          <w:sz w:val="32"/>
          <w:szCs w:val="32"/>
        </w:rPr>
      </w:pPr>
    </w:p>
    <w:p>
      <w:pPr>
        <w:shd w:val="clear" w:color="auto" w:fill="FFFFFF"/>
        <w:spacing w:line="600" w:lineRule="atLeast"/>
        <w:ind w:firstLine="640"/>
      </w:pPr>
      <w:r>
        <w:rPr>
          <w:rFonts w:hint="eastAsia" w:ascii="仿宋" w:hAnsi="仿宋" w:eastAsia="仿宋"/>
          <w:sz w:val="32"/>
          <w:szCs w:val="32"/>
        </w:rPr>
        <w:t>1.因公出国（境）费用：根据外事部门安排的因公出国计划和实际工作需要，2017年度一般公共预算财政拨款因公出国（境）支出8.46万元，比年初预算增加0.46万元，增加5.75%，主要原因是实际出国安排费用比预算增加导致出国费用超预算；比上年决算数增加5.51万元，增长186.78%，主要原因是2017年因公出国（境）目的地为欧洲，2016年因公出国（境）目的地为中国台湾，所以费用增加。因公出国（境）费用主要用于机关及下属预算单位人员赴欧洲农业考察等公务出国（境）的住宿费、国际旅费、培训费、公杂费等支出。本部门全年组织因公出国(境)团组0个；本部门全年因公出国(境)累计2人次，较上年增加0人次。</w:t>
      </w:r>
    </w:p>
    <w:p>
      <w:pPr>
        <w:shd w:val="clear" w:color="auto" w:fill="FFFFFF"/>
        <w:spacing w:line="600" w:lineRule="atLeast"/>
        <w:ind w:firstLine="640"/>
      </w:pPr>
      <w:r>
        <w:rPr>
          <w:rFonts w:hint="eastAsia" w:ascii="仿宋" w:hAnsi="仿宋" w:eastAsia="仿宋"/>
          <w:sz w:val="32"/>
          <w:szCs w:val="32"/>
        </w:rPr>
        <w:t>2.公务接待费：2017年度一般公共预算财政拨款公务接待费支出 8.51万元，比年初预算减少22.54万元，下降72.59%，主要原因是公务接待数量大幅减少；比上年决算数减少0.88万元，下降9.35%，减少的主要原因是公务接待严格控制。公务接待费主要用于接待上级单位以及各地农口系统来温考察等支出。其中，本部门国内公务接待85批次，967人次，支出8.51万元；国（境）外事接待0批次，0人次，支出0万元。</w:t>
      </w:r>
    </w:p>
    <w:p>
      <w:pPr>
        <w:shd w:val="clear" w:color="auto" w:fill="FFFFFF"/>
        <w:spacing w:line="600" w:lineRule="atLeast"/>
        <w:ind w:firstLine="640"/>
      </w:pPr>
      <w:r>
        <w:rPr>
          <w:rFonts w:hint="eastAsia" w:ascii="仿宋" w:hAnsi="仿宋" w:eastAsia="仿宋"/>
          <w:sz w:val="32"/>
          <w:szCs w:val="32"/>
        </w:rPr>
        <w:t>3.公务用车购置及运行维护费：2017年度一般公共预算财政拨款公务用车购置及运行维护费支出3.47万元，比年初预算减少1.53万元，下降30.56%，主要原因是一般执法执勤车实际工作发生费用未达到5万元；比上年决算数减少0.59万元，下降14.63%。减少的主要原因是因实际工作发生费用比上年少。具体内容如下：</w:t>
      </w:r>
    </w:p>
    <w:p>
      <w:pPr>
        <w:shd w:val="clear" w:color="auto" w:fill="FFFFFF"/>
        <w:spacing w:line="600" w:lineRule="atLeast"/>
        <w:ind w:firstLine="640"/>
      </w:pPr>
      <w:r>
        <w:rPr>
          <w:rFonts w:hint="eastAsia" w:ascii="仿宋" w:hAnsi="仿宋" w:eastAsia="仿宋"/>
          <w:sz w:val="32"/>
          <w:szCs w:val="32"/>
        </w:rPr>
        <w:t>公务用车购置支出0万元（含购置税等附加费用），主要用于经批准购置的0辆公务用车。</w:t>
      </w:r>
    </w:p>
    <w:p>
      <w:pPr>
        <w:shd w:val="clear" w:color="auto" w:fill="FFFFFF"/>
        <w:spacing w:line="600" w:lineRule="atLeast"/>
        <w:ind w:firstLine="640"/>
      </w:pPr>
      <w:r>
        <w:rPr>
          <w:rFonts w:hint="eastAsia" w:ascii="仿宋" w:hAnsi="仿宋" w:eastAsia="仿宋"/>
          <w:sz w:val="32"/>
          <w:szCs w:val="32"/>
        </w:rPr>
        <w:t>公务用车运行维护费支出3.47万元，</w:t>
      </w:r>
      <w:bookmarkStart w:id="0" w:name="_GoBack"/>
      <w:bookmarkEnd w:id="0"/>
      <w:r>
        <w:rPr>
          <w:rFonts w:hint="eastAsia" w:ascii="仿宋" w:hAnsi="仿宋" w:eastAsia="仿宋"/>
          <w:sz w:val="32"/>
          <w:szCs w:val="32"/>
        </w:rPr>
        <w:t>主要用于生猪屠宰场（厂）点的监督检查和农业执法检查办案等所需的公务用车租用费、燃料费、维修费、过路过桥费、保险费、安全奖励费用等支出。2017年度，本级及所属单位使用一般公共预算资金开支费用的公务用车保有量为2辆。</w:t>
      </w:r>
    </w:p>
    <w:p>
      <w:pPr>
        <w:shd w:val="clear" w:color="auto" w:fill="FFFFFF"/>
        <w:spacing w:line="600" w:lineRule="atLeast"/>
      </w:pPr>
      <w:r>
        <w:rPr>
          <w:rStyle w:val="9"/>
          <w:rFonts w:hint="eastAsia" w:ascii="楷体" w:hAnsi="仿宋" w:eastAsia="楷体" w:cs="Arial"/>
          <w:sz w:val="32"/>
          <w:szCs w:val="32"/>
        </w:rPr>
        <w:t xml:space="preserve">（九）其他重要事项情况说明 </w:t>
      </w:r>
    </w:p>
    <w:p>
      <w:pPr>
        <w:shd w:val="clear" w:color="auto" w:fill="FFFFFF"/>
        <w:spacing w:line="600" w:lineRule="atLeast"/>
      </w:pPr>
      <w:r>
        <w:rPr>
          <w:rFonts w:hint="eastAsia" w:ascii="仿宋" w:hAnsi="仿宋" w:eastAsia="仿宋"/>
          <w:sz w:val="32"/>
          <w:szCs w:val="32"/>
        </w:rPr>
        <w:t>1、机关运行经费支出情况</w:t>
      </w:r>
    </w:p>
    <w:p>
      <w:pPr>
        <w:shd w:val="clear" w:color="auto" w:fill="FFFFFF"/>
        <w:spacing w:line="600" w:lineRule="atLeast"/>
        <w:ind w:firstLine="640"/>
      </w:pPr>
      <w:r>
        <w:rPr>
          <w:rFonts w:hint="eastAsia" w:ascii="仿宋" w:hAnsi="仿宋" w:eastAsia="仿宋"/>
          <w:sz w:val="32"/>
          <w:szCs w:val="32"/>
        </w:rPr>
        <w:t>2017年度2016年度温州市委农办（温州市农业局）机关、所属温州市农业执法支队1家参公管理事业单位的机关运行经费支出255.93万元，比上年减少15.40万元，下降5.67%，主要原因是经费使用严格控制。</w:t>
      </w:r>
    </w:p>
    <w:p>
      <w:pPr>
        <w:shd w:val="clear" w:color="auto" w:fill="FFFFFF"/>
        <w:spacing w:line="600" w:lineRule="atLeast"/>
      </w:pPr>
      <w:r>
        <w:rPr>
          <w:rFonts w:hint="eastAsia" w:ascii="仿宋" w:hAnsi="仿宋" w:eastAsia="仿宋"/>
          <w:sz w:val="32"/>
          <w:szCs w:val="32"/>
        </w:rPr>
        <w:t xml:space="preserve">2、政府采购情况 </w:t>
      </w:r>
    </w:p>
    <w:p>
      <w:pPr>
        <w:shd w:val="clear" w:color="auto" w:fill="FFFFFF"/>
        <w:spacing w:line="600" w:lineRule="atLeast"/>
        <w:ind w:firstLine="640"/>
      </w:pPr>
      <w:r>
        <w:rPr>
          <w:rFonts w:hint="eastAsia" w:ascii="仿宋" w:hAnsi="仿宋" w:eastAsia="仿宋"/>
          <w:sz w:val="32"/>
          <w:szCs w:val="32"/>
        </w:rPr>
        <w:t>2017年度温州市委农办（温州市农业局）机关本级及所属各预算单位政府采购预算166.65万元，采购支出总额155.75万元。其中：货物采购支出10.52万元；工程采购支出0万元；服务采购支出145.23万元。授予中小企业合同金额</w:t>
      </w:r>
      <w:r>
        <w:rPr>
          <w:rFonts w:hAnsi="仿宋" w:eastAsia="仿宋"/>
          <w:sz w:val="32"/>
          <w:szCs w:val="32"/>
        </w:rPr>
        <w:t>68.33</w:t>
      </w:r>
      <w:r>
        <w:rPr>
          <w:rFonts w:hint="eastAsia" w:ascii="仿宋" w:hAnsi="仿宋" w:eastAsia="仿宋"/>
          <w:sz w:val="32"/>
          <w:szCs w:val="32"/>
        </w:rPr>
        <w:t>万元，占政府采购支出总额</w:t>
      </w:r>
      <w:r>
        <w:rPr>
          <w:rFonts w:hAnsi="仿宋" w:eastAsia="仿宋"/>
          <w:sz w:val="32"/>
          <w:szCs w:val="32"/>
        </w:rPr>
        <w:t>41</w:t>
      </w:r>
      <w:r>
        <w:rPr>
          <w:rFonts w:hint="eastAsia" w:ascii="仿宋" w:hAnsi="仿宋" w:eastAsia="仿宋"/>
          <w:sz w:val="32"/>
          <w:szCs w:val="32"/>
        </w:rPr>
        <w:t>%,其中：授予小微企业合同金额</w:t>
      </w:r>
      <w:r>
        <w:rPr>
          <w:rFonts w:hAnsi="仿宋" w:eastAsia="仿宋"/>
          <w:sz w:val="32"/>
          <w:szCs w:val="32"/>
        </w:rPr>
        <w:t>98.32</w:t>
      </w:r>
      <w:r>
        <w:rPr>
          <w:rFonts w:hint="eastAsia" w:ascii="仿宋" w:hAnsi="仿宋" w:eastAsia="仿宋"/>
          <w:sz w:val="32"/>
          <w:szCs w:val="32"/>
        </w:rPr>
        <w:t>万元，占政府采购支出总额</w:t>
      </w:r>
      <w:r>
        <w:rPr>
          <w:rFonts w:hAnsi="仿宋" w:eastAsia="仿宋"/>
          <w:sz w:val="32"/>
          <w:szCs w:val="32"/>
        </w:rPr>
        <w:t>59</w:t>
      </w:r>
      <w:r>
        <w:rPr>
          <w:rFonts w:hint="eastAsia" w:ascii="仿宋" w:hAnsi="仿宋" w:eastAsia="仿宋"/>
          <w:sz w:val="32"/>
          <w:szCs w:val="32"/>
        </w:rPr>
        <w:t>%。</w:t>
      </w:r>
    </w:p>
    <w:p>
      <w:pPr>
        <w:shd w:val="clear" w:color="auto" w:fill="FFFFFF"/>
        <w:spacing w:line="600" w:lineRule="atLeast"/>
      </w:pPr>
      <w:r>
        <w:rPr>
          <w:rFonts w:hint="eastAsia" w:ascii="仿宋" w:hAnsi="仿宋" w:eastAsia="仿宋"/>
          <w:sz w:val="32"/>
          <w:szCs w:val="32"/>
        </w:rPr>
        <w:t>3、国有资产占用情况</w:t>
      </w:r>
    </w:p>
    <w:p>
      <w:pPr>
        <w:shd w:val="clear" w:color="auto" w:fill="FFFFFF"/>
        <w:spacing w:line="600" w:lineRule="atLeast"/>
        <w:ind w:firstLine="640"/>
      </w:pPr>
      <w:r>
        <w:rPr>
          <w:rFonts w:hint="eastAsia" w:ascii="仿宋" w:hAnsi="仿宋" w:eastAsia="仿宋"/>
          <w:sz w:val="32"/>
          <w:szCs w:val="32"/>
        </w:rPr>
        <w:t>截</w:t>
      </w:r>
      <w:r>
        <w:rPr>
          <w:rFonts w:hint="eastAsia" w:ascii="仿宋" w:hAnsi="仿宋" w:eastAsia="仿宋"/>
          <w:sz w:val="32"/>
          <w:szCs w:val="32"/>
          <w:lang w:eastAsia="zh-CN"/>
        </w:rPr>
        <w:t>至</w:t>
      </w:r>
      <w:r>
        <w:rPr>
          <w:rFonts w:hint="eastAsia" w:ascii="仿宋" w:hAnsi="仿宋" w:eastAsia="仿宋"/>
          <w:sz w:val="32"/>
          <w:szCs w:val="32"/>
        </w:rPr>
        <w:t>2017年底，温州市委农办（市农业局）本级及所属各预算单位资产合计4,875.52万元，比上年增长16.88%，主要原因是新增一家事业单位及本年度有</w:t>
      </w:r>
      <w:r>
        <w:rPr>
          <w:rFonts w:ascii="仿宋" w:hAnsi="仿宋"/>
          <w:sz w:val="32"/>
          <w:szCs w:val="32"/>
        </w:rPr>
        <w:t>资</w:t>
      </w:r>
      <w:r>
        <w:rPr>
          <w:rFonts w:hint="eastAsia" w:ascii="仿宋" w:hAnsi="仿宋" w:eastAsia="仿宋"/>
          <w:sz w:val="32"/>
          <w:szCs w:val="32"/>
        </w:rPr>
        <w:t>产增加。其中：流动资产831.20万元，占总资产的17.05%；固定资产4,027.43万元，占总资产的82.61%；在建工程0万元，占总资产的0%。固定资产含：车辆2辆，其中:一般公务用车0辆、一般执法执勤用车2辆、特种专业技术用车0辆、其他用车0辆；单位价值50万元（含）以上通用设备4套（台）;单位价值100万元（含）以上专用设备3套（台）。</w:t>
      </w:r>
    </w:p>
    <w:p>
      <w:pPr>
        <w:shd w:val="clear" w:color="auto" w:fill="FFFFFF"/>
        <w:spacing w:line="600" w:lineRule="atLeast"/>
        <w:rPr>
          <w:rFonts w:ascii="仿宋" w:hAnsi="仿宋" w:eastAsia="仿宋"/>
          <w:sz w:val="32"/>
          <w:szCs w:val="32"/>
        </w:rPr>
      </w:pPr>
      <w:r>
        <w:rPr>
          <w:rFonts w:hint="eastAsia" w:ascii="仿宋" w:hAnsi="仿宋" w:eastAsia="仿宋"/>
          <w:sz w:val="32"/>
          <w:szCs w:val="32"/>
        </w:rPr>
        <w:t>4、绩效评价结果情况</w:t>
      </w:r>
    </w:p>
    <w:p>
      <w:pPr>
        <w:shd w:val="clear" w:color="auto" w:fill="FFFFFF"/>
        <w:spacing w:line="600" w:lineRule="atLeast"/>
      </w:pPr>
      <w:r>
        <w:rPr>
          <w:rFonts w:hint="eastAsia" w:ascii="仿宋" w:hAnsi="仿宋" w:eastAsia="仿宋"/>
          <w:sz w:val="32"/>
          <w:szCs w:val="32"/>
        </w:rPr>
        <w:t xml:space="preserve"> (1)部门开展的绩效自评情况。</w:t>
      </w:r>
    </w:p>
    <w:p>
      <w:pPr>
        <w:shd w:val="clear" w:color="auto" w:fill="FFFFFF"/>
        <w:spacing w:line="600" w:lineRule="atLeast"/>
        <w:ind w:firstLine="640"/>
      </w:pPr>
      <w:r>
        <w:rPr>
          <w:rFonts w:hint="eastAsia" w:ascii="仿宋" w:hAnsi="仿宋" w:eastAsia="仿宋"/>
          <w:sz w:val="32"/>
          <w:szCs w:val="32"/>
        </w:rPr>
        <w:t>根据预算管理要求，本部门组织对2017年度一般公共预算项目支出开展了绩效自评，自评项目72个，共涉及资金1741.76万元，占项目支出预算总额的87.13%。绩效评价结果显示，自评结果为优秀69个，良好3个，一般0个，较差0个。</w:t>
      </w:r>
    </w:p>
    <w:p>
      <w:pPr>
        <w:shd w:val="clear" w:color="auto" w:fill="FFFFFF"/>
        <w:spacing w:line="600" w:lineRule="atLeast"/>
      </w:pPr>
      <w:r>
        <w:rPr>
          <w:rFonts w:hint="eastAsia" w:ascii="仿宋" w:hAnsi="仿宋" w:eastAsia="仿宋"/>
          <w:sz w:val="32"/>
          <w:szCs w:val="32"/>
        </w:rPr>
        <w:t>(2)财政部门组织开展的绩效评价情况</w:t>
      </w:r>
    </w:p>
    <w:p>
      <w:pPr>
        <w:shd w:val="clear" w:color="auto" w:fill="FFFFFF"/>
        <w:spacing w:line="600" w:lineRule="atLeast"/>
        <w:ind w:firstLine="640"/>
        <w:rPr>
          <w:rFonts w:ascii="仿宋" w:hAnsi="仿宋" w:eastAsia="仿宋"/>
          <w:sz w:val="32"/>
          <w:szCs w:val="32"/>
        </w:rPr>
      </w:pPr>
      <w:r>
        <w:rPr>
          <w:rFonts w:hint="eastAsia" w:ascii="仿宋" w:hAnsi="仿宋" w:eastAsia="仿宋"/>
          <w:sz w:val="32"/>
          <w:szCs w:val="32"/>
        </w:rPr>
        <w:t>2017年度本部门由财政部门组织开展的绩效评价项目2个，支出金额共计69.14万元。其中：评价结果等次为优秀的项目0个。评价等次为良好的项目2个，分别是①扶贫工作经费项目,支出13万元，项目资金主要用于扶贫工作调研、示范典型交流推广、扶贫成效评估等；②早茶节经费（专项）项目,支出56.14万元，项目资金主要用于展区设计搭建及开幕式、保安保洁、广告宣传、专题活动、会务费等。评价结果等次为一般的项目0个。</w:t>
      </w:r>
    </w:p>
    <w:p>
      <w:pPr>
        <w:spacing w:line="600" w:lineRule="exact"/>
        <w:rPr>
          <w:rFonts w:ascii="黑体" w:hAnsi="Times New Roman" w:eastAsia="黑体" w:cs="黑体"/>
          <w:color w:val="000000"/>
          <w:sz w:val="32"/>
          <w:szCs w:val="32"/>
        </w:rPr>
      </w:pPr>
    </w:p>
    <w:p>
      <w:pPr>
        <w:spacing w:line="600" w:lineRule="exact"/>
        <w:rPr>
          <w:rFonts w:ascii="黑体" w:hAnsi="Times New Roman" w:eastAsia="黑体" w:cs="黑体"/>
          <w:color w:val="000000"/>
          <w:sz w:val="32"/>
          <w:szCs w:val="32"/>
        </w:rPr>
      </w:pPr>
      <w:r>
        <w:rPr>
          <w:rFonts w:hint="eastAsia" w:ascii="黑体" w:hAnsi="Times New Roman" w:eastAsia="黑体" w:cs="黑体"/>
          <w:b/>
          <w:bCs/>
          <w:sz w:val="32"/>
          <w:szCs w:val="32"/>
        </w:rPr>
        <w:t>四、名词解释（所列具体项目由各部门按本部门情况有选择使用）</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1.财政拨款收入：从同级财政部门取得的财政预算资金，包括公共预算财政拨款和政府性基金预算财政拨款。</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2.事业收入：事业单位开展专业业务活动及辅助活动所取得的收入（含事业单位收到的财政专户实际核拨的资金）。</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3.其他收入：预算单位在“财政拨款”、“事业收入”、“经营收入”、“附属单位上缴收入”等之外取得的各项收入。</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4.年初结转和结余：预算单位以前年度尚未完成、结转到本年仍按原规定用途继续使用的资金，或项目已完成等产生的结余资金。</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5.结余分配：事业单位按照国家规定应交所得税和提取事业基金、专用基金的分配情况和结果。</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6.年末结转和结余：预算单位本年底前的收入预算未执行完毕，需结转下年度按照原用途继续使用的资金，或项目已完成等产生的结余资金。</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7.基本支出：是预算单位为保障其正常运转，完成日常工作任务所发生的支出，包括人员支出和日常公用支出。</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8.项目支出：是预算单位为完成其特定的行政工作任务或事业发展目标所发生的支出。</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9.因公出国（境）费用：反映单位公务出国（境）的国际旅费、国外城市间交通费、住宿费、伙食费、培训费、公杂费等支出。</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10.公务接待费：反映单位按规定开支的各类公务接待（含外宾接待）费用。</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11.公务用车购置：反映公务用车车辆购置支出（含车辆购置税）。</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12.公务用车运行维护费：反映按规定保留的公务用车燃料费、维修费、过桥过路费、保险费、安全奖励费用等支出。</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13.机关运行经费：为保障行政单位和参照公务员法管理的事业单位运行使用一般公共预算财政拨款资金购买货物和服务的各项经费，即使用一般公共预算财政拨款资金安排的基本支出中的日常公用经费。</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14.流动资产：是指一年以内变现或耗用的资产，包括库存现金、银行存款、零余额用款额度、财政应返还额度、应收及预付款项、存货等。</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15.固定资产：是指使用期限超过1年（不含1年），单位价值在规定标准以上，并且在使用过程中基本保持原有物质形态的资产。</w:t>
      </w:r>
    </w:p>
    <w:p>
      <w:pPr>
        <w:pStyle w:val="5"/>
        <w:spacing w:before="0" w:beforeAutospacing="0" w:after="0" w:afterAutospacing="0" w:line="600" w:lineRule="atLeast"/>
        <w:ind w:firstLine="640" w:firstLineChars="200"/>
        <w:rPr>
          <w:rFonts w:ascii="仿宋" w:hAnsi="仿宋" w:eastAsia="仿宋"/>
          <w:kern w:val="2"/>
          <w:sz w:val="32"/>
          <w:szCs w:val="32"/>
        </w:rPr>
      </w:pPr>
      <w:r>
        <w:rPr>
          <w:rFonts w:hint="eastAsia" w:ascii="仿宋" w:hAnsi="仿宋" w:eastAsia="仿宋"/>
          <w:kern w:val="2"/>
          <w:sz w:val="32"/>
          <w:szCs w:val="32"/>
        </w:rPr>
        <w:t>16.无形资产：是指不具有实物形态而能为单位提供某种权利的非货币性资产。包括计算机软件、土地使用权、著作权、专利权、非专利技术等。</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17.医疗卫生与计划生育支出（类）医疗保障（款）：指用于医疗保障方面的支出。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行政单位医疗（项）：指用于财政部门集中安排的行政单位基本医疗保险缴费经费，未参加医疗保险的行政单位的公费医疗经费，按国家规定享受离休人员、红军老战士待遇人员的医疗经费。</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事业单位医疗（项），指用于财政部门集中安排的事业单位基本医疗保险缴费经费，未参加医疗保险的事业单位的公费医疗经费，按国家规定享受离休人员待遇人员的医疗经费。</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18.农林水支出（类）农业（款）：指财政用于种植业、畜牧业、渔业、兽医、农机、农垦、农场、农业产业化经营组织、农村和垦区公益事业、农产品加工等方面的支出。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行政运行（项）：指用于行政单位（包括实行公务员管理的事业单位）的基本支出。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一般行政管理事务（项）：指用于行政单位（包括实行公务员管理的事业单位）未单独设置项级科目的其他项目支出。</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事业运行（项）：指用于农业事业单位基本支出，事业单位设施、系统运行与资产维护等方面的支出。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科技转化与推广服务（项）：指用于农业新品种、新机具、新技术引进、试验、示范、推广等，以及农业系统管理干部、专业技术人员、农民等培训方面的支出。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病虫害控制（项）：指用于病虫鼠害及疫情监测、预报、预防、控制、检疫、防疫所需的仪器、设施、药物、疫苗、种苗，疫畜（禽、鱼、植物）防治、扑杀补偿及劳务补助、菌（毒）种保藏及动植物及其产品检疫、检测等方面的支出。</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农产品质量安全（项）：指用于农业质量标准制定 、实施和监督、投入品监管、残留监控，农产品质量认证、普查、标准化生产示范等方面的支出。</w:t>
      </w:r>
    </w:p>
    <w:p>
      <w:pPr>
        <w:pStyle w:val="5"/>
        <w:spacing w:before="0" w:beforeAutospacing="0" w:after="0" w:afterAutospacing="0" w:line="555" w:lineRule="atLeast"/>
        <w:rPr>
          <w:rFonts w:ascii="仿宋" w:hAnsi="仿宋" w:eastAsia="仿宋"/>
          <w:kern w:val="2"/>
          <w:sz w:val="32"/>
          <w:szCs w:val="32"/>
        </w:rPr>
      </w:pPr>
      <w:r>
        <w:rPr>
          <w:rFonts w:hint="eastAsia" w:ascii="仿宋" w:hAnsi="仿宋" w:eastAsia="仿宋"/>
          <w:kern w:val="2"/>
          <w:sz w:val="32"/>
          <w:szCs w:val="32"/>
        </w:rPr>
        <w:t>     执法监管（项）：指用于农业法制建设、执法监督、纠纷处理、行政复议诉讼，安全生产、农产品质量监管、农资打假与市场监管，草原、农机监理、跨区作业管理、农业机械使用跟踪调查及试验鉴定、渔政、兽医医政、药政管理、防疫检疫监督管理及实验室生物安全管理、农业基本建设项目监管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统计监测与信息服务（项）：指用于农业统计调查与信息收集、整理、分析、发布，以及农业自然资源调查和农业区划等方面的支出。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农业行业业务管理（项）：指用于农业农村政策研究、土地承包管理、审计监督等农业行业一般性基本业务管理工作的支出。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对外交流与合作（项）：指用于对外农业交流合作活动，领导人出访后续项目，招待来访、参观以及来华参加各项国际活动的外国体表团、对外联络等方面的支出。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稳定农民收入补贴（项）：指用于政府为稳定增加农民收入给予的补贴。</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农产品加工与促销（项）：指用于促进农产品加工、储藏、运输、国内外大型农产品展示、交易、产销衔接、开拓国内外农产品市场及农业产业化发展等方面的支出。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农业资源保护修复与利用（项）：指用于农业耕地保护、修复与建设、草原草场生态保护、改良、利用及建设，渔业水产及水生生物资源保护与利用等方面的支出。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其他农业支出（项）：指用于除上述项目以外其他用于农业方面的支出。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19.农林水支出（类）扶贫（款）：指用于农村（包括国有农场、国有林场）扶贫开发等方面的支出。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生产发展（项）:指用于农村贫困地区发展种植业、养殖业、畜牧业、农副产品加工、林果地建设等生产发展项目以及相关技术推广等方面的项目支出。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其他扶贫支出（项）：指用于对革命老区、海岛春节慰问项目：“三老”人员慰问金。</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20.农林水支出（类）农村综合改革（款）：指农村综合改革方面的支出。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其他农村综合改革支出（项）：指用于培育和发展农村资金互助组织及农村产权交易市场方面的支出。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21.农林水支出（类）其他农林水支出（款）：指除上述项目以外其他用于农林水方面的支出。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其他农林水支出（项）：指用于除化解债务支出以外其他用于农林水方面的支出。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22.住房保障支出（类）住房改革支出（款）：反映行政事业单位用财政拨款资金和其他资金等安排的住房改革支出。</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住房公积金（项）:指用于行政事业单位按人力资源和社会保障部、财政部规定的基本工资和津贴补贴以及规定比例为职工缴纳的住房公积金。</w:t>
      </w:r>
    </w:p>
    <w:p>
      <w:pPr>
        <w:pStyle w:val="5"/>
        <w:spacing w:before="0" w:beforeAutospacing="0" w:after="0" w:afterAutospacing="0" w:line="555" w:lineRule="atLeast"/>
        <w:ind w:firstLine="640" w:firstLineChars="200"/>
        <w:rPr>
          <w:rFonts w:ascii="仿宋" w:hAnsi="仿宋" w:eastAsia="仿宋"/>
          <w:kern w:val="2"/>
          <w:sz w:val="32"/>
          <w:szCs w:val="32"/>
        </w:rPr>
      </w:pPr>
      <w:r>
        <w:rPr>
          <w:rFonts w:hint="eastAsia" w:ascii="仿宋" w:hAnsi="仿宋" w:eastAsia="仿宋"/>
          <w:kern w:val="2"/>
          <w:sz w:val="32"/>
          <w:szCs w:val="32"/>
        </w:rPr>
        <w:t>购房补贴（项）：指用于按房改政府规定，行政事业单位向符合条件职工（含离退休人员）、军队（含武警）向转役复员离退人员发放的用于购买住房的补贴。</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17E7"/>
    <w:rsid w:val="00006B4E"/>
    <w:rsid w:val="00026ED6"/>
    <w:rsid w:val="00331F51"/>
    <w:rsid w:val="00406E00"/>
    <w:rsid w:val="00420CF2"/>
    <w:rsid w:val="004C33D3"/>
    <w:rsid w:val="00505D1A"/>
    <w:rsid w:val="00560E2C"/>
    <w:rsid w:val="005D2473"/>
    <w:rsid w:val="005D35FA"/>
    <w:rsid w:val="005D3D02"/>
    <w:rsid w:val="00657D27"/>
    <w:rsid w:val="006C2C87"/>
    <w:rsid w:val="006E549D"/>
    <w:rsid w:val="006F0EAB"/>
    <w:rsid w:val="007006CB"/>
    <w:rsid w:val="007100CB"/>
    <w:rsid w:val="00791642"/>
    <w:rsid w:val="007A630D"/>
    <w:rsid w:val="007B732D"/>
    <w:rsid w:val="0084454E"/>
    <w:rsid w:val="008E08BC"/>
    <w:rsid w:val="008F0A54"/>
    <w:rsid w:val="008F1E54"/>
    <w:rsid w:val="00937F87"/>
    <w:rsid w:val="00A35B7D"/>
    <w:rsid w:val="00A44AFE"/>
    <w:rsid w:val="00A84A65"/>
    <w:rsid w:val="00A97160"/>
    <w:rsid w:val="00B04A41"/>
    <w:rsid w:val="00B24426"/>
    <w:rsid w:val="00BA2B05"/>
    <w:rsid w:val="00C50B99"/>
    <w:rsid w:val="00D117E7"/>
    <w:rsid w:val="00D1258E"/>
    <w:rsid w:val="00D15519"/>
    <w:rsid w:val="00D164C5"/>
    <w:rsid w:val="00DD7110"/>
    <w:rsid w:val="00DE28EA"/>
    <w:rsid w:val="00EA3A4D"/>
    <w:rsid w:val="00EE1A62"/>
    <w:rsid w:val="00F069D3"/>
    <w:rsid w:val="00F7428E"/>
    <w:rsid w:val="00FB3D2F"/>
    <w:rsid w:val="57707423"/>
    <w:rsid w:val="737B2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uiPriority w:val="99"/>
    <w:rPr>
      <w:sz w:val="18"/>
      <w:szCs w:val="18"/>
    </w:rPr>
  </w:style>
  <w:style w:type="paragraph" w:styleId="13">
    <w:name w:val="List Paragraph"/>
    <w:basedOn w:val="1"/>
    <w:qFormat/>
    <w:uiPriority w:val="34"/>
    <w:pPr>
      <w:ind w:firstLine="420" w:firstLineChars="200"/>
    </w:pPr>
  </w:style>
  <w:style w:type="paragraph" w:customStyle="1" w:styleId="14">
    <w:name w:val="正文1"/>
    <w:basedOn w:val="1"/>
    <w:qFormat/>
    <w:uiPriority w:val="0"/>
    <w:pPr>
      <w:widowControl/>
    </w:pPr>
    <w:rPr>
      <w:rFonts w:ascii="Times New Roman" w:hAnsi="Times New Roman" w:eastAsia="Times New Roman" w:cs="Times New Roman"/>
      <w:kern w:val="0"/>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3434</Words>
  <Characters>19577</Characters>
  <Lines>163</Lines>
  <Paragraphs>45</Paragraphs>
  <TotalTime>3958</TotalTime>
  <ScaleCrop>false</ScaleCrop>
  <LinksUpToDate>false</LinksUpToDate>
  <CharactersWithSpaces>22966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2018-08-09T02:35:00Z</cp:lastPrinted>
  <dcterms:modified xsi:type="dcterms:W3CDTF">2022-01-14T02:47:07Z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80D60172B6C040CAA2F8A75207B5A464</vt:lpwstr>
  </property>
</Properties>
</file>