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Style w:val="6"/>
          <w:rFonts w:hint="eastAsia" w:asciiTheme="majorEastAsia" w:hAnsiTheme="majorEastAsia" w:eastAsiaTheme="majorEastAsia" w:cstheme="majorEastAsia"/>
          <w:sz w:val="44"/>
          <w:szCs w:val="44"/>
        </w:rPr>
      </w:pPr>
      <w:r>
        <w:rPr>
          <w:rFonts w:hint="eastAsia" w:asciiTheme="majorEastAsia" w:hAnsiTheme="majorEastAsia" w:eastAsiaTheme="majorEastAsia" w:cstheme="majorEastAsia"/>
          <w:bCs/>
          <w:spacing w:val="15"/>
          <w:sz w:val="44"/>
          <w:szCs w:val="44"/>
          <w:lang w:eastAsia="zh-CN"/>
        </w:rPr>
        <w:t>温州市商务局</w:t>
      </w:r>
      <w:r>
        <w:rPr>
          <w:rFonts w:hint="eastAsia" w:asciiTheme="majorEastAsia" w:hAnsiTheme="majorEastAsia" w:eastAsiaTheme="majorEastAsia" w:cstheme="majorEastAsia"/>
          <w:bCs/>
          <w:spacing w:val="15"/>
          <w:sz w:val="44"/>
          <w:szCs w:val="44"/>
        </w:rPr>
        <w:t>2018年部门预算</w:t>
      </w:r>
    </w:p>
    <w:p>
      <w:pPr>
        <w:spacing w:line="640" w:lineRule="exact"/>
        <w:ind w:firstLine="590" w:firstLineChars="196"/>
        <w:rPr>
          <w:rStyle w:val="6"/>
          <w:rFonts w:hint="eastAsia"/>
          <w:color w:val="000000"/>
          <w:sz w:val="30"/>
          <w:szCs w:val="30"/>
        </w:rPr>
      </w:pPr>
    </w:p>
    <w:p>
      <w:pPr>
        <w:spacing w:line="300" w:lineRule="auto"/>
        <w:ind w:firstLine="627" w:firstLineChars="196"/>
        <w:rPr>
          <w:rStyle w:val="6"/>
          <w:rFonts w:hint="eastAsia" w:ascii="黑体" w:eastAsia="黑体"/>
          <w:b w:val="0"/>
          <w:color w:val="000000"/>
          <w:sz w:val="32"/>
          <w:szCs w:val="32"/>
        </w:rPr>
      </w:pPr>
      <w:r>
        <w:rPr>
          <w:rStyle w:val="6"/>
          <w:rFonts w:hint="eastAsia" w:ascii="黑体" w:eastAsia="黑体"/>
          <w:b w:val="0"/>
          <w:color w:val="000000"/>
          <w:sz w:val="32"/>
          <w:szCs w:val="32"/>
        </w:rPr>
        <w:t>一、</w:t>
      </w:r>
      <w:r>
        <w:rPr>
          <w:rFonts w:hint="eastAsia" w:ascii="黑体" w:hAnsi="ˎ̥" w:eastAsia="黑体" w:cs="宋体"/>
          <w:sz w:val="32"/>
          <w:szCs w:val="32"/>
        </w:rPr>
        <w:t>温州市商务局</w:t>
      </w:r>
      <w:r>
        <w:rPr>
          <w:rStyle w:val="6"/>
          <w:rFonts w:hint="eastAsia" w:ascii="黑体" w:eastAsia="黑体"/>
          <w:b w:val="0"/>
          <w:color w:val="000000"/>
          <w:sz w:val="32"/>
          <w:szCs w:val="32"/>
        </w:rPr>
        <w:t>概况</w:t>
      </w:r>
    </w:p>
    <w:p>
      <w:pPr>
        <w:spacing w:line="64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(一)主要职能</w:t>
      </w:r>
    </w:p>
    <w:p>
      <w:pPr>
        <w:adjustRightInd w:val="0"/>
        <w:snapToGrid w:val="0"/>
        <w:spacing w:line="360" w:lineRule="auto"/>
        <w:ind w:firstLine="648"/>
        <w:rPr>
          <w:rFonts w:hint="eastAsia" w:eastAsia="仿宋_GB2312"/>
          <w:snapToGrid w:val="0"/>
          <w:kern w:val="0"/>
          <w:sz w:val="32"/>
          <w:szCs w:val="32"/>
        </w:rPr>
      </w:pPr>
      <w:r>
        <w:rPr>
          <w:rFonts w:hint="eastAsia" w:ascii="仿宋" w:hAnsi="仿宋" w:eastAsia="仿宋" w:cs="仿宋"/>
          <w:snapToGrid w:val="0"/>
          <w:kern w:val="0"/>
          <w:sz w:val="32"/>
          <w:szCs w:val="32"/>
        </w:rPr>
        <w:t>1</w:t>
      </w:r>
      <w:r>
        <w:rPr>
          <w:rFonts w:hint="eastAsia" w:ascii="仿宋" w:hAnsi="仿宋" w:eastAsia="仿宋" w:cs="仿宋"/>
          <w:snapToGrid w:val="0"/>
          <w:kern w:val="0"/>
          <w:sz w:val="32"/>
          <w:szCs w:val="32"/>
          <w:lang w:val="en-US" w:eastAsia="zh-CN"/>
        </w:rPr>
        <w:t>.</w:t>
      </w:r>
      <w:r>
        <w:rPr>
          <w:rFonts w:hint="eastAsia" w:eastAsia="仿宋_GB2312"/>
          <w:snapToGrid w:val="0"/>
          <w:kern w:val="0"/>
          <w:sz w:val="32"/>
          <w:szCs w:val="32"/>
        </w:rPr>
        <w:t>贯彻执行国家和省有关国内外贸易、外商投资、对外投资与经济合作的法律、法规、规章和方针政策；组织拟订我市相关的政策，起草有关规范性文件，经审议通过后组织实施。</w:t>
      </w:r>
    </w:p>
    <w:p>
      <w:pPr>
        <w:adjustRightInd w:val="0"/>
        <w:snapToGrid w:val="0"/>
        <w:spacing w:line="360" w:lineRule="auto"/>
        <w:ind w:firstLine="648"/>
        <w:rPr>
          <w:rFonts w:hint="eastAsia" w:eastAsia="仿宋_GB2312"/>
          <w:snapToGrid w:val="0"/>
          <w:kern w:val="0"/>
          <w:sz w:val="32"/>
          <w:szCs w:val="32"/>
        </w:rPr>
      </w:pPr>
      <w:r>
        <w:rPr>
          <w:rFonts w:hint="eastAsia" w:ascii="仿宋" w:hAnsi="仿宋" w:eastAsia="仿宋" w:cs="仿宋"/>
          <w:snapToGrid w:val="0"/>
          <w:kern w:val="0"/>
          <w:sz w:val="32"/>
          <w:szCs w:val="32"/>
        </w:rPr>
        <w:t>2</w:t>
      </w:r>
      <w:r>
        <w:rPr>
          <w:rFonts w:hint="eastAsia" w:ascii="仿宋" w:hAnsi="仿宋" w:eastAsia="仿宋" w:cs="仿宋"/>
          <w:snapToGrid w:val="0"/>
          <w:kern w:val="0"/>
          <w:sz w:val="32"/>
          <w:szCs w:val="32"/>
          <w:lang w:val="en-US" w:eastAsia="zh-CN"/>
        </w:rPr>
        <w:t>.</w:t>
      </w:r>
      <w:r>
        <w:rPr>
          <w:rFonts w:hint="eastAsia" w:eastAsia="仿宋_GB2312"/>
          <w:snapToGrid w:val="0"/>
          <w:kern w:val="0"/>
          <w:sz w:val="32"/>
          <w:szCs w:val="32"/>
        </w:rPr>
        <w:t>研究国内外经济发展趋势，负责拟订经济对外开放战略和开拓国内市场发展战略，协调经济对外开放布局；拟订并实施全市国内外贸易、国际经济合作的发展战略和实施规划；监测分析商务运行状况。</w:t>
      </w:r>
    </w:p>
    <w:p>
      <w:pPr>
        <w:adjustRightInd w:val="0"/>
        <w:snapToGrid w:val="0"/>
        <w:spacing w:line="360" w:lineRule="auto"/>
        <w:ind w:firstLine="648"/>
        <w:rPr>
          <w:rFonts w:hint="eastAsia" w:eastAsia="仿宋_GB2312"/>
          <w:snapToGrid w:val="0"/>
          <w:kern w:val="0"/>
          <w:sz w:val="32"/>
          <w:szCs w:val="32"/>
        </w:rPr>
      </w:pPr>
      <w:r>
        <w:rPr>
          <w:rFonts w:hint="eastAsia" w:ascii="仿宋" w:hAnsi="仿宋" w:eastAsia="仿宋" w:cs="仿宋"/>
          <w:snapToGrid w:val="0"/>
          <w:kern w:val="0"/>
          <w:sz w:val="32"/>
          <w:szCs w:val="32"/>
        </w:rPr>
        <w:t>3</w:t>
      </w:r>
      <w:r>
        <w:rPr>
          <w:rFonts w:hint="eastAsia" w:ascii="仿宋" w:hAnsi="仿宋" w:eastAsia="仿宋" w:cs="仿宋"/>
          <w:snapToGrid w:val="0"/>
          <w:kern w:val="0"/>
          <w:sz w:val="32"/>
          <w:szCs w:val="32"/>
          <w:lang w:val="en-US" w:eastAsia="zh-CN"/>
        </w:rPr>
        <w:t>.</w:t>
      </w:r>
      <w:r>
        <w:rPr>
          <w:rFonts w:hint="eastAsia" w:eastAsia="仿宋_GB2312"/>
          <w:snapToGrid w:val="0"/>
          <w:kern w:val="0"/>
          <w:sz w:val="32"/>
          <w:szCs w:val="32"/>
        </w:rPr>
        <w:t>负责按规定承担国内外贸易、外商投资、对外投资与经济合作各类专项资金的申报和组织实施；推进流通标准化、信息化。</w:t>
      </w:r>
    </w:p>
    <w:p>
      <w:pPr>
        <w:adjustRightInd w:val="0"/>
        <w:snapToGrid w:val="0"/>
        <w:spacing w:line="360" w:lineRule="auto"/>
        <w:ind w:firstLine="648"/>
        <w:rPr>
          <w:rFonts w:hint="eastAsia" w:eastAsia="仿宋_GB2312"/>
          <w:snapToGrid w:val="0"/>
          <w:kern w:val="0"/>
          <w:sz w:val="32"/>
          <w:szCs w:val="32"/>
        </w:rPr>
      </w:pPr>
      <w:r>
        <w:rPr>
          <w:rFonts w:hint="eastAsia" w:ascii="仿宋" w:hAnsi="仿宋" w:eastAsia="仿宋" w:cs="仿宋"/>
          <w:snapToGrid w:val="0"/>
          <w:kern w:val="0"/>
          <w:sz w:val="32"/>
          <w:szCs w:val="32"/>
        </w:rPr>
        <w:t>4</w:t>
      </w:r>
      <w:r>
        <w:rPr>
          <w:rFonts w:hint="eastAsia" w:ascii="仿宋" w:hAnsi="仿宋" w:eastAsia="仿宋" w:cs="仿宋"/>
          <w:snapToGrid w:val="0"/>
          <w:kern w:val="0"/>
          <w:sz w:val="32"/>
          <w:szCs w:val="32"/>
          <w:lang w:val="en-US" w:eastAsia="zh-CN"/>
        </w:rPr>
        <w:t>.</w:t>
      </w:r>
      <w:r>
        <w:rPr>
          <w:rFonts w:hint="eastAsia" w:eastAsia="仿宋_GB2312"/>
          <w:snapToGrid w:val="0"/>
          <w:kern w:val="0"/>
          <w:sz w:val="32"/>
          <w:szCs w:val="32"/>
        </w:rPr>
        <w:t>负责推动内外贸融合，推进国内外市场的开拓，促进市场信息平台和营销网络建设。</w:t>
      </w:r>
    </w:p>
    <w:p>
      <w:pPr>
        <w:adjustRightInd w:val="0"/>
        <w:snapToGrid w:val="0"/>
        <w:spacing w:line="360" w:lineRule="auto"/>
        <w:ind w:firstLine="648"/>
        <w:rPr>
          <w:rFonts w:hint="eastAsia" w:eastAsia="仿宋_GB2312"/>
          <w:snapToGrid w:val="0"/>
          <w:kern w:val="0"/>
          <w:sz w:val="32"/>
          <w:szCs w:val="32"/>
        </w:rPr>
      </w:pPr>
      <w:r>
        <w:rPr>
          <w:rFonts w:hint="eastAsia" w:ascii="仿宋" w:hAnsi="仿宋" w:eastAsia="仿宋" w:cs="仿宋"/>
          <w:snapToGrid w:val="0"/>
          <w:kern w:val="0"/>
          <w:sz w:val="32"/>
          <w:szCs w:val="32"/>
        </w:rPr>
        <w:t>5</w:t>
      </w:r>
      <w:r>
        <w:rPr>
          <w:rFonts w:hint="eastAsia" w:ascii="仿宋" w:hAnsi="仿宋" w:eastAsia="仿宋" w:cs="仿宋"/>
          <w:snapToGrid w:val="0"/>
          <w:kern w:val="0"/>
          <w:sz w:val="32"/>
          <w:szCs w:val="32"/>
          <w:lang w:val="en-US" w:eastAsia="zh-CN"/>
        </w:rPr>
        <w:t>.</w:t>
      </w:r>
      <w:r>
        <w:rPr>
          <w:rFonts w:hint="eastAsia" w:eastAsia="仿宋_GB2312"/>
          <w:snapToGrid w:val="0"/>
          <w:kern w:val="0"/>
          <w:sz w:val="32"/>
          <w:szCs w:val="32"/>
          <w:lang w:eastAsia="zh-CN"/>
        </w:rPr>
        <w:t>负责</w:t>
      </w:r>
      <w:r>
        <w:rPr>
          <w:rFonts w:hint="eastAsia" w:eastAsia="仿宋_GB2312"/>
          <w:snapToGrid w:val="0"/>
          <w:kern w:val="0"/>
          <w:sz w:val="32"/>
          <w:szCs w:val="32"/>
        </w:rPr>
        <w:t>研究全市扩大内需、促进消费协调发展的宏观建议和政策措施</w:t>
      </w:r>
      <w:r>
        <w:rPr>
          <w:rFonts w:hint="eastAsia" w:eastAsia="仿宋_GB2312"/>
          <w:snapToGrid w:val="0"/>
          <w:kern w:val="0"/>
          <w:sz w:val="32"/>
          <w:szCs w:val="32"/>
          <w:lang w:eastAsia="zh-CN"/>
        </w:rPr>
        <w:t>；</w:t>
      </w:r>
      <w:r>
        <w:rPr>
          <w:rFonts w:hint="eastAsia" w:eastAsia="仿宋_GB2312"/>
          <w:snapToGrid w:val="0"/>
          <w:kern w:val="0"/>
          <w:sz w:val="32"/>
          <w:szCs w:val="32"/>
        </w:rPr>
        <w:t>拟订商贸流通产业发展战略、规划和政策并组织实施</w:t>
      </w:r>
      <w:r>
        <w:rPr>
          <w:rFonts w:hint="eastAsia" w:eastAsia="仿宋_GB2312"/>
          <w:snapToGrid w:val="0"/>
          <w:kern w:val="0"/>
          <w:sz w:val="32"/>
          <w:szCs w:val="32"/>
          <w:lang w:eastAsia="zh-CN"/>
        </w:rPr>
        <w:t>；</w:t>
      </w:r>
      <w:r>
        <w:rPr>
          <w:rFonts w:hint="eastAsia" w:eastAsia="仿宋_GB2312"/>
          <w:snapToGrid w:val="0"/>
          <w:kern w:val="0"/>
          <w:sz w:val="32"/>
          <w:szCs w:val="32"/>
        </w:rPr>
        <w:t>牵头商贸流通领域的相关综合工作</w:t>
      </w:r>
      <w:r>
        <w:rPr>
          <w:rFonts w:hint="eastAsia" w:eastAsia="仿宋_GB2312"/>
          <w:snapToGrid w:val="0"/>
          <w:kern w:val="0"/>
          <w:sz w:val="32"/>
          <w:szCs w:val="32"/>
          <w:lang w:eastAsia="zh-CN"/>
        </w:rPr>
        <w:t>；</w:t>
      </w:r>
      <w:r>
        <w:rPr>
          <w:rFonts w:hint="eastAsia" w:eastAsia="仿宋_GB2312"/>
          <w:snapToGrid w:val="0"/>
          <w:kern w:val="0"/>
          <w:sz w:val="32"/>
          <w:szCs w:val="32"/>
        </w:rPr>
        <w:t>指导协调全市市场流通设施建设规划、总体布局和重大项目，参与协调重要商品流通体制改革重大问题，参与制订有关市场流通的政策意见</w:t>
      </w:r>
      <w:r>
        <w:rPr>
          <w:rFonts w:hint="eastAsia" w:eastAsia="仿宋_GB2312"/>
          <w:snapToGrid w:val="0"/>
          <w:kern w:val="0"/>
          <w:sz w:val="32"/>
          <w:szCs w:val="32"/>
          <w:lang w:eastAsia="zh-CN"/>
        </w:rPr>
        <w:t>；</w:t>
      </w:r>
      <w:r>
        <w:rPr>
          <w:rFonts w:hint="eastAsia" w:eastAsia="仿宋_GB2312"/>
          <w:snapToGrid w:val="0"/>
          <w:kern w:val="0"/>
          <w:sz w:val="32"/>
          <w:szCs w:val="32"/>
        </w:rPr>
        <w:t>推进流通产业结构调整，研究拟订连锁经营、现代会展</w:t>
      </w:r>
      <w:r>
        <w:rPr>
          <w:rFonts w:hint="eastAsia" w:eastAsia="仿宋_GB2312"/>
          <w:snapToGrid w:val="0"/>
          <w:kern w:val="0"/>
          <w:sz w:val="32"/>
          <w:szCs w:val="32"/>
          <w:lang w:eastAsia="zh-CN"/>
        </w:rPr>
        <w:t>、</w:t>
      </w:r>
      <w:r>
        <w:rPr>
          <w:rFonts w:hint="eastAsia" w:ascii="仿宋_GB2312" w:eastAsia="仿宋_GB2312"/>
          <w:spacing w:val="-4"/>
          <w:sz w:val="32"/>
          <w:szCs w:val="32"/>
        </w:rPr>
        <w:t>电子商务</w:t>
      </w:r>
      <w:r>
        <w:rPr>
          <w:rFonts w:hint="eastAsia" w:eastAsia="仿宋_GB2312"/>
          <w:snapToGrid w:val="0"/>
          <w:kern w:val="0"/>
          <w:sz w:val="32"/>
          <w:szCs w:val="32"/>
        </w:rPr>
        <w:t>等流通方式发展规划、政策，并组织实施</w:t>
      </w:r>
      <w:r>
        <w:rPr>
          <w:rFonts w:hint="eastAsia" w:eastAsia="仿宋_GB2312"/>
          <w:snapToGrid w:val="0"/>
          <w:kern w:val="0"/>
          <w:sz w:val="32"/>
          <w:szCs w:val="32"/>
          <w:lang w:eastAsia="zh-CN"/>
        </w:rPr>
        <w:t>；</w:t>
      </w:r>
      <w:r>
        <w:rPr>
          <w:rFonts w:hint="eastAsia" w:eastAsia="仿宋_GB2312"/>
          <w:snapToGrid w:val="0"/>
          <w:kern w:val="0"/>
          <w:sz w:val="32"/>
          <w:szCs w:val="32"/>
        </w:rPr>
        <w:t>指导流通体制和流通企业改革，培育大型流通企业，促进中小流通企业发展，培育商贸流通品牌</w:t>
      </w:r>
      <w:r>
        <w:rPr>
          <w:rFonts w:hint="eastAsia" w:eastAsia="仿宋_GB2312"/>
          <w:snapToGrid w:val="0"/>
          <w:kern w:val="0"/>
          <w:sz w:val="32"/>
          <w:szCs w:val="32"/>
          <w:lang w:eastAsia="zh-CN"/>
        </w:rPr>
        <w:t>；</w:t>
      </w:r>
      <w:r>
        <w:rPr>
          <w:rFonts w:hint="eastAsia" w:eastAsia="仿宋_GB2312"/>
          <w:snapToGrid w:val="0"/>
          <w:kern w:val="0"/>
          <w:sz w:val="32"/>
          <w:szCs w:val="32"/>
        </w:rPr>
        <w:t>承担百货业等传统流通业态行业管理</w:t>
      </w:r>
      <w:r>
        <w:rPr>
          <w:rFonts w:hint="eastAsia" w:eastAsia="仿宋_GB2312"/>
          <w:snapToGrid w:val="0"/>
          <w:kern w:val="0"/>
          <w:sz w:val="32"/>
          <w:szCs w:val="32"/>
          <w:lang w:eastAsia="zh-CN"/>
        </w:rPr>
        <w:t>；</w:t>
      </w:r>
      <w:r>
        <w:rPr>
          <w:rFonts w:hint="eastAsia" w:eastAsia="仿宋_GB2312"/>
          <w:snapToGrid w:val="0"/>
          <w:kern w:val="0"/>
          <w:sz w:val="32"/>
          <w:szCs w:val="32"/>
        </w:rPr>
        <w:t>指导和促进消费升级</w:t>
      </w:r>
      <w:r>
        <w:rPr>
          <w:rFonts w:hint="eastAsia" w:eastAsia="仿宋_GB2312"/>
          <w:snapToGrid w:val="0"/>
          <w:kern w:val="0"/>
          <w:sz w:val="32"/>
          <w:szCs w:val="32"/>
          <w:lang w:eastAsia="zh-CN"/>
        </w:rPr>
        <w:t>；</w:t>
      </w:r>
      <w:r>
        <w:rPr>
          <w:rFonts w:hint="eastAsia" w:eastAsia="仿宋_GB2312"/>
          <w:snapToGrid w:val="0"/>
          <w:kern w:val="0"/>
          <w:sz w:val="32"/>
          <w:szCs w:val="32"/>
        </w:rPr>
        <w:t>承担商贸服务业(含餐饮业、住宿业)的行业管理，指导社区商业发展</w:t>
      </w:r>
      <w:r>
        <w:rPr>
          <w:rFonts w:hint="eastAsia" w:eastAsia="仿宋_GB2312"/>
          <w:snapToGrid w:val="0"/>
          <w:kern w:val="0"/>
          <w:sz w:val="32"/>
          <w:szCs w:val="32"/>
          <w:lang w:eastAsia="zh-CN"/>
        </w:rPr>
        <w:t>；</w:t>
      </w:r>
      <w:r>
        <w:rPr>
          <w:rFonts w:hint="eastAsia" w:eastAsia="仿宋_GB2312"/>
          <w:snapToGrid w:val="0"/>
          <w:kern w:val="0"/>
          <w:sz w:val="32"/>
          <w:szCs w:val="32"/>
        </w:rPr>
        <w:t>承担全市成品油仓储和市区加油站行业发展规划的制定并实施，按规定承担成品油市场运行和经营活动的监督管理</w:t>
      </w:r>
      <w:r>
        <w:rPr>
          <w:rFonts w:hint="eastAsia" w:eastAsia="仿宋_GB2312"/>
          <w:snapToGrid w:val="0"/>
          <w:kern w:val="0"/>
          <w:sz w:val="32"/>
          <w:szCs w:val="32"/>
          <w:lang w:eastAsia="zh-CN"/>
        </w:rPr>
        <w:t>；</w:t>
      </w:r>
      <w:r>
        <w:rPr>
          <w:rFonts w:hint="eastAsia" w:eastAsia="仿宋_GB2312"/>
          <w:snapToGrid w:val="0"/>
          <w:kern w:val="0"/>
          <w:sz w:val="32"/>
          <w:szCs w:val="32"/>
        </w:rPr>
        <w:t>推广使用甲醇汽油等替代燃油。</w:t>
      </w:r>
    </w:p>
    <w:p>
      <w:pPr>
        <w:adjustRightInd w:val="0"/>
        <w:snapToGrid w:val="0"/>
        <w:spacing w:line="360" w:lineRule="auto"/>
        <w:ind w:firstLine="648"/>
        <w:rPr>
          <w:rFonts w:hint="eastAsia" w:eastAsia="仿宋_GB2312"/>
          <w:snapToGrid w:val="0"/>
          <w:kern w:val="0"/>
          <w:sz w:val="32"/>
          <w:szCs w:val="32"/>
        </w:rPr>
      </w:pPr>
      <w:r>
        <w:rPr>
          <w:rFonts w:hint="eastAsia" w:ascii="仿宋" w:hAnsi="仿宋" w:eastAsia="仿宋" w:cs="仿宋"/>
          <w:snapToGrid w:val="0"/>
          <w:kern w:val="0"/>
          <w:sz w:val="32"/>
          <w:szCs w:val="32"/>
        </w:rPr>
        <w:t>6</w:t>
      </w:r>
      <w:r>
        <w:rPr>
          <w:rFonts w:hint="eastAsia" w:ascii="仿宋" w:hAnsi="仿宋" w:eastAsia="仿宋" w:cs="仿宋"/>
          <w:snapToGrid w:val="0"/>
          <w:kern w:val="0"/>
          <w:sz w:val="32"/>
          <w:szCs w:val="32"/>
          <w:lang w:val="en-US" w:eastAsia="zh-CN"/>
        </w:rPr>
        <w:t>.</w:t>
      </w:r>
      <w:r>
        <w:rPr>
          <w:rFonts w:hint="eastAsia" w:eastAsia="仿宋_GB2312"/>
          <w:snapToGrid w:val="0"/>
          <w:kern w:val="0"/>
          <w:sz w:val="32"/>
          <w:szCs w:val="32"/>
        </w:rPr>
        <w:t>负责组织拟订规范市场体系的政策和规范性文件，推进流通领域标准化建设</w:t>
      </w:r>
      <w:r>
        <w:rPr>
          <w:rFonts w:hint="eastAsia" w:eastAsia="仿宋_GB2312"/>
          <w:snapToGrid w:val="0"/>
          <w:kern w:val="0"/>
          <w:sz w:val="32"/>
          <w:szCs w:val="32"/>
          <w:lang w:eastAsia="zh-CN"/>
        </w:rPr>
        <w:t>；</w:t>
      </w:r>
      <w:r>
        <w:rPr>
          <w:rFonts w:hint="eastAsia" w:eastAsia="仿宋_GB2312"/>
          <w:snapToGrid w:val="0"/>
          <w:kern w:val="0"/>
          <w:sz w:val="32"/>
          <w:szCs w:val="32"/>
        </w:rPr>
        <w:t>承担商品市场的规划引导及提升发展，推进农村市场体系建设和现代流通体系建设</w:t>
      </w:r>
      <w:r>
        <w:rPr>
          <w:rFonts w:hint="eastAsia" w:eastAsia="仿宋_GB2312"/>
          <w:snapToGrid w:val="0"/>
          <w:kern w:val="0"/>
          <w:sz w:val="32"/>
          <w:szCs w:val="32"/>
          <w:lang w:eastAsia="zh-CN"/>
        </w:rPr>
        <w:t>；</w:t>
      </w:r>
      <w:r>
        <w:rPr>
          <w:rFonts w:hint="eastAsia" w:eastAsia="仿宋_GB2312"/>
          <w:snapToGrid w:val="0"/>
          <w:kern w:val="0"/>
          <w:sz w:val="32"/>
          <w:szCs w:val="32"/>
        </w:rPr>
        <w:t>拟订城市商业网点规划和专业市场规划，指导和推进商贸设施建设</w:t>
      </w:r>
      <w:r>
        <w:rPr>
          <w:rFonts w:hint="eastAsia" w:eastAsia="仿宋_GB2312"/>
          <w:snapToGrid w:val="0"/>
          <w:kern w:val="0"/>
          <w:sz w:val="32"/>
          <w:szCs w:val="32"/>
          <w:lang w:eastAsia="zh-CN"/>
        </w:rPr>
        <w:t>；</w:t>
      </w:r>
      <w:r>
        <w:rPr>
          <w:rFonts w:hint="eastAsia" w:eastAsia="仿宋_GB2312"/>
          <w:snapToGrid w:val="0"/>
          <w:kern w:val="0"/>
          <w:sz w:val="32"/>
          <w:szCs w:val="32"/>
        </w:rPr>
        <w:t>组织实施重要消费品市场调控，解决市场运行的重大问题</w:t>
      </w:r>
      <w:r>
        <w:rPr>
          <w:rFonts w:hint="eastAsia" w:eastAsia="仿宋_GB2312"/>
          <w:snapToGrid w:val="0"/>
          <w:kern w:val="0"/>
          <w:sz w:val="32"/>
          <w:szCs w:val="32"/>
          <w:lang w:eastAsia="zh-CN"/>
        </w:rPr>
        <w:t>；</w:t>
      </w:r>
      <w:r>
        <w:rPr>
          <w:rFonts w:hint="eastAsia" w:eastAsia="仿宋_GB2312"/>
          <w:snapToGrid w:val="0"/>
          <w:kern w:val="0"/>
          <w:sz w:val="32"/>
          <w:szCs w:val="32"/>
        </w:rPr>
        <w:t>负责肉类等国家储备的收储和投放工作</w:t>
      </w:r>
      <w:r>
        <w:rPr>
          <w:rFonts w:hint="eastAsia" w:eastAsia="仿宋_GB2312"/>
          <w:snapToGrid w:val="0"/>
          <w:kern w:val="0"/>
          <w:sz w:val="32"/>
          <w:szCs w:val="32"/>
          <w:lang w:eastAsia="zh-CN"/>
        </w:rPr>
        <w:t>；</w:t>
      </w:r>
      <w:r>
        <w:rPr>
          <w:rFonts w:hint="eastAsia" w:eastAsia="仿宋_GB2312"/>
          <w:snapToGrid w:val="0"/>
          <w:kern w:val="0"/>
          <w:sz w:val="32"/>
          <w:szCs w:val="32"/>
        </w:rPr>
        <w:t>指导“菜篮子”产品流通的行业管理</w:t>
      </w:r>
      <w:r>
        <w:rPr>
          <w:rFonts w:hint="eastAsia" w:eastAsia="仿宋_GB2312"/>
          <w:snapToGrid w:val="0"/>
          <w:kern w:val="0"/>
          <w:sz w:val="32"/>
          <w:szCs w:val="32"/>
          <w:lang w:eastAsia="zh-CN"/>
        </w:rPr>
        <w:t>；</w:t>
      </w:r>
      <w:r>
        <w:rPr>
          <w:rFonts w:hint="eastAsia" w:eastAsia="仿宋_GB2312"/>
          <w:snapToGrid w:val="0"/>
          <w:kern w:val="0"/>
          <w:sz w:val="32"/>
          <w:szCs w:val="32"/>
        </w:rPr>
        <w:t>协调酒类流通管理工作</w:t>
      </w:r>
      <w:r>
        <w:rPr>
          <w:rFonts w:hint="eastAsia" w:eastAsia="仿宋_GB2312"/>
          <w:snapToGrid w:val="0"/>
          <w:kern w:val="0"/>
          <w:sz w:val="32"/>
          <w:szCs w:val="32"/>
          <w:lang w:eastAsia="zh-CN"/>
        </w:rPr>
        <w:t>；</w:t>
      </w:r>
      <w:r>
        <w:rPr>
          <w:rFonts w:hint="eastAsia" w:eastAsia="仿宋_GB2312"/>
          <w:snapToGrid w:val="0"/>
          <w:kern w:val="0"/>
          <w:sz w:val="32"/>
          <w:szCs w:val="32"/>
        </w:rPr>
        <w:t>承担全市突发公共事件生活必需品市场供应应急管理的有关工作</w:t>
      </w:r>
      <w:r>
        <w:rPr>
          <w:rFonts w:hint="eastAsia" w:eastAsia="仿宋_GB2312"/>
          <w:snapToGrid w:val="0"/>
          <w:kern w:val="0"/>
          <w:sz w:val="32"/>
          <w:szCs w:val="32"/>
          <w:lang w:eastAsia="zh-CN"/>
        </w:rPr>
        <w:t>；</w:t>
      </w:r>
      <w:r>
        <w:rPr>
          <w:rFonts w:hint="eastAsia" w:eastAsia="仿宋_GB2312"/>
          <w:snapToGrid w:val="0"/>
          <w:kern w:val="0"/>
          <w:sz w:val="32"/>
          <w:szCs w:val="32"/>
        </w:rPr>
        <w:t>指导开拓城乡市场、促进消费升级</w:t>
      </w:r>
      <w:r>
        <w:rPr>
          <w:rFonts w:hint="eastAsia" w:eastAsia="仿宋_GB2312"/>
          <w:snapToGrid w:val="0"/>
          <w:kern w:val="0"/>
          <w:sz w:val="32"/>
          <w:szCs w:val="32"/>
          <w:lang w:eastAsia="zh-CN"/>
        </w:rPr>
        <w:t>；</w:t>
      </w:r>
      <w:r>
        <w:rPr>
          <w:rFonts w:hint="eastAsia" w:eastAsia="仿宋_GB2312"/>
          <w:snapToGrid w:val="0"/>
          <w:kern w:val="0"/>
          <w:sz w:val="32"/>
          <w:szCs w:val="32"/>
        </w:rPr>
        <w:t>指导管理拍卖、典当、内资直销、汽车、旧货等特殊流通行业</w:t>
      </w:r>
      <w:r>
        <w:rPr>
          <w:rFonts w:hint="eastAsia" w:eastAsia="仿宋_GB2312"/>
          <w:snapToGrid w:val="0"/>
          <w:kern w:val="0"/>
          <w:sz w:val="32"/>
          <w:szCs w:val="32"/>
          <w:lang w:eastAsia="zh-CN"/>
        </w:rPr>
        <w:t>；</w:t>
      </w:r>
      <w:r>
        <w:rPr>
          <w:rFonts w:hint="eastAsia" w:eastAsia="仿宋_GB2312"/>
          <w:snapToGrid w:val="0"/>
          <w:kern w:val="0"/>
          <w:sz w:val="32"/>
          <w:szCs w:val="32"/>
        </w:rPr>
        <w:t>负责市场运行的统计、分析、预警和信息发布，并提出行业发展建议。</w:t>
      </w:r>
    </w:p>
    <w:p>
      <w:pPr>
        <w:adjustRightInd w:val="0"/>
        <w:snapToGrid w:val="0"/>
        <w:spacing w:line="360" w:lineRule="auto"/>
        <w:ind w:firstLine="648"/>
        <w:rPr>
          <w:rFonts w:hint="eastAsia" w:eastAsia="仿宋_GB2312"/>
          <w:snapToGrid w:val="0"/>
          <w:kern w:val="0"/>
          <w:sz w:val="32"/>
          <w:szCs w:val="32"/>
        </w:rPr>
      </w:pPr>
      <w:r>
        <w:rPr>
          <w:rFonts w:hint="eastAsia" w:ascii="仿宋" w:hAnsi="仿宋" w:eastAsia="仿宋" w:cs="仿宋"/>
          <w:snapToGrid w:val="0"/>
          <w:kern w:val="0"/>
          <w:sz w:val="32"/>
          <w:szCs w:val="32"/>
          <w:lang w:val="en-US" w:eastAsia="zh-CN"/>
        </w:rPr>
        <w:t>7.</w:t>
      </w:r>
      <w:r>
        <w:rPr>
          <w:rFonts w:hint="eastAsia" w:eastAsia="仿宋_GB2312"/>
          <w:snapToGrid w:val="0"/>
          <w:kern w:val="0"/>
          <w:sz w:val="32"/>
          <w:szCs w:val="32"/>
        </w:rPr>
        <w:t>负责牵头协调整顿和规范市场经济秩序的相关工作；拟订规范市场经济秩序的政策，牵头协调整顿和规范市场经济秩序的相关工作</w:t>
      </w:r>
      <w:r>
        <w:rPr>
          <w:rFonts w:hint="eastAsia" w:eastAsia="仿宋_GB2312"/>
          <w:snapToGrid w:val="0"/>
          <w:kern w:val="0"/>
          <w:sz w:val="32"/>
          <w:szCs w:val="32"/>
          <w:lang w:eastAsia="zh-CN"/>
        </w:rPr>
        <w:t>；</w:t>
      </w:r>
      <w:r>
        <w:rPr>
          <w:rFonts w:hint="eastAsia" w:eastAsia="仿宋_GB2312"/>
          <w:snapToGrid w:val="0"/>
          <w:kern w:val="0"/>
          <w:sz w:val="32"/>
          <w:szCs w:val="32"/>
        </w:rPr>
        <w:t>推动商务领域信用建设，指导商业信用销售，建立市场诚信公共服务平台，参与打击商业欺诈工作</w:t>
      </w:r>
      <w:r>
        <w:rPr>
          <w:rFonts w:hint="eastAsia" w:eastAsia="仿宋_GB2312"/>
          <w:snapToGrid w:val="0"/>
          <w:kern w:val="0"/>
          <w:sz w:val="32"/>
          <w:szCs w:val="32"/>
          <w:lang w:eastAsia="zh-CN"/>
        </w:rPr>
        <w:t>；</w:t>
      </w:r>
      <w:r>
        <w:rPr>
          <w:rFonts w:hint="eastAsia" w:eastAsia="仿宋_GB2312"/>
          <w:snapToGrid w:val="0"/>
          <w:kern w:val="0"/>
          <w:sz w:val="32"/>
          <w:szCs w:val="32"/>
        </w:rPr>
        <w:t>指导商贸行业职业道德建设</w:t>
      </w:r>
      <w:r>
        <w:rPr>
          <w:rFonts w:hint="eastAsia" w:eastAsia="仿宋_GB2312"/>
          <w:snapToGrid w:val="0"/>
          <w:kern w:val="0"/>
          <w:sz w:val="32"/>
          <w:szCs w:val="32"/>
          <w:lang w:eastAsia="zh-CN"/>
        </w:rPr>
        <w:t>；</w:t>
      </w:r>
      <w:r>
        <w:rPr>
          <w:rFonts w:hint="eastAsia" w:eastAsia="仿宋_GB2312"/>
          <w:snapToGrid w:val="0"/>
          <w:kern w:val="0"/>
          <w:sz w:val="32"/>
          <w:szCs w:val="32"/>
        </w:rPr>
        <w:t>承担单用途商业预付卡的监管和备案</w:t>
      </w:r>
      <w:r>
        <w:rPr>
          <w:rFonts w:hint="eastAsia" w:eastAsia="仿宋_GB2312"/>
          <w:snapToGrid w:val="0"/>
          <w:kern w:val="0"/>
          <w:sz w:val="32"/>
          <w:szCs w:val="32"/>
          <w:lang w:eastAsia="zh-CN"/>
        </w:rPr>
        <w:t>；</w:t>
      </w:r>
      <w:r>
        <w:rPr>
          <w:rFonts w:hint="eastAsia" w:eastAsia="仿宋_GB2312"/>
          <w:snapToGrid w:val="0"/>
          <w:kern w:val="0"/>
          <w:sz w:val="32"/>
          <w:szCs w:val="32"/>
        </w:rPr>
        <w:t>指导管理商业保理、融资租赁等特殊流通行业</w:t>
      </w:r>
      <w:r>
        <w:rPr>
          <w:rFonts w:hint="eastAsia" w:eastAsia="仿宋_GB2312"/>
          <w:snapToGrid w:val="0"/>
          <w:kern w:val="0"/>
          <w:sz w:val="32"/>
          <w:szCs w:val="32"/>
          <w:lang w:eastAsia="zh-CN"/>
        </w:rPr>
        <w:t>；</w:t>
      </w:r>
      <w:r>
        <w:rPr>
          <w:rFonts w:hint="eastAsia" w:eastAsia="仿宋_GB2312"/>
          <w:snapToGrid w:val="0"/>
          <w:kern w:val="0"/>
          <w:sz w:val="32"/>
          <w:szCs w:val="32"/>
        </w:rPr>
        <w:t>承担药品流通行业管理</w:t>
      </w:r>
      <w:r>
        <w:rPr>
          <w:rFonts w:hint="eastAsia" w:eastAsia="仿宋_GB2312"/>
          <w:snapToGrid w:val="0"/>
          <w:kern w:val="0"/>
          <w:sz w:val="32"/>
          <w:szCs w:val="32"/>
          <w:lang w:eastAsia="zh-CN"/>
        </w:rPr>
        <w:t>；</w:t>
      </w:r>
      <w:r>
        <w:rPr>
          <w:rFonts w:hint="eastAsia" w:eastAsia="仿宋_GB2312"/>
          <w:snapToGrid w:val="0"/>
          <w:kern w:val="0"/>
          <w:sz w:val="32"/>
          <w:szCs w:val="32"/>
        </w:rPr>
        <w:t>推进再生资源回收体系建设</w:t>
      </w:r>
      <w:r>
        <w:rPr>
          <w:rFonts w:hint="eastAsia" w:eastAsia="仿宋_GB2312"/>
          <w:snapToGrid w:val="0"/>
          <w:kern w:val="0"/>
          <w:sz w:val="32"/>
          <w:szCs w:val="32"/>
          <w:lang w:eastAsia="zh-CN"/>
        </w:rPr>
        <w:t>；</w:t>
      </w:r>
      <w:r>
        <w:rPr>
          <w:rFonts w:hint="eastAsia" w:eastAsia="仿宋_GB2312"/>
          <w:snapToGrid w:val="0"/>
          <w:kern w:val="0"/>
          <w:sz w:val="32"/>
          <w:szCs w:val="32"/>
        </w:rPr>
        <w:t>承担商务领域行政综合执法，指导商务举报投诉服务网络建设，承担12312商务举报投诉服务</w:t>
      </w:r>
      <w:r>
        <w:rPr>
          <w:rFonts w:hint="eastAsia" w:eastAsia="仿宋_GB2312"/>
          <w:snapToGrid w:val="0"/>
          <w:kern w:val="0"/>
          <w:sz w:val="32"/>
          <w:szCs w:val="32"/>
          <w:lang w:eastAsia="zh-CN"/>
        </w:rPr>
        <w:t>；</w:t>
      </w:r>
      <w:r>
        <w:rPr>
          <w:rFonts w:hint="eastAsia" w:eastAsia="仿宋_GB2312"/>
          <w:snapToGrid w:val="0"/>
          <w:kern w:val="0"/>
          <w:sz w:val="32"/>
          <w:szCs w:val="32"/>
        </w:rPr>
        <w:t>牵头商务领域安全生产工作</w:t>
      </w:r>
      <w:r>
        <w:rPr>
          <w:rFonts w:hint="eastAsia" w:eastAsia="仿宋_GB2312"/>
          <w:snapToGrid w:val="0"/>
          <w:kern w:val="0"/>
          <w:sz w:val="32"/>
          <w:szCs w:val="32"/>
          <w:lang w:eastAsia="zh-CN"/>
        </w:rPr>
        <w:t>。</w:t>
      </w:r>
    </w:p>
    <w:p>
      <w:pPr>
        <w:adjustRightInd w:val="0"/>
        <w:snapToGrid w:val="0"/>
        <w:spacing w:line="360" w:lineRule="auto"/>
        <w:ind w:firstLine="648"/>
        <w:rPr>
          <w:rFonts w:hint="eastAsia" w:eastAsia="仿宋_GB2312"/>
          <w:snapToGrid w:val="0"/>
          <w:kern w:val="0"/>
          <w:sz w:val="32"/>
          <w:szCs w:val="32"/>
        </w:rPr>
      </w:pPr>
      <w:r>
        <w:rPr>
          <w:rFonts w:hint="eastAsia" w:ascii="仿宋" w:hAnsi="仿宋" w:eastAsia="仿宋" w:cs="仿宋"/>
          <w:snapToGrid w:val="0"/>
          <w:kern w:val="0"/>
          <w:sz w:val="32"/>
          <w:szCs w:val="32"/>
          <w:lang w:val="en-US" w:eastAsia="zh-CN"/>
        </w:rPr>
        <w:t>8.</w:t>
      </w:r>
      <w:r>
        <w:rPr>
          <w:rFonts w:hint="eastAsia" w:eastAsia="仿宋_GB2312"/>
          <w:snapToGrid w:val="0"/>
          <w:kern w:val="0"/>
          <w:sz w:val="32"/>
          <w:szCs w:val="32"/>
        </w:rPr>
        <w:t>负责对外贸易促进体系建设，促进对外贸易发展方式转变；推动我市出口品牌体系建设；会同有关部门协调大宗进出口商品，在总量计划内组织实施重要工业品、原材料和重要农产品进出口；负责对外贸易经营者的备案登记；管理进出口商品许可证；参与大通关建设和对外经贸便利化工作。</w:t>
      </w:r>
    </w:p>
    <w:p>
      <w:pPr>
        <w:adjustRightInd w:val="0"/>
        <w:snapToGrid w:val="0"/>
        <w:spacing w:line="360" w:lineRule="auto"/>
        <w:ind w:firstLine="648"/>
        <w:rPr>
          <w:rFonts w:hint="eastAsia" w:eastAsia="仿宋_GB2312"/>
          <w:snapToGrid w:val="0"/>
          <w:kern w:val="0"/>
          <w:sz w:val="32"/>
          <w:szCs w:val="32"/>
        </w:rPr>
      </w:pPr>
      <w:r>
        <w:rPr>
          <w:rFonts w:hint="eastAsia" w:ascii="仿宋" w:hAnsi="仿宋" w:eastAsia="仿宋" w:cs="仿宋"/>
          <w:snapToGrid w:val="0"/>
          <w:kern w:val="0"/>
          <w:sz w:val="32"/>
          <w:szCs w:val="32"/>
          <w:lang w:val="en-US" w:eastAsia="zh-CN"/>
        </w:rPr>
        <w:t>9.</w:t>
      </w:r>
      <w:r>
        <w:rPr>
          <w:rFonts w:hint="eastAsia" w:eastAsia="仿宋_GB2312"/>
          <w:snapToGrid w:val="0"/>
          <w:kern w:val="0"/>
          <w:sz w:val="32"/>
          <w:szCs w:val="32"/>
        </w:rPr>
        <w:t>指导机电和高新技术产品进出口、成套设备出口；负责机电和高新技术产品贸易促进工作，规范机电产品出口秩序；指导国家、省和市级机电和高新技术产品出口基地建设。</w:t>
      </w:r>
    </w:p>
    <w:p>
      <w:pPr>
        <w:adjustRightInd w:val="0"/>
        <w:snapToGrid w:val="0"/>
        <w:spacing w:line="360" w:lineRule="auto"/>
        <w:ind w:firstLine="648"/>
        <w:rPr>
          <w:rFonts w:hint="eastAsia" w:eastAsia="仿宋_GB2312"/>
          <w:snapToGrid w:val="0"/>
          <w:kern w:val="0"/>
          <w:sz w:val="32"/>
          <w:szCs w:val="32"/>
        </w:rPr>
      </w:pPr>
      <w:r>
        <w:rPr>
          <w:rFonts w:hint="eastAsia" w:ascii="仿宋" w:hAnsi="仿宋" w:eastAsia="仿宋" w:cs="仿宋"/>
          <w:snapToGrid w:val="0"/>
          <w:kern w:val="0"/>
          <w:sz w:val="32"/>
          <w:szCs w:val="32"/>
        </w:rPr>
        <w:t>1</w:t>
      </w:r>
      <w:r>
        <w:rPr>
          <w:rFonts w:hint="eastAsia" w:ascii="仿宋" w:hAnsi="仿宋" w:eastAsia="仿宋" w:cs="仿宋"/>
          <w:snapToGrid w:val="0"/>
          <w:kern w:val="0"/>
          <w:sz w:val="32"/>
          <w:szCs w:val="32"/>
          <w:lang w:val="en-US" w:eastAsia="zh-CN"/>
        </w:rPr>
        <w:t>0.</w:t>
      </w:r>
      <w:r>
        <w:rPr>
          <w:rFonts w:hint="eastAsia" w:eastAsia="仿宋_GB2312"/>
          <w:snapToGrid w:val="0"/>
          <w:kern w:val="0"/>
          <w:sz w:val="32"/>
          <w:szCs w:val="32"/>
        </w:rPr>
        <w:t>指导国际服务贸易发展和服务贸易领域的对外开放，指导国际服务外包工作，推动国际服务外包平台建设，推进技术进出口、文化产品与服务出口。</w:t>
      </w:r>
    </w:p>
    <w:p>
      <w:pPr>
        <w:adjustRightInd w:val="0"/>
        <w:snapToGrid w:val="0"/>
        <w:spacing w:line="360" w:lineRule="auto"/>
        <w:ind w:firstLine="648"/>
        <w:rPr>
          <w:rFonts w:hint="eastAsia" w:eastAsia="仿宋_GB2312"/>
          <w:snapToGrid w:val="0"/>
          <w:kern w:val="0"/>
          <w:sz w:val="32"/>
          <w:szCs w:val="32"/>
        </w:rPr>
      </w:pPr>
      <w:r>
        <w:rPr>
          <w:rFonts w:hint="eastAsia" w:ascii="仿宋" w:hAnsi="仿宋" w:eastAsia="仿宋" w:cs="仿宋"/>
          <w:snapToGrid w:val="0"/>
          <w:kern w:val="0"/>
          <w:sz w:val="32"/>
          <w:szCs w:val="32"/>
        </w:rPr>
        <w:t>1</w:t>
      </w:r>
      <w:r>
        <w:rPr>
          <w:rFonts w:hint="eastAsia" w:ascii="仿宋" w:hAnsi="仿宋" w:eastAsia="仿宋" w:cs="仿宋"/>
          <w:snapToGrid w:val="0"/>
          <w:kern w:val="0"/>
          <w:sz w:val="32"/>
          <w:szCs w:val="32"/>
          <w:lang w:val="en-US" w:eastAsia="zh-CN"/>
        </w:rPr>
        <w:t>1.</w:t>
      </w:r>
      <w:r>
        <w:rPr>
          <w:rFonts w:hint="eastAsia" w:ascii="仿宋" w:hAnsi="仿宋" w:eastAsia="仿宋" w:cs="仿宋"/>
          <w:snapToGrid w:val="0"/>
          <w:kern w:val="0"/>
          <w:sz w:val="32"/>
          <w:szCs w:val="32"/>
        </w:rPr>
        <w:t>指</w:t>
      </w:r>
      <w:r>
        <w:rPr>
          <w:rFonts w:hint="eastAsia" w:eastAsia="仿宋_GB2312"/>
          <w:snapToGrid w:val="0"/>
          <w:kern w:val="0"/>
          <w:sz w:val="32"/>
          <w:szCs w:val="32"/>
        </w:rPr>
        <w:t>导外商投资工作，推动产业调整和技术升级；指导和组织对外招商工作，审核外商投资企业设立、合同、章程及其变更事项；指导外商投资企业审批工作；负责外商投资统计和分析工作；牵头外商投资企业联合年检。</w:t>
      </w:r>
    </w:p>
    <w:p>
      <w:pPr>
        <w:adjustRightInd w:val="0"/>
        <w:snapToGrid w:val="0"/>
        <w:spacing w:line="360" w:lineRule="auto"/>
        <w:ind w:firstLine="648"/>
        <w:rPr>
          <w:rFonts w:hint="eastAsia" w:eastAsia="仿宋_GB2312"/>
          <w:snapToGrid w:val="0"/>
          <w:kern w:val="0"/>
          <w:sz w:val="32"/>
          <w:szCs w:val="32"/>
        </w:rPr>
      </w:pPr>
      <w:r>
        <w:rPr>
          <w:rFonts w:hint="eastAsia" w:ascii="仿宋" w:hAnsi="仿宋" w:eastAsia="仿宋" w:cs="仿宋"/>
          <w:snapToGrid w:val="0"/>
          <w:kern w:val="0"/>
          <w:sz w:val="32"/>
          <w:szCs w:val="32"/>
        </w:rPr>
        <w:t>1</w:t>
      </w:r>
      <w:r>
        <w:rPr>
          <w:rFonts w:hint="eastAsia" w:ascii="仿宋" w:hAnsi="仿宋" w:eastAsia="仿宋" w:cs="仿宋"/>
          <w:snapToGrid w:val="0"/>
          <w:kern w:val="0"/>
          <w:sz w:val="32"/>
          <w:szCs w:val="32"/>
          <w:lang w:val="en-US" w:eastAsia="zh-CN"/>
        </w:rPr>
        <w:t>2.</w:t>
      </w:r>
      <w:r>
        <w:rPr>
          <w:rFonts w:hint="eastAsia" w:eastAsia="仿宋_GB2312"/>
          <w:snapToGrid w:val="0"/>
          <w:kern w:val="0"/>
          <w:sz w:val="32"/>
          <w:szCs w:val="32"/>
        </w:rPr>
        <w:t>负责全市市级以上各级开发区的综合协调、指导和日常管理工作，会同有关部门牵头审核上报国家级开发区、省级经济开发区的设立、升级和区域调整；负责开发区投资环境综合评价和考核工作；监测分析开发区运行情况；参与研究制定全市开发区发展规划和促进政策。</w:t>
      </w:r>
    </w:p>
    <w:p>
      <w:pPr>
        <w:adjustRightInd w:val="0"/>
        <w:snapToGrid w:val="0"/>
        <w:spacing w:line="360" w:lineRule="auto"/>
        <w:ind w:firstLine="648"/>
        <w:rPr>
          <w:rFonts w:hint="eastAsia" w:eastAsia="仿宋_GB2312"/>
          <w:snapToGrid w:val="0"/>
          <w:kern w:val="0"/>
          <w:sz w:val="32"/>
          <w:szCs w:val="32"/>
        </w:rPr>
      </w:pPr>
      <w:r>
        <w:rPr>
          <w:rFonts w:hint="eastAsia" w:ascii="仿宋" w:hAnsi="仿宋" w:eastAsia="仿宋" w:cs="仿宋"/>
          <w:snapToGrid w:val="0"/>
          <w:kern w:val="0"/>
          <w:sz w:val="32"/>
          <w:szCs w:val="32"/>
        </w:rPr>
        <w:t>1</w:t>
      </w:r>
      <w:r>
        <w:rPr>
          <w:rFonts w:hint="eastAsia" w:ascii="仿宋" w:hAnsi="仿宋" w:eastAsia="仿宋" w:cs="仿宋"/>
          <w:snapToGrid w:val="0"/>
          <w:kern w:val="0"/>
          <w:sz w:val="32"/>
          <w:szCs w:val="32"/>
          <w:lang w:val="en-US" w:eastAsia="zh-CN"/>
        </w:rPr>
        <w:t>3.</w:t>
      </w:r>
      <w:r>
        <w:rPr>
          <w:rFonts w:hint="eastAsia" w:eastAsia="仿宋_GB2312"/>
          <w:snapToGrid w:val="0"/>
          <w:kern w:val="0"/>
          <w:sz w:val="32"/>
          <w:szCs w:val="32"/>
        </w:rPr>
        <w:t>促进对外投资和经济合作，依法审核在境外投资企业（机构）的设立，指导协调境外经贸合作区建设，依法管理和监督对外承包工程和劳务合作业务；承担外派劳务和本市公民境外就业人员的权益保护工作；牵头处置境外经贸纠纷和突发事件；负责多双边援助和对外援助工作。</w:t>
      </w:r>
    </w:p>
    <w:p>
      <w:pPr>
        <w:adjustRightInd w:val="0"/>
        <w:snapToGrid w:val="0"/>
        <w:spacing w:line="360" w:lineRule="auto"/>
        <w:ind w:firstLine="648"/>
        <w:rPr>
          <w:rFonts w:hint="eastAsia" w:eastAsia="仿宋_GB2312"/>
          <w:snapToGrid w:val="0"/>
          <w:kern w:val="0"/>
          <w:sz w:val="32"/>
          <w:szCs w:val="32"/>
        </w:rPr>
      </w:pPr>
      <w:r>
        <w:rPr>
          <w:rFonts w:hint="eastAsia" w:ascii="仿宋" w:hAnsi="仿宋" w:eastAsia="仿宋" w:cs="仿宋"/>
          <w:snapToGrid w:val="0"/>
          <w:kern w:val="0"/>
          <w:sz w:val="32"/>
          <w:szCs w:val="32"/>
        </w:rPr>
        <w:t>1</w:t>
      </w:r>
      <w:r>
        <w:rPr>
          <w:rFonts w:hint="eastAsia" w:ascii="仿宋" w:hAnsi="仿宋" w:eastAsia="仿宋" w:cs="仿宋"/>
          <w:snapToGrid w:val="0"/>
          <w:kern w:val="0"/>
          <w:sz w:val="32"/>
          <w:szCs w:val="32"/>
          <w:lang w:val="en-US" w:eastAsia="zh-CN"/>
        </w:rPr>
        <w:t>4.</w:t>
      </w:r>
      <w:r>
        <w:rPr>
          <w:rFonts w:hint="eastAsia" w:eastAsia="仿宋_GB2312"/>
          <w:snapToGrid w:val="0"/>
          <w:kern w:val="0"/>
          <w:sz w:val="32"/>
          <w:szCs w:val="32"/>
        </w:rPr>
        <w:t>负责综合协调有关世界贸易组织事务的具体工作，负责反倾销、反补贴、保障措施及其他与进出口公平贸易相关工作的组织协调；建立健全对外贸易和产业损害预警机制，指导协调反倾销、反补贴、保障措施案件的应诉应对及产业损害调查，指导协调有关产业安全方面工作；负责国际贸易壁垒的应对和对外贸易的知识产权工作；组织实施有关反垄断法律、法规，依法进行反垄断审查，指导企业做好反垄断应诉工作，开展多双边竞争、贸易政策交流与合作。</w:t>
      </w:r>
    </w:p>
    <w:p>
      <w:pPr>
        <w:adjustRightInd w:val="0"/>
        <w:snapToGrid w:val="0"/>
        <w:spacing w:line="360" w:lineRule="auto"/>
        <w:ind w:firstLine="648"/>
        <w:rPr>
          <w:rFonts w:hint="eastAsia" w:eastAsia="仿宋_GB2312"/>
          <w:snapToGrid w:val="0"/>
          <w:kern w:val="0"/>
          <w:sz w:val="32"/>
          <w:szCs w:val="32"/>
        </w:rPr>
      </w:pPr>
      <w:r>
        <w:rPr>
          <w:rFonts w:hint="eastAsia" w:ascii="仿宋" w:hAnsi="仿宋" w:eastAsia="仿宋" w:cs="仿宋"/>
          <w:snapToGrid w:val="0"/>
          <w:kern w:val="0"/>
          <w:sz w:val="32"/>
          <w:szCs w:val="32"/>
        </w:rPr>
        <w:t>1</w:t>
      </w:r>
      <w:r>
        <w:rPr>
          <w:rFonts w:hint="eastAsia" w:ascii="仿宋" w:hAnsi="仿宋" w:eastAsia="仿宋" w:cs="仿宋"/>
          <w:snapToGrid w:val="0"/>
          <w:kern w:val="0"/>
          <w:sz w:val="32"/>
          <w:szCs w:val="32"/>
          <w:lang w:val="en-US" w:eastAsia="zh-CN"/>
        </w:rPr>
        <w:t>5.</w:t>
      </w:r>
      <w:r>
        <w:rPr>
          <w:rFonts w:hint="eastAsia" w:eastAsia="仿宋_GB2312"/>
          <w:snapToGrid w:val="0"/>
          <w:kern w:val="0"/>
          <w:sz w:val="32"/>
          <w:szCs w:val="32"/>
        </w:rPr>
        <w:t>推进我市与其他国家和地区多双边经贸往来与合作，促进经贸联系；牵头组织赴国（境）外重大经贸交流活动；联系境外温州商会。</w:t>
      </w:r>
    </w:p>
    <w:p>
      <w:pPr>
        <w:adjustRightInd w:val="0"/>
        <w:snapToGrid w:val="0"/>
        <w:spacing w:line="360" w:lineRule="auto"/>
        <w:ind w:firstLine="648"/>
        <w:rPr>
          <w:rFonts w:hint="eastAsia" w:eastAsia="仿宋_GB2312"/>
          <w:snapToGrid w:val="0"/>
          <w:kern w:val="0"/>
          <w:sz w:val="32"/>
          <w:szCs w:val="32"/>
        </w:rPr>
      </w:pPr>
      <w:r>
        <w:rPr>
          <w:rFonts w:hint="eastAsia" w:ascii="仿宋" w:hAnsi="仿宋" w:eastAsia="仿宋" w:cs="仿宋"/>
          <w:snapToGrid w:val="0"/>
          <w:kern w:val="0"/>
          <w:sz w:val="32"/>
          <w:szCs w:val="32"/>
        </w:rPr>
        <w:t>1</w:t>
      </w:r>
      <w:r>
        <w:rPr>
          <w:rFonts w:hint="eastAsia" w:ascii="仿宋" w:hAnsi="仿宋" w:eastAsia="仿宋" w:cs="仿宋"/>
          <w:snapToGrid w:val="0"/>
          <w:kern w:val="0"/>
          <w:sz w:val="32"/>
          <w:szCs w:val="32"/>
          <w:lang w:val="en-US" w:eastAsia="zh-CN"/>
        </w:rPr>
        <w:t>6.</w:t>
      </w:r>
      <w:r>
        <w:rPr>
          <w:rFonts w:hint="eastAsia" w:eastAsia="仿宋_GB2312"/>
          <w:snapToGrid w:val="0"/>
          <w:kern w:val="0"/>
          <w:sz w:val="32"/>
          <w:szCs w:val="32"/>
        </w:rPr>
        <w:t>负责协调检验检疫、海关、质量技术监督、银行、外汇、贸促会、出口信用保险、工商行政管理等部门与商务工作有关的事项；指导国内贸易和对外经贸中介机构及相关社会团体工作。</w:t>
      </w:r>
    </w:p>
    <w:p>
      <w:pPr>
        <w:spacing w:line="640" w:lineRule="exact"/>
        <w:ind w:firstLine="627" w:firstLineChars="196"/>
        <w:rPr>
          <w:rFonts w:hint="eastAsia" w:eastAsia="仿宋_GB2312"/>
          <w:snapToGrid w:val="0"/>
          <w:kern w:val="0"/>
          <w:sz w:val="32"/>
          <w:szCs w:val="32"/>
        </w:rPr>
      </w:pPr>
      <w:r>
        <w:rPr>
          <w:rFonts w:hint="eastAsia" w:ascii="仿宋" w:hAnsi="仿宋" w:eastAsia="仿宋" w:cs="仿宋"/>
          <w:snapToGrid w:val="0"/>
          <w:kern w:val="0"/>
          <w:sz w:val="32"/>
          <w:szCs w:val="32"/>
        </w:rPr>
        <w:t>1</w:t>
      </w:r>
      <w:r>
        <w:rPr>
          <w:rFonts w:hint="eastAsia" w:ascii="仿宋" w:hAnsi="仿宋" w:eastAsia="仿宋" w:cs="仿宋"/>
          <w:snapToGrid w:val="0"/>
          <w:kern w:val="0"/>
          <w:sz w:val="32"/>
          <w:szCs w:val="32"/>
          <w:lang w:val="en-US" w:eastAsia="zh-CN"/>
        </w:rPr>
        <w:t>7.</w:t>
      </w:r>
      <w:r>
        <w:rPr>
          <w:rFonts w:hint="eastAsia" w:eastAsia="仿宋_GB2312"/>
          <w:snapToGrid w:val="0"/>
          <w:kern w:val="0"/>
          <w:sz w:val="32"/>
          <w:szCs w:val="32"/>
        </w:rPr>
        <w:t>承办市政府交办的其他事项。</w:t>
      </w:r>
    </w:p>
    <w:p>
      <w:pPr>
        <w:spacing w:line="640" w:lineRule="exact"/>
        <w:ind w:firstLine="627" w:firstLineChars="196"/>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（二）部门预算单位构成</w:t>
      </w:r>
    </w:p>
    <w:p>
      <w:pPr>
        <w:spacing w:line="640" w:lineRule="exact"/>
        <w:ind w:firstLine="640" w:firstLineChars="200"/>
        <w:rPr>
          <w:rFonts w:hint="eastAsia" w:ascii="仿宋_GB2312" w:eastAsia="仿宋_GB2312"/>
          <w:bCs/>
          <w:sz w:val="32"/>
          <w:szCs w:val="32"/>
        </w:rPr>
      </w:pPr>
      <w:r>
        <w:rPr>
          <w:rFonts w:hint="eastAsia" w:ascii="仿宋_GB2312" w:eastAsia="仿宋_GB2312"/>
          <w:bCs/>
          <w:sz w:val="32"/>
          <w:szCs w:val="32"/>
        </w:rPr>
        <w:t>从预算单位构成看，温州市商务局部门预算包括：市本级预算和局属1家事业单位。局属单位名称：温州市商务促进中心。</w:t>
      </w:r>
    </w:p>
    <w:p>
      <w:pPr>
        <w:spacing w:line="640" w:lineRule="exact"/>
        <w:rPr>
          <w:rFonts w:hint="eastAsia" w:ascii="楷体_GB2312" w:hAnsi="楷体_GB2312" w:eastAsia="楷体_GB2312" w:cs="楷体_GB2312"/>
          <w:b/>
          <w:color w:val="000000"/>
          <w:sz w:val="32"/>
          <w:szCs w:val="32"/>
        </w:rPr>
      </w:pPr>
      <w:r>
        <w:rPr>
          <w:rStyle w:val="6"/>
          <w:rFonts w:hint="eastAsia" w:ascii="黑体" w:eastAsia="黑体"/>
          <w:b w:val="0"/>
          <w:color w:val="000000"/>
          <w:sz w:val="32"/>
          <w:szCs w:val="32"/>
        </w:rPr>
        <w:t xml:space="preserve">    二、</w:t>
      </w:r>
      <w:r>
        <w:rPr>
          <w:rStyle w:val="6"/>
          <w:rFonts w:hint="eastAsia" w:ascii="黑体" w:eastAsia="黑体"/>
          <w:b w:val="0"/>
          <w:color w:val="000000"/>
          <w:sz w:val="32"/>
          <w:szCs w:val="32"/>
          <w:lang w:eastAsia="zh-CN"/>
        </w:rPr>
        <w:t>温州市商务局</w:t>
      </w:r>
      <w:r>
        <w:rPr>
          <w:rStyle w:val="6"/>
          <w:rFonts w:hint="eastAsia" w:ascii="黑体" w:eastAsia="黑体"/>
          <w:b w:val="0"/>
          <w:color w:val="000000"/>
          <w:sz w:val="32"/>
          <w:szCs w:val="32"/>
        </w:rPr>
        <w:t>2018年部门预算安排情况说明</w:t>
      </w:r>
      <w:r>
        <w:rPr>
          <w:rFonts w:hint="eastAsia"/>
          <w:color w:val="000000"/>
          <w:sz w:val="32"/>
          <w:szCs w:val="32"/>
        </w:rPr>
        <w:br w:type="textWrapping"/>
      </w:r>
      <w:r>
        <w:rPr>
          <w:rFonts w:hint="eastAsia" w:ascii="仿宋_GB2312" w:eastAsia="仿宋_GB2312"/>
          <w:color w:val="000000"/>
          <w:sz w:val="30"/>
          <w:szCs w:val="30"/>
        </w:rPr>
        <w:t>　　</w:t>
      </w:r>
      <w:r>
        <w:rPr>
          <w:rFonts w:hint="eastAsia" w:ascii="楷体_GB2312" w:hAnsi="楷体_GB2312" w:eastAsia="楷体_GB2312" w:cs="楷体_GB2312"/>
          <w:b w:val="0"/>
          <w:bCs/>
          <w:color w:val="000000"/>
          <w:sz w:val="32"/>
          <w:szCs w:val="32"/>
        </w:rPr>
        <w:t>（一）关于</w:t>
      </w:r>
      <w:r>
        <w:rPr>
          <w:rStyle w:val="6"/>
          <w:rFonts w:hint="eastAsia" w:ascii="楷体_GB2312" w:hAnsi="楷体_GB2312" w:eastAsia="楷体_GB2312" w:cs="楷体_GB2312"/>
          <w:b w:val="0"/>
          <w:bCs/>
          <w:color w:val="000000"/>
          <w:sz w:val="32"/>
          <w:szCs w:val="32"/>
          <w:lang w:eastAsia="zh-CN"/>
        </w:rPr>
        <w:t>温州市商务局</w:t>
      </w:r>
      <w:r>
        <w:rPr>
          <w:rStyle w:val="6"/>
          <w:rFonts w:hint="eastAsia" w:ascii="楷体_GB2312" w:hAnsi="楷体_GB2312" w:eastAsia="楷体_GB2312" w:cs="楷体_GB2312"/>
          <w:b w:val="0"/>
          <w:bCs/>
          <w:color w:val="000000"/>
          <w:sz w:val="32"/>
          <w:szCs w:val="32"/>
        </w:rPr>
        <w:t>2018年收支预算情况的总体说明</w:t>
      </w:r>
    </w:p>
    <w:p>
      <w:pPr>
        <w:spacing w:line="640" w:lineRule="exact"/>
        <w:rPr>
          <w:rFonts w:hint="eastAsia"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 xml:space="preserve">   </w:t>
      </w:r>
      <w:r>
        <w:rPr>
          <w:rFonts w:hint="eastAsia" w:ascii="仿宋_GB2312" w:eastAsia="仿宋_GB2312"/>
          <w:bCs/>
          <w:color w:val="000000"/>
          <w:sz w:val="32"/>
          <w:szCs w:val="32"/>
        </w:rPr>
        <w:t xml:space="preserve"> 按照</w:t>
      </w:r>
      <w:r>
        <w:rPr>
          <w:rFonts w:hint="eastAsia" w:ascii="仿宋_GB2312" w:eastAsia="仿宋_GB2312"/>
          <w:bCs/>
          <w:sz w:val="32"/>
          <w:szCs w:val="32"/>
        </w:rPr>
        <w:t>综合预算的原则，</w:t>
      </w:r>
      <w:r>
        <w:rPr>
          <w:rFonts w:hint="eastAsia" w:ascii="仿宋_GB2312" w:eastAsia="仿宋_GB2312"/>
          <w:color w:val="000000"/>
          <w:sz w:val="32"/>
          <w:szCs w:val="32"/>
          <w:lang w:eastAsia="zh-CN"/>
        </w:rPr>
        <w:t>温州市商务局</w:t>
      </w:r>
      <w:r>
        <w:rPr>
          <w:rFonts w:hint="eastAsia" w:ascii="仿宋_GB2312" w:eastAsia="仿宋_GB2312"/>
          <w:color w:val="000000"/>
          <w:sz w:val="32"/>
          <w:szCs w:val="32"/>
        </w:rPr>
        <w:t>所有收入和支出均纳入部门预算管理。收入包括：一般公共预算拨款收入、单位结转；支出包括：一般公共服务支出、社会保障和就业支出</w:t>
      </w:r>
      <w:r>
        <w:rPr>
          <w:rFonts w:hint="eastAsia" w:ascii="仿宋_GB2312" w:eastAsia="仿宋_GB2312"/>
          <w:color w:val="000000"/>
          <w:sz w:val="32"/>
          <w:szCs w:val="32"/>
          <w:lang w:eastAsia="zh-CN"/>
        </w:rPr>
        <w:t>、医疗卫生与计划生育支出、住房保障、商业服务业等支出。温州市商务局</w:t>
      </w:r>
      <w:r>
        <w:rPr>
          <w:rFonts w:hint="eastAsia" w:ascii="仿宋_GB2312" w:eastAsia="仿宋_GB2312"/>
          <w:color w:val="000000"/>
          <w:sz w:val="32"/>
          <w:szCs w:val="32"/>
        </w:rPr>
        <w:t>2018年收支总预算</w:t>
      </w:r>
      <w:r>
        <w:rPr>
          <w:rFonts w:hint="eastAsia" w:ascii="仿宋_GB2312" w:eastAsia="仿宋_GB2312"/>
          <w:color w:val="000000"/>
          <w:sz w:val="32"/>
          <w:szCs w:val="32"/>
          <w:lang w:val="en-US" w:eastAsia="zh-CN"/>
        </w:rPr>
        <w:t>4648.93</w:t>
      </w:r>
      <w:r>
        <w:rPr>
          <w:rFonts w:hint="eastAsia" w:ascii="仿宋_GB2312" w:eastAsia="仿宋_GB2312"/>
          <w:color w:val="000000"/>
          <w:sz w:val="32"/>
          <w:szCs w:val="32"/>
        </w:rPr>
        <w:t>万元。</w:t>
      </w:r>
    </w:p>
    <w:p>
      <w:pPr>
        <w:spacing w:line="640" w:lineRule="exact"/>
        <w:ind w:firstLine="642"/>
        <w:rPr>
          <w:rFonts w:hint="eastAsia" w:ascii="楷体_GB2312" w:hAnsi="楷体_GB2312" w:eastAsia="楷体_GB2312" w:cs="楷体_GB2312"/>
          <w:b w:val="0"/>
          <w:bCs/>
          <w:color w:val="000000"/>
          <w:sz w:val="32"/>
          <w:szCs w:val="32"/>
        </w:rPr>
      </w:pPr>
      <w:r>
        <w:rPr>
          <w:rFonts w:hint="eastAsia" w:ascii="楷体_GB2312" w:hAnsi="楷体_GB2312" w:eastAsia="楷体_GB2312" w:cs="楷体_GB2312"/>
          <w:b w:val="0"/>
          <w:bCs/>
          <w:color w:val="000000"/>
          <w:sz w:val="32"/>
          <w:szCs w:val="32"/>
        </w:rPr>
        <w:t>（二）关于</w:t>
      </w:r>
      <w:r>
        <w:rPr>
          <w:rFonts w:hint="eastAsia" w:ascii="楷体_GB2312" w:hAnsi="楷体_GB2312" w:eastAsia="楷体_GB2312" w:cs="楷体_GB2312"/>
          <w:b w:val="0"/>
          <w:bCs/>
          <w:color w:val="000000"/>
          <w:sz w:val="32"/>
          <w:szCs w:val="32"/>
          <w:lang w:eastAsia="zh-CN"/>
        </w:rPr>
        <w:t>温州市商务局</w:t>
      </w:r>
      <w:r>
        <w:rPr>
          <w:rFonts w:hint="eastAsia" w:ascii="楷体_GB2312" w:hAnsi="楷体_GB2312" w:eastAsia="楷体_GB2312" w:cs="楷体_GB2312"/>
          <w:b w:val="0"/>
          <w:bCs/>
          <w:color w:val="000000"/>
          <w:sz w:val="32"/>
          <w:szCs w:val="32"/>
        </w:rPr>
        <w:t>2018年收入预算情况说明</w:t>
      </w:r>
    </w:p>
    <w:p>
      <w:pPr>
        <w:spacing w:line="640" w:lineRule="exact"/>
        <w:ind w:firstLine="642"/>
        <w:rPr>
          <w:rFonts w:hint="eastAsia" w:ascii="仿宋_GB2312" w:eastAsia="仿宋_GB2312"/>
          <w:color w:val="000000"/>
          <w:sz w:val="32"/>
          <w:szCs w:val="32"/>
        </w:rPr>
      </w:pPr>
      <w:r>
        <w:rPr>
          <w:rFonts w:hint="eastAsia" w:ascii="仿宋_GB2312" w:eastAsia="仿宋_GB2312"/>
          <w:color w:val="000000"/>
          <w:sz w:val="32"/>
          <w:szCs w:val="32"/>
          <w:lang w:eastAsia="zh-CN"/>
        </w:rPr>
        <w:t>温州市商务局</w:t>
      </w:r>
      <w:r>
        <w:rPr>
          <w:rFonts w:hint="eastAsia" w:ascii="仿宋_GB2312" w:eastAsia="仿宋_GB2312"/>
          <w:color w:val="000000"/>
          <w:sz w:val="32"/>
          <w:szCs w:val="32"/>
        </w:rPr>
        <w:t>2018年收入预算</w:t>
      </w:r>
      <w:r>
        <w:rPr>
          <w:rFonts w:hint="eastAsia" w:ascii="仿宋_GB2312" w:eastAsia="仿宋_GB2312"/>
          <w:color w:val="000000"/>
          <w:sz w:val="32"/>
          <w:szCs w:val="32"/>
          <w:lang w:val="en-US" w:eastAsia="zh-CN"/>
        </w:rPr>
        <w:t>4648.93</w:t>
      </w:r>
      <w:r>
        <w:rPr>
          <w:rFonts w:hint="eastAsia" w:ascii="仿宋_GB2312" w:eastAsia="仿宋_GB2312"/>
          <w:color w:val="000000"/>
          <w:sz w:val="32"/>
          <w:szCs w:val="32"/>
        </w:rPr>
        <w:t>万元，其中：一般公共预算拨款收入</w:t>
      </w:r>
      <w:r>
        <w:rPr>
          <w:rFonts w:hint="eastAsia" w:ascii="仿宋_GB2312" w:eastAsia="仿宋_GB2312"/>
          <w:color w:val="000000"/>
          <w:sz w:val="32"/>
          <w:szCs w:val="32"/>
          <w:lang w:val="en-US" w:eastAsia="zh-CN"/>
        </w:rPr>
        <w:t>4595.93</w:t>
      </w:r>
      <w:r>
        <w:rPr>
          <w:rFonts w:hint="eastAsia" w:ascii="仿宋_GB2312" w:eastAsia="仿宋_GB2312"/>
          <w:color w:val="000000"/>
          <w:sz w:val="32"/>
          <w:szCs w:val="32"/>
        </w:rPr>
        <w:t>万元，占</w:t>
      </w:r>
      <w:r>
        <w:rPr>
          <w:rFonts w:hint="eastAsia" w:ascii="仿宋_GB2312" w:eastAsia="仿宋_GB2312"/>
          <w:color w:val="000000"/>
          <w:sz w:val="32"/>
          <w:szCs w:val="32"/>
          <w:lang w:val="en-US" w:eastAsia="zh-CN"/>
        </w:rPr>
        <w:t>98.86</w:t>
      </w:r>
      <w:r>
        <w:rPr>
          <w:rFonts w:hint="eastAsia" w:ascii="仿宋_GB2312" w:eastAsia="仿宋_GB2312"/>
          <w:color w:val="000000"/>
          <w:sz w:val="32"/>
          <w:szCs w:val="32"/>
        </w:rPr>
        <w:t>%；政府性基金收</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万元，占</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%；专户资金</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万元，占</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%；单位结转</w:t>
      </w:r>
      <w:r>
        <w:rPr>
          <w:rFonts w:hint="eastAsia" w:ascii="仿宋_GB2312" w:eastAsia="仿宋_GB2312"/>
          <w:color w:val="000000"/>
          <w:sz w:val="32"/>
          <w:szCs w:val="32"/>
          <w:lang w:val="en-US" w:eastAsia="zh-CN"/>
        </w:rPr>
        <w:t>53</w:t>
      </w:r>
      <w:r>
        <w:rPr>
          <w:rFonts w:hint="eastAsia" w:ascii="仿宋_GB2312" w:eastAsia="仿宋_GB2312"/>
          <w:color w:val="000000"/>
          <w:sz w:val="32"/>
          <w:szCs w:val="32"/>
        </w:rPr>
        <w:t>万元，占</w:t>
      </w:r>
      <w:r>
        <w:rPr>
          <w:rFonts w:hint="eastAsia" w:ascii="仿宋_GB2312" w:eastAsia="仿宋_GB2312"/>
          <w:color w:val="000000"/>
          <w:sz w:val="32"/>
          <w:szCs w:val="32"/>
          <w:lang w:val="en-US" w:eastAsia="zh-CN"/>
        </w:rPr>
        <w:t>1.14</w:t>
      </w:r>
      <w:r>
        <w:rPr>
          <w:rFonts w:hint="eastAsia" w:ascii="仿宋_GB2312" w:eastAsia="仿宋_GB2312"/>
          <w:color w:val="000000"/>
          <w:sz w:val="32"/>
          <w:szCs w:val="32"/>
        </w:rPr>
        <w:t>%。</w:t>
      </w:r>
      <w:r>
        <w:rPr>
          <w:rFonts w:hint="eastAsia" w:ascii="仿宋_GB2312" w:eastAsia="仿宋_GB2312"/>
          <w:color w:val="000000"/>
          <w:sz w:val="32"/>
          <w:szCs w:val="32"/>
        </w:rPr>
        <w:br w:type="textWrapping"/>
      </w:r>
      <w:r>
        <w:rPr>
          <w:rFonts w:hint="eastAsia" w:ascii="楷体_GB2312" w:hAnsi="楷体_GB2312" w:eastAsia="楷体_GB2312" w:cs="楷体_GB2312"/>
          <w:b/>
          <w:color w:val="000000"/>
          <w:sz w:val="32"/>
          <w:szCs w:val="32"/>
        </w:rPr>
        <w:t>　　</w:t>
      </w:r>
      <w:r>
        <w:rPr>
          <w:rFonts w:hint="eastAsia" w:ascii="楷体_GB2312" w:hAnsi="楷体_GB2312" w:eastAsia="楷体_GB2312" w:cs="楷体_GB2312"/>
          <w:b w:val="0"/>
          <w:bCs/>
          <w:color w:val="000000"/>
          <w:sz w:val="32"/>
          <w:szCs w:val="32"/>
        </w:rPr>
        <w:t>（三）关于</w:t>
      </w:r>
      <w:r>
        <w:rPr>
          <w:rFonts w:hint="eastAsia" w:ascii="楷体_GB2312" w:hAnsi="楷体_GB2312" w:eastAsia="楷体_GB2312" w:cs="楷体_GB2312"/>
          <w:b w:val="0"/>
          <w:bCs/>
          <w:color w:val="000000"/>
          <w:sz w:val="32"/>
          <w:szCs w:val="32"/>
          <w:lang w:eastAsia="zh-CN"/>
        </w:rPr>
        <w:t>温州市商务局</w:t>
      </w:r>
      <w:r>
        <w:rPr>
          <w:rFonts w:hint="eastAsia" w:ascii="楷体_GB2312" w:hAnsi="楷体_GB2312" w:eastAsia="楷体_GB2312" w:cs="楷体_GB2312"/>
          <w:b w:val="0"/>
          <w:bCs/>
          <w:color w:val="000000"/>
          <w:sz w:val="32"/>
          <w:szCs w:val="32"/>
        </w:rPr>
        <w:t>2018年支出预算情况说明</w:t>
      </w:r>
      <w:r>
        <w:rPr>
          <w:rFonts w:hint="eastAsia" w:ascii="仿宋_GB2312" w:eastAsia="仿宋_GB2312"/>
          <w:color w:val="000000"/>
          <w:sz w:val="32"/>
          <w:szCs w:val="32"/>
        </w:rPr>
        <w:br w:type="textWrapping"/>
      </w:r>
      <w:r>
        <w:rPr>
          <w:rFonts w:hint="eastAsia" w:ascii="仿宋_GB2312" w:eastAsia="仿宋_GB2312"/>
          <w:color w:val="000000"/>
          <w:sz w:val="32"/>
          <w:szCs w:val="32"/>
        </w:rPr>
        <w:t>　　</w:t>
      </w:r>
      <w:r>
        <w:rPr>
          <w:rFonts w:hint="eastAsia" w:ascii="仿宋_GB2312" w:eastAsia="仿宋_GB2312"/>
          <w:color w:val="000000"/>
          <w:sz w:val="32"/>
          <w:szCs w:val="32"/>
          <w:lang w:eastAsia="zh-CN"/>
        </w:rPr>
        <w:t>温州市商务局</w:t>
      </w:r>
      <w:r>
        <w:rPr>
          <w:rFonts w:hint="eastAsia" w:ascii="仿宋_GB2312" w:eastAsia="仿宋_GB2312"/>
          <w:color w:val="000000"/>
          <w:sz w:val="32"/>
          <w:szCs w:val="32"/>
        </w:rPr>
        <w:t>2018年支出预算</w:t>
      </w:r>
      <w:r>
        <w:rPr>
          <w:rFonts w:hint="eastAsia" w:ascii="仿宋_GB2312" w:eastAsia="仿宋_GB2312"/>
          <w:color w:val="000000"/>
          <w:sz w:val="32"/>
          <w:szCs w:val="32"/>
          <w:lang w:val="en-US" w:eastAsia="zh-CN"/>
        </w:rPr>
        <w:t>4648.93</w:t>
      </w:r>
      <w:r>
        <w:rPr>
          <w:rFonts w:hint="eastAsia" w:ascii="仿宋_GB2312" w:eastAsia="仿宋_GB2312"/>
          <w:color w:val="000000"/>
          <w:sz w:val="32"/>
          <w:szCs w:val="32"/>
        </w:rPr>
        <w:t>万元。</w:t>
      </w:r>
    </w:p>
    <w:p>
      <w:pPr>
        <w:spacing w:line="640" w:lineRule="exact"/>
        <w:ind w:firstLine="630"/>
        <w:rPr>
          <w:rFonts w:hint="eastAsia" w:ascii="仿宋_GB2312" w:eastAsia="仿宋_GB2312"/>
          <w:color w:val="000000"/>
          <w:sz w:val="32"/>
          <w:szCs w:val="32"/>
        </w:rPr>
      </w:pPr>
      <w:r>
        <w:rPr>
          <w:rFonts w:hint="eastAsia" w:ascii="仿宋_GB2312" w:eastAsia="仿宋_GB2312"/>
          <w:color w:val="000000"/>
          <w:sz w:val="32"/>
          <w:szCs w:val="32"/>
        </w:rPr>
        <w:t>1.按支出功能分类，包括按支出功能分类，包括一般公共服务支出</w:t>
      </w:r>
      <w:r>
        <w:rPr>
          <w:rFonts w:hint="eastAsia" w:ascii="仿宋_GB2312" w:eastAsia="仿宋_GB2312"/>
          <w:color w:val="000000"/>
          <w:sz w:val="32"/>
          <w:szCs w:val="32"/>
          <w:lang w:val="en-US" w:eastAsia="zh-CN"/>
        </w:rPr>
        <w:t>2176.86</w:t>
      </w:r>
      <w:r>
        <w:rPr>
          <w:rFonts w:hint="eastAsia" w:ascii="仿宋_GB2312" w:eastAsia="仿宋_GB2312"/>
          <w:color w:val="000000"/>
          <w:sz w:val="32"/>
          <w:szCs w:val="32"/>
        </w:rPr>
        <w:t>万元、社会保障和就业支出</w:t>
      </w:r>
      <w:r>
        <w:rPr>
          <w:rFonts w:hint="eastAsia" w:ascii="仿宋_GB2312" w:eastAsia="仿宋_GB2312"/>
          <w:color w:val="000000"/>
          <w:sz w:val="32"/>
          <w:szCs w:val="32"/>
          <w:lang w:val="en-US" w:eastAsia="zh-CN"/>
        </w:rPr>
        <w:t>218.24万元</w:t>
      </w:r>
      <w:r>
        <w:rPr>
          <w:rFonts w:hint="eastAsia" w:ascii="仿宋_GB2312" w:eastAsia="仿宋_GB2312"/>
          <w:color w:val="000000"/>
          <w:sz w:val="32"/>
          <w:szCs w:val="32"/>
          <w:lang w:eastAsia="zh-CN"/>
        </w:rPr>
        <w:t>、医疗卫生与计划生育支出</w:t>
      </w:r>
      <w:r>
        <w:rPr>
          <w:rFonts w:hint="eastAsia" w:ascii="仿宋_GB2312" w:eastAsia="仿宋_GB2312"/>
          <w:color w:val="000000"/>
          <w:sz w:val="32"/>
          <w:szCs w:val="32"/>
          <w:lang w:val="en-US" w:eastAsia="zh-CN"/>
        </w:rPr>
        <w:t>117.3万元</w:t>
      </w:r>
      <w:r>
        <w:rPr>
          <w:rFonts w:hint="eastAsia" w:ascii="仿宋_GB2312" w:eastAsia="仿宋_GB2312"/>
          <w:color w:val="000000"/>
          <w:sz w:val="32"/>
          <w:szCs w:val="32"/>
          <w:lang w:eastAsia="zh-CN"/>
        </w:rPr>
        <w:t>、商业服务业等支出</w:t>
      </w:r>
      <w:r>
        <w:rPr>
          <w:rFonts w:hint="eastAsia" w:ascii="仿宋_GB2312" w:eastAsia="仿宋_GB2312"/>
          <w:color w:val="000000"/>
          <w:sz w:val="32"/>
          <w:szCs w:val="32"/>
          <w:lang w:val="en-US" w:eastAsia="zh-CN"/>
        </w:rPr>
        <w:t>2027万元、住房保障支出109.53万元。</w:t>
      </w:r>
    </w:p>
    <w:p>
      <w:pPr>
        <w:spacing w:line="640" w:lineRule="exact"/>
        <w:ind w:firstLine="630"/>
        <w:rPr>
          <w:rFonts w:hint="eastAsia" w:ascii="仿宋_GB2312" w:eastAsia="仿宋_GB2312"/>
          <w:color w:val="000000"/>
          <w:sz w:val="32"/>
          <w:szCs w:val="32"/>
        </w:rPr>
      </w:pPr>
      <w:r>
        <w:rPr>
          <w:rFonts w:hint="eastAsia" w:ascii="仿宋_GB2312" w:eastAsia="仿宋_GB2312"/>
          <w:color w:val="000000"/>
          <w:sz w:val="32"/>
          <w:szCs w:val="32"/>
        </w:rPr>
        <w:t>2.按支出用途分类，包括人员支出</w:t>
      </w:r>
      <w:r>
        <w:rPr>
          <w:rFonts w:hint="eastAsia" w:ascii="仿宋_GB2312" w:eastAsia="仿宋_GB2312"/>
          <w:color w:val="000000"/>
          <w:sz w:val="32"/>
          <w:szCs w:val="32"/>
          <w:lang w:val="en-US" w:eastAsia="zh-CN"/>
        </w:rPr>
        <w:t>1953.78</w:t>
      </w:r>
      <w:r>
        <w:rPr>
          <w:rFonts w:hint="eastAsia" w:ascii="仿宋_GB2312" w:eastAsia="仿宋_GB2312"/>
          <w:color w:val="000000"/>
          <w:sz w:val="32"/>
          <w:szCs w:val="32"/>
        </w:rPr>
        <w:t xml:space="preserve">万元，公用支出    </w:t>
      </w:r>
      <w:r>
        <w:rPr>
          <w:rFonts w:hint="eastAsia" w:ascii="仿宋_GB2312" w:eastAsia="仿宋_GB2312"/>
          <w:color w:val="000000"/>
          <w:sz w:val="32"/>
          <w:szCs w:val="32"/>
          <w:lang w:val="en-US" w:eastAsia="zh-CN"/>
        </w:rPr>
        <w:t>263.37</w:t>
      </w:r>
      <w:r>
        <w:rPr>
          <w:rFonts w:hint="eastAsia" w:ascii="仿宋_GB2312" w:eastAsia="仿宋_GB2312"/>
          <w:color w:val="000000"/>
          <w:sz w:val="32"/>
          <w:szCs w:val="32"/>
        </w:rPr>
        <w:t>万元，项目支出</w:t>
      </w:r>
      <w:r>
        <w:rPr>
          <w:rFonts w:hint="eastAsia" w:ascii="仿宋_GB2312" w:eastAsia="仿宋_GB2312"/>
          <w:color w:val="000000"/>
          <w:sz w:val="32"/>
          <w:szCs w:val="32"/>
          <w:lang w:val="en-US" w:eastAsia="zh-CN"/>
        </w:rPr>
        <w:t>2431.78</w:t>
      </w:r>
      <w:r>
        <w:rPr>
          <w:rFonts w:hint="eastAsia" w:ascii="仿宋_GB2312" w:eastAsia="仿宋_GB2312"/>
          <w:color w:val="000000"/>
          <w:sz w:val="32"/>
          <w:szCs w:val="32"/>
        </w:rPr>
        <w:t>万元。</w:t>
      </w:r>
    </w:p>
    <w:p>
      <w:pPr>
        <w:spacing w:line="640" w:lineRule="exact"/>
        <w:ind w:firstLine="627" w:firstLineChars="196"/>
        <w:rPr>
          <w:rFonts w:hint="eastAsia" w:ascii="楷体_GB2312" w:hAnsi="楷体_GB2312" w:eastAsia="楷体_GB2312" w:cs="楷体_GB2312"/>
          <w:b w:val="0"/>
          <w:bCs/>
          <w:color w:val="000000"/>
          <w:sz w:val="32"/>
          <w:szCs w:val="32"/>
        </w:rPr>
      </w:pPr>
      <w:r>
        <w:rPr>
          <w:rFonts w:hint="eastAsia" w:ascii="楷体_GB2312" w:hAnsi="楷体_GB2312" w:eastAsia="楷体_GB2312" w:cs="楷体_GB2312"/>
          <w:b w:val="0"/>
          <w:bCs/>
          <w:color w:val="000000"/>
          <w:sz w:val="32"/>
          <w:szCs w:val="32"/>
        </w:rPr>
        <w:t>（四）关于</w:t>
      </w:r>
      <w:r>
        <w:rPr>
          <w:rFonts w:hint="eastAsia" w:ascii="楷体_GB2312" w:hAnsi="楷体_GB2312" w:eastAsia="楷体_GB2312" w:cs="楷体_GB2312"/>
          <w:b w:val="0"/>
          <w:bCs/>
          <w:color w:val="000000"/>
          <w:sz w:val="32"/>
          <w:szCs w:val="32"/>
          <w:lang w:eastAsia="zh-CN"/>
        </w:rPr>
        <w:t>温州市商务局</w:t>
      </w:r>
      <w:r>
        <w:rPr>
          <w:rFonts w:hint="eastAsia" w:ascii="楷体_GB2312" w:hAnsi="楷体_GB2312" w:eastAsia="楷体_GB2312" w:cs="楷体_GB2312"/>
          <w:b w:val="0"/>
          <w:bCs/>
          <w:color w:val="000000"/>
          <w:sz w:val="32"/>
          <w:szCs w:val="32"/>
        </w:rPr>
        <w:t>2018年财政拨款收支预算情况的总体说明</w:t>
      </w:r>
    </w:p>
    <w:p>
      <w:pPr>
        <w:spacing w:line="640" w:lineRule="exact"/>
        <w:ind w:firstLine="640"/>
        <w:rPr>
          <w:rFonts w:hint="eastAsia" w:ascii="仿宋_GB2312" w:eastAsia="仿宋_GB2312"/>
          <w:color w:val="000000"/>
          <w:sz w:val="32"/>
          <w:szCs w:val="32"/>
        </w:rPr>
      </w:pPr>
      <w:r>
        <w:rPr>
          <w:rFonts w:hint="eastAsia" w:ascii="仿宋_GB2312" w:eastAsia="仿宋_GB2312"/>
          <w:color w:val="000000"/>
          <w:sz w:val="32"/>
          <w:szCs w:val="32"/>
          <w:lang w:eastAsia="zh-CN"/>
        </w:rPr>
        <w:t>温州市商务局</w:t>
      </w:r>
      <w:r>
        <w:rPr>
          <w:rFonts w:hint="eastAsia" w:ascii="仿宋_GB2312" w:eastAsia="仿宋_GB2312"/>
          <w:color w:val="000000"/>
          <w:sz w:val="32"/>
          <w:szCs w:val="32"/>
        </w:rPr>
        <w:t>2018年财政拨款收支总预算</w:t>
      </w:r>
      <w:r>
        <w:rPr>
          <w:rFonts w:hint="eastAsia" w:ascii="仿宋_GB2312" w:eastAsia="仿宋_GB2312"/>
          <w:color w:val="000000"/>
          <w:sz w:val="32"/>
          <w:szCs w:val="32"/>
          <w:lang w:val="en-US" w:eastAsia="zh-CN"/>
        </w:rPr>
        <w:t>4595.93</w:t>
      </w:r>
      <w:r>
        <w:rPr>
          <w:rFonts w:hint="eastAsia" w:ascii="仿宋_GB2312" w:eastAsia="仿宋_GB2312"/>
          <w:color w:val="000000"/>
          <w:sz w:val="32"/>
          <w:szCs w:val="32"/>
        </w:rPr>
        <w:t>万元。包括：一般公共预算拨款收入</w:t>
      </w:r>
      <w:r>
        <w:rPr>
          <w:rFonts w:hint="eastAsia" w:ascii="仿宋_GB2312" w:eastAsia="仿宋_GB2312"/>
          <w:color w:val="000000"/>
          <w:sz w:val="32"/>
          <w:szCs w:val="32"/>
          <w:lang w:val="en-US" w:eastAsia="zh-CN"/>
        </w:rPr>
        <w:t>4595.93</w:t>
      </w:r>
      <w:r>
        <w:rPr>
          <w:rFonts w:hint="eastAsia" w:ascii="仿宋_GB2312" w:eastAsia="仿宋_GB2312"/>
          <w:color w:val="000000"/>
          <w:sz w:val="32"/>
          <w:szCs w:val="32"/>
        </w:rPr>
        <w:t>万元；支出包括：一般公共服务支出</w:t>
      </w:r>
      <w:r>
        <w:rPr>
          <w:rFonts w:hint="eastAsia" w:ascii="仿宋_GB2312" w:eastAsia="仿宋_GB2312"/>
          <w:color w:val="000000"/>
          <w:sz w:val="32"/>
          <w:szCs w:val="32"/>
          <w:lang w:val="en-US" w:eastAsia="zh-CN"/>
        </w:rPr>
        <w:t>2156.86</w:t>
      </w:r>
      <w:r>
        <w:rPr>
          <w:rFonts w:hint="eastAsia" w:ascii="仿宋_GB2312" w:eastAsia="仿宋_GB2312"/>
          <w:color w:val="000000"/>
          <w:sz w:val="32"/>
          <w:szCs w:val="32"/>
        </w:rPr>
        <w:t>万元、社会保障和就业支出</w:t>
      </w:r>
      <w:r>
        <w:rPr>
          <w:rFonts w:hint="eastAsia" w:ascii="仿宋_GB2312" w:eastAsia="仿宋_GB2312"/>
          <w:color w:val="000000"/>
          <w:sz w:val="32"/>
          <w:szCs w:val="32"/>
          <w:lang w:val="en-US" w:eastAsia="zh-CN"/>
        </w:rPr>
        <w:t>218.24万元</w:t>
      </w:r>
      <w:r>
        <w:rPr>
          <w:rFonts w:hint="eastAsia" w:ascii="仿宋_GB2312" w:eastAsia="仿宋_GB2312"/>
          <w:color w:val="000000"/>
          <w:sz w:val="32"/>
          <w:szCs w:val="32"/>
          <w:lang w:eastAsia="zh-CN"/>
        </w:rPr>
        <w:t>、医疗卫生与计划生育支出</w:t>
      </w:r>
      <w:r>
        <w:rPr>
          <w:rFonts w:hint="eastAsia" w:ascii="仿宋_GB2312" w:eastAsia="仿宋_GB2312"/>
          <w:color w:val="000000"/>
          <w:sz w:val="32"/>
          <w:szCs w:val="32"/>
          <w:lang w:val="en-US" w:eastAsia="zh-CN"/>
        </w:rPr>
        <w:t>117.3万元</w:t>
      </w:r>
      <w:r>
        <w:rPr>
          <w:rFonts w:hint="eastAsia" w:ascii="仿宋_GB2312" w:eastAsia="仿宋_GB2312"/>
          <w:color w:val="000000"/>
          <w:sz w:val="32"/>
          <w:szCs w:val="32"/>
          <w:lang w:eastAsia="zh-CN"/>
        </w:rPr>
        <w:t>、商业服务业等支出</w:t>
      </w:r>
      <w:r>
        <w:rPr>
          <w:rFonts w:hint="eastAsia" w:ascii="仿宋_GB2312" w:eastAsia="仿宋_GB2312"/>
          <w:color w:val="000000"/>
          <w:sz w:val="32"/>
          <w:szCs w:val="32"/>
          <w:lang w:val="en-US" w:eastAsia="zh-CN"/>
        </w:rPr>
        <w:t>1994万元、住房保障支出109.53万元。</w:t>
      </w:r>
    </w:p>
    <w:p>
      <w:pPr>
        <w:numPr>
          <w:ilvl w:val="0"/>
          <w:numId w:val="1"/>
        </w:numPr>
        <w:spacing w:line="640" w:lineRule="exact"/>
        <w:ind w:firstLine="640"/>
        <w:rPr>
          <w:rFonts w:hint="eastAsia" w:ascii="楷体_GB2312" w:hAnsi="楷体_GB2312" w:eastAsia="楷体_GB2312" w:cs="楷体_GB2312"/>
          <w:b w:val="0"/>
          <w:bCs/>
          <w:color w:val="000000"/>
          <w:sz w:val="32"/>
          <w:szCs w:val="32"/>
        </w:rPr>
      </w:pPr>
      <w:r>
        <w:rPr>
          <w:rFonts w:hint="eastAsia" w:ascii="楷体_GB2312" w:hAnsi="楷体_GB2312" w:eastAsia="楷体_GB2312" w:cs="楷体_GB2312"/>
          <w:b w:val="0"/>
          <w:bCs/>
          <w:color w:val="000000"/>
          <w:sz w:val="32"/>
          <w:szCs w:val="32"/>
        </w:rPr>
        <w:t>关于</w:t>
      </w:r>
      <w:r>
        <w:rPr>
          <w:rFonts w:hint="eastAsia" w:ascii="楷体_GB2312" w:hAnsi="楷体_GB2312" w:eastAsia="楷体_GB2312" w:cs="楷体_GB2312"/>
          <w:b w:val="0"/>
          <w:bCs/>
          <w:color w:val="000000"/>
          <w:sz w:val="32"/>
          <w:szCs w:val="32"/>
          <w:lang w:eastAsia="zh-CN"/>
        </w:rPr>
        <w:t>温州市商务局</w:t>
      </w:r>
      <w:r>
        <w:rPr>
          <w:rFonts w:hint="eastAsia" w:ascii="楷体_GB2312" w:hAnsi="楷体_GB2312" w:eastAsia="楷体_GB2312" w:cs="楷体_GB2312"/>
          <w:b w:val="0"/>
          <w:bCs/>
          <w:color w:val="000000"/>
          <w:sz w:val="32"/>
          <w:szCs w:val="32"/>
        </w:rPr>
        <w:t>2018年一般公共预算当年拨款情况说明</w:t>
      </w:r>
    </w:p>
    <w:p>
      <w:pPr>
        <w:spacing w:line="540" w:lineRule="exact"/>
        <w:ind w:firstLine="642"/>
        <w:rPr>
          <w:rFonts w:hint="eastAsia" w:ascii="仿宋_GB2312" w:eastAsia="仿宋_GB2312"/>
          <w:color w:val="000000"/>
          <w:sz w:val="32"/>
          <w:szCs w:val="32"/>
        </w:rPr>
      </w:pPr>
      <w:r>
        <w:rPr>
          <w:rFonts w:hint="eastAsia" w:ascii="仿宋_GB2312" w:eastAsia="仿宋_GB2312"/>
          <w:color w:val="000000"/>
          <w:sz w:val="32"/>
          <w:szCs w:val="32"/>
        </w:rPr>
        <w:t>1.一般公共预算当年拨款规模变化情况</w:t>
      </w:r>
    </w:p>
    <w:p>
      <w:pPr>
        <w:spacing w:line="540" w:lineRule="exact"/>
        <w:ind w:firstLine="642"/>
        <w:rPr>
          <w:rFonts w:hint="eastAsia" w:ascii="仿宋_GB2312" w:eastAsia="仿宋_GB2312"/>
          <w:color w:val="000000"/>
          <w:sz w:val="32"/>
          <w:szCs w:val="32"/>
        </w:rPr>
      </w:pPr>
      <w:r>
        <w:rPr>
          <w:rFonts w:hint="eastAsia" w:ascii="仿宋_GB2312" w:eastAsia="仿宋_GB2312"/>
          <w:color w:val="000000"/>
          <w:sz w:val="32"/>
          <w:szCs w:val="32"/>
          <w:lang w:eastAsia="zh-CN"/>
        </w:rPr>
        <w:t>温州市商务局</w:t>
      </w:r>
      <w:r>
        <w:rPr>
          <w:rFonts w:hint="eastAsia" w:ascii="仿宋_GB2312" w:eastAsia="仿宋_GB2312"/>
          <w:color w:val="000000"/>
          <w:sz w:val="32"/>
          <w:szCs w:val="32"/>
        </w:rPr>
        <w:t>201</w:t>
      </w:r>
      <w:r>
        <w:rPr>
          <w:rFonts w:hint="eastAsia" w:ascii="仿宋_GB2312" w:eastAsia="仿宋_GB2312"/>
          <w:color w:val="000000"/>
          <w:sz w:val="32"/>
          <w:szCs w:val="32"/>
          <w:lang w:val="en-US" w:eastAsia="zh-CN"/>
        </w:rPr>
        <w:t>8</w:t>
      </w:r>
      <w:r>
        <w:rPr>
          <w:rFonts w:hint="eastAsia" w:ascii="仿宋_GB2312" w:eastAsia="仿宋_GB2312"/>
          <w:color w:val="000000"/>
          <w:sz w:val="32"/>
          <w:szCs w:val="32"/>
        </w:rPr>
        <w:t>年一般公共预算当年拨款</w:t>
      </w:r>
      <w:r>
        <w:rPr>
          <w:rFonts w:hint="eastAsia" w:ascii="仿宋_GB2312" w:eastAsia="仿宋_GB2312"/>
          <w:color w:val="000000"/>
          <w:sz w:val="32"/>
          <w:szCs w:val="32"/>
          <w:lang w:val="en-US" w:eastAsia="zh-CN"/>
        </w:rPr>
        <w:t>4595.93</w:t>
      </w:r>
      <w:r>
        <w:rPr>
          <w:rFonts w:hint="eastAsia" w:ascii="仿宋_GB2312" w:eastAsia="仿宋_GB2312"/>
          <w:color w:val="000000"/>
          <w:sz w:val="32"/>
          <w:szCs w:val="32"/>
        </w:rPr>
        <w:t>万元，比201</w:t>
      </w:r>
      <w:r>
        <w:rPr>
          <w:rFonts w:hint="eastAsia" w:ascii="仿宋_GB2312" w:eastAsia="仿宋_GB2312"/>
          <w:color w:val="000000"/>
          <w:sz w:val="32"/>
          <w:szCs w:val="32"/>
          <w:lang w:val="en-US" w:eastAsia="zh-CN"/>
        </w:rPr>
        <w:t>7</w:t>
      </w:r>
      <w:r>
        <w:rPr>
          <w:rFonts w:hint="eastAsia" w:ascii="仿宋_GB2312" w:eastAsia="仿宋_GB2312"/>
          <w:color w:val="000000"/>
          <w:sz w:val="32"/>
          <w:szCs w:val="32"/>
        </w:rPr>
        <w:t>年执行数减少</w:t>
      </w:r>
      <w:r>
        <w:rPr>
          <w:rFonts w:hint="eastAsia" w:ascii="仿宋_GB2312" w:eastAsia="仿宋_GB2312"/>
          <w:color w:val="000000"/>
          <w:sz w:val="32"/>
          <w:szCs w:val="32"/>
          <w:lang w:val="en-US" w:eastAsia="zh-CN"/>
        </w:rPr>
        <w:t>386.39</w:t>
      </w:r>
      <w:r>
        <w:rPr>
          <w:rFonts w:hint="eastAsia" w:ascii="仿宋_GB2312" w:eastAsia="仿宋_GB2312"/>
          <w:color w:val="000000"/>
          <w:sz w:val="32"/>
          <w:szCs w:val="32"/>
        </w:rPr>
        <w:t>万元，主要是</w:t>
      </w:r>
      <w:r>
        <w:rPr>
          <w:rFonts w:hint="eastAsia" w:ascii="仿宋_GB2312" w:eastAsia="仿宋_GB2312"/>
          <w:color w:val="000000"/>
          <w:sz w:val="32"/>
          <w:szCs w:val="32"/>
          <w:lang w:eastAsia="zh-CN"/>
        </w:rPr>
        <w:t>人员、项目支出减少</w:t>
      </w:r>
      <w:r>
        <w:rPr>
          <w:rFonts w:hint="eastAsia" w:ascii="仿宋_GB2312" w:eastAsia="仿宋_GB2312"/>
          <w:color w:val="000000"/>
          <w:sz w:val="32"/>
          <w:szCs w:val="32"/>
        </w:rPr>
        <w:t>。</w:t>
      </w:r>
    </w:p>
    <w:p>
      <w:pPr>
        <w:spacing w:line="640" w:lineRule="exact"/>
        <w:ind w:firstLine="642"/>
        <w:rPr>
          <w:rFonts w:hint="eastAsia" w:ascii="楷体_GB2312" w:hAnsi="楷体_GB2312" w:eastAsia="楷体_GB2312" w:cs="楷体_GB2312"/>
          <w:b w:val="0"/>
          <w:bCs/>
          <w:color w:val="000000"/>
          <w:sz w:val="32"/>
          <w:szCs w:val="32"/>
        </w:rPr>
      </w:pPr>
      <w:r>
        <w:rPr>
          <w:rFonts w:hint="eastAsia" w:ascii="楷体_GB2312" w:hAnsi="楷体_GB2312" w:eastAsia="楷体_GB2312" w:cs="楷体_GB2312"/>
          <w:b w:val="0"/>
          <w:bCs/>
          <w:color w:val="000000"/>
          <w:sz w:val="32"/>
          <w:szCs w:val="32"/>
        </w:rPr>
        <w:t>2.一般公共预算当年拨款结构情况</w:t>
      </w:r>
    </w:p>
    <w:p>
      <w:pPr>
        <w:spacing w:line="540" w:lineRule="exact"/>
        <w:ind w:firstLine="630"/>
        <w:rPr>
          <w:rFonts w:hint="eastAsia" w:ascii="仿宋_GB2312" w:eastAsia="仿宋_GB2312"/>
          <w:color w:val="000000"/>
          <w:sz w:val="32"/>
          <w:szCs w:val="32"/>
        </w:rPr>
      </w:pPr>
      <w:r>
        <w:rPr>
          <w:rFonts w:hint="eastAsia" w:ascii="仿宋_GB2312" w:eastAsia="仿宋_GB2312"/>
          <w:color w:val="000000"/>
          <w:sz w:val="32"/>
          <w:szCs w:val="32"/>
        </w:rPr>
        <w:t>一般公共服务</w:t>
      </w:r>
      <w:r>
        <w:rPr>
          <w:rFonts w:hint="eastAsia" w:ascii="仿宋_GB2312" w:eastAsia="仿宋_GB2312"/>
          <w:color w:val="000000"/>
          <w:sz w:val="32"/>
          <w:szCs w:val="32"/>
          <w:lang w:eastAsia="zh-CN"/>
        </w:rPr>
        <w:t>（类）</w:t>
      </w:r>
      <w:r>
        <w:rPr>
          <w:rFonts w:hint="eastAsia" w:ascii="仿宋_GB2312" w:eastAsia="仿宋_GB2312"/>
          <w:color w:val="000000"/>
          <w:sz w:val="32"/>
          <w:szCs w:val="32"/>
          <w:lang w:val="en-US" w:eastAsia="zh-CN"/>
        </w:rPr>
        <w:t>2156.86</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，占</w:t>
      </w:r>
      <w:r>
        <w:rPr>
          <w:rFonts w:hint="eastAsia" w:ascii="仿宋_GB2312" w:eastAsia="仿宋_GB2312"/>
          <w:color w:val="000000"/>
          <w:sz w:val="32"/>
          <w:szCs w:val="32"/>
          <w:lang w:val="en-US" w:eastAsia="zh-CN"/>
        </w:rPr>
        <w:t>46.9%。</w:t>
      </w:r>
      <w:r>
        <w:rPr>
          <w:rFonts w:hint="eastAsia" w:ascii="仿宋_GB2312" w:eastAsia="仿宋_GB2312"/>
          <w:color w:val="000000"/>
          <w:sz w:val="32"/>
          <w:szCs w:val="32"/>
        </w:rPr>
        <w:t>社会保障和就业</w:t>
      </w:r>
      <w:r>
        <w:rPr>
          <w:rFonts w:hint="eastAsia" w:ascii="仿宋_GB2312" w:eastAsia="仿宋_GB2312"/>
          <w:color w:val="000000"/>
          <w:sz w:val="32"/>
          <w:szCs w:val="32"/>
          <w:lang w:eastAsia="zh-CN"/>
        </w:rPr>
        <w:t>（类）</w:t>
      </w:r>
      <w:r>
        <w:rPr>
          <w:rFonts w:hint="eastAsia" w:ascii="仿宋_GB2312" w:eastAsia="仿宋_GB2312"/>
          <w:color w:val="000000"/>
          <w:sz w:val="32"/>
          <w:szCs w:val="32"/>
          <w:lang w:val="en-US" w:eastAsia="zh-CN"/>
        </w:rPr>
        <w:t>218.24万元，占4.7%。</w:t>
      </w:r>
      <w:r>
        <w:rPr>
          <w:rFonts w:hint="eastAsia" w:ascii="仿宋_GB2312" w:eastAsia="仿宋_GB2312"/>
          <w:color w:val="000000"/>
          <w:sz w:val="32"/>
          <w:szCs w:val="32"/>
          <w:lang w:eastAsia="zh-CN"/>
        </w:rPr>
        <w:t>医疗卫生与计划生育（类）</w:t>
      </w:r>
      <w:r>
        <w:rPr>
          <w:rFonts w:hint="eastAsia" w:ascii="仿宋_GB2312" w:eastAsia="仿宋_GB2312"/>
          <w:color w:val="000000"/>
          <w:sz w:val="32"/>
          <w:szCs w:val="32"/>
          <w:lang w:val="en-US" w:eastAsia="zh-CN"/>
        </w:rPr>
        <w:t>117.3万元，占2.6%</w:t>
      </w:r>
      <w:r>
        <w:rPr>
          <w:rFonts w:hint="eastAsia" w:ascii="仿宋_GB2312" w:eastAsia="仿宋_GB2312"/>
          <w:color w:val="000000"/>
          <w:sz w:val="32"/>
          <w:szCs w:val="32"/>
          <w:lang w:eastAsia="zh-CN"/>
        </w:rPr>
        <w:t>、商业服务业（类）</w:t>
      </w:r>
      <w:r>
        <w:rPr>
          <w:rFonts w:hint="eastAsia" w:ascii="仿宋_GB2312" w:eastAsia="仿宋_GB2312"/>
          <w:color w:val="000000"/>
          <w:sz w:val="32"/>
          <w:szCs w:val="32"/>
          <w:lang w:val="en-US" w:eastAsia="zh-CN"/>
        </w:rPr>
        <w:t>1994万元，占43.4%、住房保障（类）109.53万元，占2.4%。</w:t>
      </w:r>
    </w:p>
    <w:p>
      <w:pPr>
        <w:spacing w:line="640" w:lineRule="exact"/>
        <w:rPr>
          <w:rFonts w:hint="eastAsia" w:ascii="仿宋_GB2312" w:eastAsia="仿宋_GB2312"/>
          <w:color w:val="000000"/>
          <w:sz w:val="32"/>
          <w:szCs w:val="32"/>
        </w:rPr>
      </w:pPr>
      <w:r>
        <w:rPr>
          <w:rFonts w:hint="eastAsia" w:ascii="仿宋_GB2312" w:eastAsia="仿宋_GB2312"/>
          <w:color w:val="000000"/>
          <w:sz w:val="32"/>
          <w:szCs w:val="32"/>
        </w:rPr>
        <w:t xml:space="preserve">  </w:t>
      </w:r>
      <w:r>
        <w:rPr>
          <w:rFonts w:hint="eastAsia" w:ascii="楷体_GB2312" w:hAnsi="楷体_GB2312" w:eastAsia="楷体_GB2312" w:cs="楷体_GB2312"/>
          <w:b/>
          <w:color w:val="000000"/>
          <w:sz w:val="32"/>
          <w:szCs w:val="32"/>
        </w:rPr>
        <w:t xml:space="preserve">  </w:t>
      </w:r>
      <w:r>
        <w:rPr>
          <w:rFonts w:hint="eastAsia" w:ascii="楷体_GB2312" w:hAnsi="楷体_GB2312" w:eastAsia="楷体_GB2312" w:cs="楷体_GB2312"/>
          <w:b w:val="0"/>
          <w:bCs/>
          <w:color w:val="000000"/>
          <w:sz w:val="32"/>
          <w:szCs w:val="32"/>
        </w:rPr>
        <w:t>3.一般公共预算当年拨款具体使用情况</w:t>
      </w:r>
    </w:p>
    <w:p>
      <w:pPr>
        <w:numPr>
          <w:ilvl w:val="0"/>
          <w:numId w:val="2"/>
        </w:numPr>
        <w:spacing w:line="540" w:lineRule="exact"/>
        <w:ind w:left="425" w:leftChars="0" w:hanging="425" w:firstLineChars="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一般公共服务支出（类）商贸事务（款） 行政运行（商贸事务）（项）事务1478.57万元，主要用于温州市商务局机关人员工资及公用经费、离退休等支出。</w:t>
      </w:r>
    </w:p>
    <w:p>
      <w:pPr>
        <w:numPr>
          <w:ilvl w:val="0"/>
          <w:numId w:val="2"/>
        </w:numPr>
        <w:spacing w:line="540" w:lineRule="exact"/>
        <w:ind w:left="425" w:leftChars="0" w:hanging="425" w:firstLineChars="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一般公共服务支出（类）商贸事务（款） 一般行政管理事务（商贸事务）（项）事务368.36万元，主要用于机关日常项目等。</w:t>
      </w:r>
    </w:p>
    <w:p>
      <w:pPr>
        <w:numPr>
          <w:ilvl w:val="0"/>
          <w:numId w:val="2"/>
        </w:numPr>
        <w:spacing w:line="540" w:lineRule="exact"/>
        <w:ind w:left="425" w:leftChars="0" w:hanging="425" w:firstLineChars="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一般公共服务支出（类）商贸事务（款）事业运行（商 贸事务）（项）事务213.09万元，主要用于温州市商务局所属事业单位人员工资及退休方面等支出。</w:t>
      </w:r>
    </w:p>
    <w:p>
      <w:pPr>
        <w:numPr>
          <w:ilvl w:val="0"/>
          <w:numId w:val="2"/>
        </w:numPr>
        <w:spacing w:line="540" w:lineRule="exact"/>
        <w:ind w:left="425" w:leftChars="0" w:hanging="425" w:firstLineChars="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一般公共服务支出（类）商贸事务（款）其他商贸事务96.84万元，主要用于机关及事业单位日常运转项目。</w:t>
      </w:r>
    </w:p>
    <w:p>
      <w:pPr>
        <w:numPr>
          <w:ilvl w:val="0"/>
          <w:numId w:val="2"/>
        </w:numPr>
        <w:spacing w:line="540" w:lineRule="exact"/>
        <w:ind w:left="425" w:leftChars="0" w:hanging="425" w:firstLineChars="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社会保障和就业支出（类）行政事业单位离退休（款） 机关事业单位基本养老保险缴费支出（项）事务155.85万元，主要用于机关事业单位基本养老保险缴费支出(单位部分）。</w:t>
      </w:r>
    </w:p>
    <w:p>
      <w:pPr>
        <w:numPr>
          <w:ilvl w:val="0"/>
          <w:numId w:val="2"/>
        </w:numPr>
        <w:spacing w:line="540" w:lineRule="exact"/>
        <w:ind w:left="425" w:leftChars="0" w:hanging="425" w:firstLineChars="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社会保障和就业支出（类）行政事业单位离退休（款）机关事业单位职业年金缴费支出（项）事务62.39万元，主要用于机关事业单位职业年金缴费支出(单位部分）。</w:t>
      </w:r>
    </w:p>
    <w:p>
      <w:pPr>
        <w:numPr>
          <w:ilvl w:val="0"/>
          <w:numId w:val="2"/>
        </w:numPr>
        <w:spacing w:line="540" w:lineRule="exact"/>
        <w:ind w:left="425" w:leftChars="0" w:hanging="425" w:firstLineChars="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医疗卫生与计划生育支出（类）行政事业单位医疗（款）行政单位医疗（项）事务104.66万元，主要用于局机关职工医疗保险费用缴纳（单位部分）。</w:t>
      </w:r>
    </w:p>
    <w:p>
      <w:pPr>
        <w:numPr>
          <w:ilvl w:val="0"/>
          <w:numId w:val="2"/>
        </w:numPr>
        <w:spacing w:line="540" w:lineRule="exact"/>
        <w:ind w:left="425" w:leftChars="0" w:hanging="425" w:firstLineChars="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医疗卫生与计划生育支出（类）行政事业单位医疗（款）事业单位医疗（项）事务12.64万元，主要用于事业单位医疗保险费用缴纳（单位部分）。</w:t>
      </w:r>
    </w:p>
    <w:p>
      <w:pPr>
        <w:numPr>
          <w:ilvl w:val="0"/>
          <w:numId w:val="2"/>
        </w:numPr>
        <w:spacing w:line="540" w:lineRule="exact"/>
        <w:ind w:left="425" w:leftChars="0" w:hanging="425" w:firstLineChars="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商业服务业等支出（类）商业流通事务（款）其他商业流通事务支出（项）事务966万元，主要用于促进商贸发展的项目。</w:t>
      </w:r>
    </w:p>
    <w:p>
      <w:pPr>
        <w:numPr>
          <w:ilvl w:val="0"/>
          <w:numId w:val="2"/>
        </w:numPr>
        <w:spacing w:line="540" w:lineRule="exact"/>
        <w:ind w:left="425" w:leftChars="0" w:hanging="425" w:firstLineChars="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商业服务业等支出（类）涉外发展服务支出（款）其他涉外发展服务支出（项）事务1028万元，主要用于促进开放型经济项目。</w:t>
      </w:r>
    </w:p>
    <w:p>
      <w:pPr>
        <w:numPr>
          <w:ilvl w:val="0"/>
          <w:numId w:val="2"/>
        </w:numPr>
        <w:spacing w:line="540" w:lineRule="exact"/>
        <w:ind w:left="425" w:leftChars="0" w:hanging="425" w:firstLineChars="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住房保障支出（类）住房改革支出（款）住房公积金（项）事务98.23万元，主要用于缴纳机关职工住房公积金（单位部分）。</w:t>
      </w:r>
    </w:p>
    <w:p>
      <w:pPr>
        <w:numPr>
          <w:ilvl w:val="0"/>
          <w:numId w:val="2"/>
        </w:numPr>
        <w:spacing w:line="540" w:lineRule="exact"/>
        <w:ind w:left="425" w:leftChars="0" w:hanging="425" w:firstLineChars="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 xml:space="preserve">住房改革支出（类）住房公积金（款）购房补贴（项）事务11.3万元，主要用于缴纳1999年以后参加工作的机关职工住房公积金补贴（单位部分）。   </w:t>
      </w:r>
    </w:p>
    <w:p>
      <w:pPr>
        <w:spacing w:line="640" w:lineRule="exact"/>
        <w:ind w:firstLine="640" w:firstLineChars="200"/>
        <w:rPr>
          <w:rFonts w:hint="eastAsia" w:ascii="楷体_GB2312" w:hAnsi="楷体_GB2312" w:eastAsia="楷体_GB2312" w:cs="楷体_GB2312"/>
          <w:b/>
          <w:color w:val="000000"/>
          <w:sz w:val="32"/>
          <w:szCs w:val="32"/>
        </w:rPr>
      </w:pPr>
      <w:r>
        <w:rPr>
          <w:rFonts w:hint="eastAsia" w:ascii="楷体_GB2312" w:hAnsi="楷体_GB2312" w:eastAsia="楷体_GB2312" w:cs="楷体_GB2312"/>
          <w:b w:val="0"/>
          <w:bCs/>
          <w:color w:val="000000"/>
          <w:sz w:val="32"/>
          <w:szCs w:val="32"/>
        </w:rPr>
        <w:t>（六）关于</w:t>
      </w:r>
      <w:r>
        <w:rPr>
          <w:rFonts w:hint="eastAsia" w:ascii="楷体_GB2312" w:hAnsi="楷体_GB2312" w:eastAsia="楷体_GB2312" w:cs="楷体_GB2312"/>
          <w:b w:val="0"/>
          <w:bCs/>
          <w:color w:val="000000"/>
          <w:sz w:val="32"/>
          <w:szCs w:val="32"/>
          <w:lang w:eastAsia="zh-CN"/>
        </w:rPr>
        <w:t>温州市商务局</w:t>
      </w:r>
      <w:r>
        <w:rPr>
          <w:rFonts w:hint="eastAsia" w:ascii="楷体_GB2312" w:hAnsi="楷体_GB2312" w:eastAsia="楷体_GB2312" w:cs="楷体_GB2312"/>
          <w:b w:val="0"/>
          <w:bCs/>
          <w:color w:val="000000"/>
          <w:sz w:val="32"/>
          <w:szCs w:val="32"/>
        </w:rPr>
        <w:t>2018年一般公共预算基本支出情况说明</w:t>
      </w:r>
    </w:p>
    <w:p>
      <w:pPr>
        <w:spacing w:line="640" w:lineRule="exact"/>
        <w:ind w:firstLine="642"/>
        <w:rPr>
          <w:rFonts w:hint="eastAsia" w:ascii="仿宋_GB2312" w:eastAsia="仿宋_GB2312"/>
          <w:color w:val="000000"/>
          <w:sz w:val="32"/>
          <w:szCs w:val="32"/>
        </w:rPr>
      </w:pPr>
      <w:r>
        <w:rPr>
          <w:rFonts w:hint="eastAsia" w:ascii="仿宋_GB2312" w:eastAsia="仿宋_GB2312"/>
          <w:color w:val="000000"/>
          <w:sz w:val="32"/>
          <w:szCs w:val="32"/>
          <w:lang w:eastAsia="zh-CN"/>
        </w:rPr>
        <w:t>温州市商务局</w:t>
      </w:r>
      <w:r>
        <w:rPr>
          <w:rFonts w:hint="eastAsia" w:ascii="仿宋_GB2312" w:eastAsia="仿宋_GB2312"/>
          <w:color w:val="000000"/>
          <w:sz w:val="32"/>
          <w:szCs w:val="32"/>
        </w:rPr>
        <w:t>2018年一般公共预算基本支出</w:t>
      </w:r>
      <w:r>
        <w:rPr>
          <w:rFonts w:hint="eastAsia" w:ascii="仿宋_GB2312" w:eastAsia="仿宋_GB2312"/>
          <w:color w:val="000000"/>
          <w:sz w:val="32"/>
          <w:szCs w:val="32"/>
          <w:lang w:val="en-US" w:eastAsia="zh-CN"/>
        </w:rPr>
        <w:t>2217.15</w:t>
      </w:r>
      <w:r>
        <w:rPr>
          <w:rFonts w:hint="eastAsia" w:ascii="仿宋_GB2312" w:eastAsia="仿宋_GB2312"/>
          <w:color w:val="000000"/>
          <w:sz w:val="32"/>
          <w:szCs w:val="32"/>
        </w:rPr>
        <w:t>万元，其中：</w:t>
      </w:r>
    </w:p>
    <w:p>
      <w:pPr>
        <w:spacing w:line="640" w:lineRule="exact"/>
        <w:ind w:firstLine="642"/>
        <w:rPr>
          <w:rFonts w:hint="eastAsia" w:ascii="仿宋_GB2312" w:eastAsia="仿宋_GB2312"/>
          <w:color w:val="000000"/>
          <w:sz w:val="32"/>
          <w:szCs w:val="32"/>
        </w:rPr>
      </w:pPr>
      <w:r>
        <w:rPr>
          <w:rFonts w:hint="eastAsia" w:ascii="仿宋_GB2312" w:eastAsia="仿宋_GB2312"/>
          <w:color w:val="000000"/>
          <w:sz w:val="32"/>
          <w:szCs w:val="32"/>
        </w:rPr>
        <w:t>人员经费</w:t>
      </w:r>
      <w:r>
        <w:rPr>
          <w:rFonts w:hint="eastAsia" w:ascii="仿宋_GB2312" w:eastAsia="仿宋_GB2312"/>
          <w:color w:val="000000"/>
          <w:sz w:val="32"/>
          <w:szCs w:val="32"/>
          <w:lang w:val="en-US" w:eastAsia="zh-CN"/>
        </w:rPr>
        <w:t>1732.59</w:t>
      </w:r>
      <w:r>
        <w:rPr>
          <w:rFonts w:hint="eastAsia" w:ascii="仿宋_GB2312" w:eastAsia="仿宋_GB2312"/>
          <w:color w:val="000000"/>
          <w:sz w:val="32"/>
          <w:szCs w:val="32"/>
        </w:rPr>
        <w:t>万元，主要包括：基本工资、津贴补贴、奖金、绩效工资、机关事业单位基本养老保险缴费、职业年金缴费、职工基本医疗保险缴费、公务员医疗补助缴费、其他社会保障缴费、住房公积金、医疗费、其他工资福利支出、离休费、抚恤金、生活补助、医疗费补助、奖励金、其他对个人和家庭的补助支出；</w:t>
      </w:r>
    </w:p>
    <w:p>
      <w:pPr>
        <w:spacing w:line="640" w:lineRule="exact"/>
        <w:ind w:firstLine="642"/>
        <w:rPr>
          <w:rFonts w:hint="eastAsia" w:ascii="仿宋_GB2312" w:eastAsia="仿宋_GB2312"/>
          <w:color w:val="000000"/>
          <w:sz w:val="32"/>
          <w:szCs w:val="32"/>
        </w:rPr>
      </w:pPr>
      <w:r>
        <w:rPr>
          <w:rFonts w:hint="eastAsia" w:ascii="仿宋_GB2312" w:eastAsia="仿宋_GB2312"/>
          <w:color w:val="000000"/>
          <w:sz w:val="32"/>
          <w:szCs w:val="32"/>
        </w:rPr>
        <w:t>公用经费</w:t>
      </w:r>
      <w:r>
        <w:rPr>
          <w:rFonts w:hint="eastAsia" w:ascii="仿宋_GB2312" w:eastAsia="仿宋_GB2312"/>
          <w:color w:val="000000"/>
          <w:sz w:val="32"/>
          <w:szCs w:val="32"/>
          <w:lang w:val="en-US" w:eastAsia="zh-CN"/>
        </w:rPr>
        <w:t>263.37</w:t>
      </w:r>
      <w:r>
        <w:rPr>
          <w:rFonts w:hint="eastAsia" w:ascii="仿宋_GB2312" w:eastAsia="仿宋_GB2312"/>
          <w:color w:val="000000"/>
          <w:sz w:val="32"/>
          <w:szCs w:val="32"/>
        </w:rPr>
        <w:t>万元，主要包括：办公费、印刷费、手续费、邮电费、差旅费、因公出国（境）费用、维修（护）费、会议费、培训费、公务接待费、劳务费、工会经费、福利费、公务用车费、其他商品和服务支出。</w:t>
      </w:r>
    </w:p>
    <w:p>
      <w:pPr>
        <w:spacing w:line="640" w:lineRule="exact"/>
        <w:ind w:firstLine="642"/>
        <w:rPr>
          <w:rFonts w:hint="eastAsia"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w:t>
      </w:r>
      <w:r>
        <w:rPr>
          <w:rFonts w:hint="eastAsia" w:ascii="楷体_GB2312" w:hAnsi="楷体_GB2312" w:eastAsia="楷体_GB2312" w:cs="楷体_GB2312"/>
          <w:b w:val="0"/>
          <w:bCs/>
          <w:color w:val="000000"/>
          <w:sz w:val="32"/>
          <w:szCs w:val="32"/>
        </w:rPr>
        <w:t>七）关于</w:t>
      </w:r>
      <w:r>
        <w:rPr>
          <w:rFonts w:hint="eastAsia" w:ascii="楷体_GB2312" w:hAnsi="楷体_GB2312" w:eastAsia="楷体_GB2312" w:cs="楷体_GB2312"/>
          <w:b w:val="0"/>
          <w:bCs/>
          <w:color w:val="000000"/>
          <w:sz w:val="32"/>
          <w:szCs w:val="32"/>
          <w:lang w:eastAsia="zh-CN"/>
        </w:rPr>
        <w:t>温州市商务局</w:t>
      </w:r>
      <w:r>
        <w:rPr>
          <w:rFonts w:hint="eastAsia" w:ascii="楷体_GB2312" w:hAnsi="楷体_GB2312" w:eastAsia="楷体_GB2312" w:cs="楷体_GB2312"/>
          <w:b w:val="0"/>
          <w:bCs/>
          <w:color w:val="000000"/>
          <w:sz w:val="32"/>
          <w:szCs w:val="32"/>
        </w:rPr>
        <w:t>2018年政府性基金预算支出情况说明</w:t>
      </w:r>
    </w:p>
    <w:p>
      <w:pPr>
        <w:spacing w:line="640" w:lineRule="exact"/>
        <w:rPr>
          <w:rFonts w:hint="eastAsia" w:ascii="仿宋_GB2312" w:eastAsia="仿宋_GB2312"/>
          <w:color w:val="000000"/>
          <w:sz w:val="32"/>
          <w:szCs w:val="32"/>
        </w:rPr>
      </w:pPr>
      <w:r>
        <w:rPr>
          <w:rFonts w:hint="eastAsia" w:ascii="仿宋_GB2312" w:eastAsia="仿宋_GB2312"/>
          <w:color w:val="000000"/>
          <w:sz w:val="32"/>
          <w:szCs w:val="32"/>
        </w:rPr>
        <w:t xml:space="preserve">    </w:t>
      </w:r>
      <w:r>
        <w:rPr>
          <w:rFonts w:hint="eastAsia" w:ascii="仿宋_GB2312" w:eastAsia="仿宋_GB2312"/>
          <w:color w:val="000000"/>
          <w:sz w:val="32"/>
          <w:szCs w:val="32"/>
          <w:lang w:eastAsia="zh-CN"/>
        </w:rPr>
        <w:t>温州市商务局</w:t>
      </w:r>
      <w:r>
        <w:rPr>
          <w:rFonts w:hint="eastAsia" w:ascii="仿宋_GB2312" w:eastAsia="仿宋_GB2312"/>
          <w:color w:val="000000"/>
          <w:sz w:val="32"/>
          <w:szCs w:val="32"/>
        </w:rPr>
        <w:t>2018年没有使用政府性基金预算拨款安排的支出。</w:t>
      </w:r>
    </w:p>
    <w:p>
      <w:pPr>
        <w:spacing w:line="640" w:lineRule="exact"/>
        <w:ind w:firstLine="627" w:firstLineChars="196"/>
        <w:rPr>
          <w:rFonts w:hint="eastAsia" w:ascii="楷体_GB2312" w:hAnsi="楷体_GB2312" w:eastAsia="楷体_GB2312" w:cs="楷体_GB2312"/>
          <w:b w:val="0"/>
          <w:bCs/>
          <w:color w:val="000000"/>
          <w:sz w:val="32"/>
          <w:szCs w:val="32"/>
        </w:rPr>
      </w:pPr>
      <w:r>
        <w:rPr>
          <w:rFonts w:hint="eastAsia" w:ascii="楷体_GB2312" w:hAnsi="楷体_GB2312" w:eastAsia="楷体_GB2312" w:cs="楷体_GB2312"/>
          <w:b w:val="0"/>
          <w:bCs/>
          <w:color w:val="000000"/>
          <w:sz w:val="32"/>
          <w:szCs w:val="32"/>
        </w:rPr>
        <w:t>（八）关于</w:t>
      </w:r>
      <w:r>
        <w:rPr>
          <w:rFonts w:hint="eastAsia" w:ascii="楷体_GB2312" w:hAnsi="楷体_GB2312" w:eastAsia="楷体_GB2312" w:cs="楷体_GB2312"/>
          <w:b w:val="0"/>
          <w:bCs/>
          <w:color w:val="000000"/>
          <w:sz w:val="32"/>
          <w:szCs w:val="32"/>
          <w:lang w:eastAsia="zh-CN"/>
        </w:rPr>
        <w:t>温州市商务局</w:t>
      </w:r>
      <w:r>
        <w:rPr>
          <w:rFonts w:hint="eastAsia" w:ascii="楷体_GB2312" w:hAnsi="楷体_GB2312" w:eastAsia="楷体_GB2312" w:cs="楷体_GB2312"/>
          <w:b w:val="0"/>
          <w:bCs/>
          <w:color w:val="000000"/>
          <w:sz w:val="32"/>
          <w:szCs w:val="32"/>
        </w:rPr>
        <w:t>2018年</w:t>
      </w:r>
      <w:r>
        <w:rPr>
          <w:rFonts w:hint="eastAsia" w:ascii="楷体_GB2312" w:hAnsi="楷体_GB2312" w:eastAsia="楷体_GB2312" w:cs="楷体_GB2312"/>
          <w:b w:val="0"/>
          <w:bCs/>
          <w:sz w:val="32"/>
          <w:szCs w:val="32"/>
        </w:rPr>
        <w:t>一般公共预算</w:t>
      </w:r>
      <w:r>
        <w:rPr>
          <w:rFonts w:hint="eastAsia" w:ascii="楷体_GB2312" w:hAnsi="楷体_GB2312" w:eastAsia="楷体_GB2312" w:cs="楷体_GB2312"/>
          <w:b w:val="0"/>
          <w:bCs/>
          <w:color w:val="000000"/>
          <w:sz w:val="32"/>
          <w:szCs w:val="32"/>
        </w:rPr>
        <w:t>“三公”经费预算情况说明</w:t>
      </w:r>
    </w:p>
    <w:p>
      <w:pPr>
        <w:spacing w:line="6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1.因公出国（境）费用：根据《温州市财政局关于明确因公出国（境）经费审批意见的通知》（温财外[2018]17号）文件精神，</w:t>
      </w:r>
      <w:r>
        <w:rPr>
          <w:rFonts w:hint="eastAsia" w:ascii="仿宋" w:hAnsi="仿宋" w:eastAsia="仿宋" w:cs="仿宋"/>
          <w:color w:val="000000"/>
          <w:sz w:val="32"/>
          <w:szCs w:val="32"/>
        </w:rPr>
        <w:t>2018</w:t>
      </w:r>
      <w:r>
        <w:rPr>
          <w:rFonts w:eastAsia="仿宋_GB2312"/>
          <w:color w:val="000000"/>
          <w:sz w:val="32"/>
          <w:szCs w:val="32"/>
        </w:rPr>
        <w:t>年因公出国（境）经费实行归口管理，由市财政统筹安排，不再单独安排预算进行公开</w:t>
      </w:r>
      <w:r>
        <w:rPr>
          <w:rFonts w:hint="eastAsia" w:eastAsia="仿宋_GB2312"/>
          <w:color w:val="000000"/>
          <w:sz w:val="32"/>
          <w:szCs w:val="32"/>
        </w:rPr>
        <w:t>。</w:t>
      </w:r>
    </w:p>
    <w:p>
      <w:pPr>
        <w:pStyle w:val="9"/>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2.公务接待费：2018年安排公务接待费预算</w:t>
      </w:r>
      <w:r>
        <w:rPr>
          <w:rFonts w:hint="eastAsia" w:ascii="仿宋_GB2312" w:hAnsi="仿宋_GB2312" w:eastAsia="仿宋_GB2312" w:cs="仿宋_GB2312"/>
          <w:sz w:val="32"/>
          <w:szCs w:val="32"/>
          <w:lang w:val="en-US" w:eastAsia="zh-CN"/>
        </w:rPr>
        <w:t>9.07</w:t>
      </w:r>
      <w:r>
        <w:rPr>
          <w:rFonts w:hint="eastAsia" w:ascii="仿宋_GB2312" w:hAnsi="仿宋_GB2312" w:eastAsia="仿宋_GB2312" w:cs="仿宋_GB2312"/>
          <w:sz w:val="32"/>
          <w:szCs w:val="32"/>
        </w:rPr>
        <w:t>万元，比上年预算数</w:t>
      </w:r>
      <w:r>
        <w:rPr>
          <w:rFonts w:hint="eastAsia" w:ascii="仿宋_GB2312" w:hAnsi="仿宋_GB2312" w:eastAsia="仿宋_GB2312" w:cs="仿宋_GB2312"/>
          <w:sz w:val="32"/>
          <w:szCs w:val="32"/>
          <w:lang w:eastAsia="zh-CN"/>
        </w:rPr>
        <w:t>持平</w:t>
      </w:r>
      <w:r>
        <w:rPr>
          <w:rFonts w:hint="eastAsia" w:ascii="仿宋_GB2312" w:hAnsi="仿宋_GB2312" w:eastAsia="仿宋_GB2312" w:cs="仿宋_GB2312"/>
          <w:sz w:val="32"/>
          <w:szCs w:val="32"/>
        </w:rPr>
        <w:t>。</w:t>
      </w:r>
      <w:r>
        <w:rPr>
          <w:rFonts w:hint="eastAsia" w:ascii="仿宋_GB2312" w:eastAsia="仿宋_GB2312"/>
          <w:sz w:val="32"/>
          <w:szCs w:val="32"/>
        </w:rPr>
        <w:t>主要用于</w:t>
      </w:r>
      <w:r>
        <w:rPr>
          <w:rFonts w:hint="eastAsia" w:ascii="仿宋_GB2312" w:eastAsia="仿宋_GB2312"/>
          <w:sz w:val="32"/>
          <w:szCs w:val="32"/>
          <w:lang w:eastAsia="zh-CN"/>
        </w:rPr>
        <w:t>公务</w:t>
      </w:r>
      <w:r>
        <w:rPr>
          <w:rFonts w:hint="eastAsia" w:ascii="仿宋_GB2312" w:eastAsia="仿宋_GB2312"/>
          <w:sz w:val="32"/>
          <w:szCs w:val="32"/>
        </w:rPr>
        <w:t>接待支出。</w:t>
      </w:r>
      <w:r>
        <w:rPr>
          <w:rFonts w:hint="eastAsia" w:ascii="仿宋_GB2312" w:eastAsia="仿宋_GB2312"/>
          <w:sz w:val="32"/>
          <w:szCs w:val="32"/>
          <w:lang w:eastAsia="zh-CN"/>
        </w:rPr>
        <w:t>因公务接待经费无增长，故不另外说明。</w:t>
      </w:r>
    </w:p>
    <w:p>
      <w:pPr>
        <w:pStyle w:val="9"/>
        <w:spacing w:line="540" w:lineRule="exact"/>
        <w:ind w:firstLine="640" w:firstLineChars="200"/>
        <w:rPr>
          <w:rFonts w:hint="eastAsia" w:ascii="仿宋_GB2312" w:eastAsia="仿宋_GB2312"/>
          <w:b/>
          <w:bCs/>
          <w:sz w:val="32"/>
          <w:szCs w:val="32"/>
        </w:rPr>
      </w:pPr>
      <w:r>
        <w:rPr>
          <w:rFonts w:hint="eastAsia" w:ascii="仿宋_GB2312" w:eastAsia="仿宋_GB2312"/>
          <w:sz w:val="32"/>
          <w:szCs w:val="32"/>
        </w:rPr>
        <w:t>3.公务用车购置及运行维护费：201</w:t>
      </w:r>
      <w:r>
        <w:rPr>
          <w:rFonts w:hint="eastAsia" w:ascii="仿宋_GB2312" w:eastAsia="仿宋_GB2312"/>
          <w:sz w:val="32"/>
          <w:szCs w:val="32"/>
          <w:lang w:val="en-US" w:eastAsia="zh-CN"/>
        </w:rPr>
        <w:t>8</w:t>
      </w:r>
      <w:r>
        <w:rPr>
          <w:rFonts w:hint="eastAsia" w:ascii="仿宋_GB2312" w:eastAsia="仿宋_GB2312"/>
          <w:sz w:val="32"/>
          <w:szCs w:val="32"/>
        </w:rPr>
        <w:t>年安排公务用车购置及运行维护费预算</w:t>
      </w:r>
      <w:r>
        <w:rPr>
          <w:rFonts w:hint="eastAsia" w:ascii="仿宋_GB2312" w:eastAsia="仿宋_GB2312"/>
          <w:sz w:val="32"/>
          <w:szCs w:val="32"/>
          <w:lang w:val="en-US" w:eastAsia="zh-CN"/>
        </w:rPr>
        <w:t>0</w:t>
      </w:r>
      <w:r>
        <w:rPr>
          <w:rFonts w:hint="eastAsia" w:ascii="仿宋_GB2312" w:eastAsia="仿宋_GB2312"/>
          <w:sz w:val="32"/>
          <w:szCs w:val="32"/>
        </w:rPr>
        <w:t>万元，比上年执行数增长</w:t>
      </w:r>
      <w:r>
        <w:rPr>
          <w:rFonts w:hint="eastAsia" w:ascii="仿宋_GB2312" w:eastAsia="仿宋_GB2312"/>
          <w:sz w:val="32"/>
          <w:szCs w:val="32"/>
          <w:lang w:val="en-US" w:eastAsia="zh-CN"/>
        </w:rPr>
        <w:t>0</w:t>
      </w:r>
      <w:r>
        <w:rPr>
          <w:rFonts w:hint="eastAsia" w:ascii="仿宋_GB2312" w:eastAsia="仿宋_GB2312"/>
          <w:sz w:val="32"/>
          <w:szCs w:val="32"/>
        </w:rPr>
        <w:t>%。其中，公务用车购置支出</w:t>
      </w:r>
      <w:r>
        <w:rPr>
          <w:rFonts w:hint="eastAsia" w:ascii="仿宋_GB2312" w:eastAsia="仿宋_GB2312"/>
          <w:sz w:val="32"/>
          <w:szCs w:val="32"/>
          <w:lang w:val="en-US" w:eastAsia="zh-CN"/>
        </w:rPr>
        <w:t>0</w:t>
      </w:r>
      <w:r>
        <w:rPr>
          <w:rFonts w:hint="eastAsia" w:ascii="仿宋_GB2312" w:eastAsia="仿宋_GB2312"/>
          <w:sz w:val="32"/>
          <w:szCs w:val="32"/>
        </w:rPr>
        <w:t>万元（含购置税等附加费用），主要用于经批准购置的</w:t>
      </w:r>
      <w:r>
        <w:rPr>
          <w:rFonts w:hint="eastAsia" w:ascii="仿宋_GB2312" w:eastAsia="仿宋_GB2312"/>
          <w:sz w:val="32"/>
          <w:szCs w:val="32"/>
          <w:lang w:val="en-US" w:eastAsia="zh-CN"/>
        </w:rPr>
        <w:t>0</w:t>
      </w:r>
      <w:r>
        <w:rPr>
          <w:rFonts w:hint="eastAsia" w:ascii="仿宋_GB2312" w:eastAsia="仿宋_GB2312"/>
          <w:sz w:val="32"/>
          <w:szCs w:val="32"/>
        </w:rPr>
        <w:t>辆公务用车；公务用车运行维护费支出</w:t>
      </w:r>
      <w:r>
        <w:rPr>
          <w:rFonts w:hint="eastAsia" w:ascii="仿宋_GB2312" w:eastAsia="仿宋_GB2312"/>
          <w:sz w:val="32"/>
          <w:szCs w:val="32"/>
          <w:lang w:val="en-US" w:eastAsia="zh-CN"/>
        </w:rPr>
        <w:t>0</w:t>
      </w:r>
      <w:r>
        <w:rPr>
          <w:rFonts w:hint="eastAsia" w:ascii="仿宋_GB2312" w:eastAsia="仿宋_GB2312"/>
          <w:sz w:val="32"/>
          <w:szCs w:val="32"/>
        </w:rPr>
        <w:t>万元，主要用于所需的公务用车燃料费、维修费、过桥过路费、保险费、安全奖励费用等支出。</w:t>
      </w:r>
      <w:r>
        <w:rPr>
          <w:rFonts w:hint="eastAsia" w:ascii="仿宋_GB2312" w:eastAsia="仿宋_GB2312"/>
          <w:sz w:val="32"/>
          <w:szCs w:val="32"/>
          <w:lang w:eastAsia="zh-CN"/>
        </w:rPr>
        <w:t>因</w:t>
      </w:r>
      <w:r>
        <w:rPr>
          <w:rFonts w:hint="eastAsia" w:ascii="仿宋_GB2312" w:eastAsia="仿宋_GB2312"/>
          <w:sz w:val="32"/>
          <w:szCs w:val="32"/>
        </w:rPr>
        <w:t>公务用车购置及运行维护费</w:t>
      </w:r>
      <w:r>
        <w:rPr>
          <w:rFonts w:hint="eastAsia" w:ascii="仿宋_GB2312" w:eastAsia="仿宋_GB2312"/>
          <w:sz w:val="32"/>
          <w:szCs w:val="32"/>
          <w:lang w:eastAsia="zh-CN"/>
        </w:rPr>
        <w:t>为</w:t>
      </w:r>
      <w:r>
        <w:rPr>
          <w:rFonts w:hint="eastAsia" w:ascii="仿宋_GB2312" w:eastAsia="仿宋_GB2312"/>
          <w:sz w:val="32"/>
          <w:szCs w:val="32"/>
          <w:lang w:val="en-US" w:eastAsia="zh-CN"/>
        </w:rPr>
        <w:t>0</w:t>
      </w:r>
      <w:r>
        <w:rPr>
          <w:rFonts w:hint="eastAsia" w:ascii="仿宋_GB2312" w:eastAsia="仿宋_GB2312"/>
          <w:sz w:val="32"/>
          <w:szCs w:val="32"/>
          <w:lang w:eastAsia="zh-CN"/>
        </w:rPr>
        <w:t>，故不另外说明。</w:t>
      </w:r>
    </w:p>
    <w:p>
      <w:pPr>
        <w:spacing w:line="640" w:lineRule="exact"/>
        <w:ind w:firstLine="627" w:firstLineChars="196"/>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（九）其他重要事项的情况说明</w:t>
      </w:r>
    </w:p>
    <w:p>
      <w:pPr>
        <w:pStyle w:val="9"/>
        <w:spacing w:line="640" w:lineRule="exact"/>
        <w:ind w:firstLine="600"/>
        <w:rPr>
          <w:rFonts w:hint="eastAsia" w:ascii="仿宋_GB2312" w:eastAsia="仿宋_GB2312"/>
          <w:b w:val="0"/>
          <w:bCs w:val="0"/>
          <w:sz w:val="32"/>
          <w:szCs w:val="32"/>
        </w:rPr>
      </w:pPr>
      <w:r>
        <w:rPr>
          <w:rFonts w:hint="eastAsia" w:ascii="仿宋_GB2312" w:eastAsia="仿宋_GB2312"/>
          <w:b w:val="0"/>
          <w:bCs w:val="0"/>
          <w:sz w:val="32"/>
          <w:szCs w:val="32"/>
        </w:rPr>
        <w:t>1.机关运行经费</w:t>
      </w:r>
    </w:p>
    <w:p>
      <w:pPr>
        <w:pStyle w:val="9"/>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201</w:t>
      </w:r>
      <w:r>
        <w:rPr>
          <w:rFonts w:hint="eastAsia" w:ascii="仿宋_GB2312" w:eastAsia="仿宋_GB2312"/>
          <w:sz w:val="32"/>
          <w:szCs w:val="32"/>
          <w:lang w:val="en-US" w:eastAsia="zh-CN"/>
        </w:rPr>
        <w:t>8</w:t>
      </w:r>
      <w:r>
        <w:rPr>
          <w:rFonts w:hint="eastAsia" w:ascii="仿宋_GB2312" w:eastAsia="仿宋_GB2312"/>
          <w:sz w:val="32"/>
          <w:szCs w:val="32"/>
        </w:rPr>
        <w:t>年</w:t>
      </w:r>
      <w:r>
        <w:rPr>
          <w:rFonts w:hint="eastAsia" w:ascii="仿宋_GB2312" w:eastAsia="仿宋_GB2312"/>
          <w:color w:val="000000"/>
          <w:sz w:val="32"/>
          <w:szCs w:val="32"/>
          <w:lang w:eastAsia="zh-CN"/>
        </w:rPr>
        <w:t>温州市商务局</w:t>
      </w:r>
      <w:r>
        <w:rPr>
          <w:rFonts w:hint="eastAsia" w:ascii="仿宋_GB2312" w:eastAsia="仿宋_GB2312"/>
          <w:color w:val="000000"/>
          <w:sz w:val="32"/>
          <w:szCs w:val="32"/>
        </w:rPr>
        <w:t>本级</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家行政单位以及</w:t>
      </w:r>
      <w:r>
        <w:rPr>
          <w:rFonts w:hint="eastAsia" w:ascii="仿宋_GB2312" w:eastAsia="仿宋_GB2312"/>
          <w:color w:val="000000"/>
          <w:sz w:val="32"/>
          <w:szCs w:val="32"/>
          <w:lang w:eastAsia="zh-CN"/>
        </w:rPr>
        <w:t>温州市商务促进中心</w:t>
      </w:r>
      <w:r>
        <w:rPr>
          <w:rFonts w:hint="eastAsia" w:ascii="仿宋_GB2312" w:eastAsia="仿宋_GB2312"/>
          <w:color w:val="000000"/>
          <w:sz w:val="32"/>
          <w:szCs w:val="32"/>
        </w:rPr>
        <w:t>等</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家事业单位的机关运行经费财政拨款预算</w:t>
      </w:r>
      <w:r>
        <w:rPr>
          <w:rFonts w:hint="eastAsia" w:ascii="仿宋_GB2312" w:eastAsia="仿宋_GB2312"/>
          <w:color w:val="000000"/>
          <w:sz w:val="32"/>
          <w:szCs w:val="32"/>
          <w:lang w:val="en-US" w:eastAsia="zh-CN"/>
        </w:rPr>
        <w:t>263.37</w:t>
      </w:r>
      <w:r>
        <w:rPr>
          <w:rFonts w:hint="eastAsia" w:ascii="仿宋_GB2312" w:eastAsia="仿宋_GB2312"/>
          <w:color w:val="000000"/>
          <w:sz w:val="32"/>
          <w:szCs w:val="32"/>
        </w:rPr>
        <w:t>万元。</w:t>
      </w:r>
    </w:p>
    <w:p>
      <w:pPr>
        <w:pStyle w:val="9"/>
        <w:numPr>
          <w:ilvl w:val="0"/>
          <w:numId w:val="3"/>
        </w:numPr>
        <w:spacing w:line="640" w:lineRule="exact"/>
        <w:ind w:firstLine="600"/>
        <w:rPr>
          <w:rFonts w:hint="eastAsia" w:ascii="仿宋_GB2312" w:eastAsia="仿宋_GB2312"/>
          <w:b w:val="0"/>
          <w:bCs w:val="0"/>
          <w:sz w:val="32"/>
          <w:szCs w:val="32"/>
        </w:rPr>
      </w:pPr>
      <w:r>
        <w:rPr>
          <w:rFonts w:hint="eastAsia" w:ascii="仿宋_GB2312" w:eastAsia="仿宋_GB2312"/>
          <w:b w:val="0"/>
          <w:bCs w:val="0"/>
          <w:sz w:val="32"/>
          <w:szCs w:val="32"/>
        </w:rPr>
        <w:t>政府采购情况</w:t>
      </w:r>
    </w:p>
    <w:p>
      <w:pPr>
        <w:pStyle w:val="9"/>
        <w:spacing w:line="640" w:lineRule="exact"/>
        <w:ind w:firstLine="640" w:firstLineChars="200"/>
        <w:rPr>
          <w:rFonts w:hint="eastAsia" w:ascii="仿宋_GB2312" w:eastAsia="仿宋_GB2312"/>
          <w:sz w:val="32"/>
          <w:szCs w:val="32"/>
        </w:rPr>
      </w:pPr>
      <w:r>
        <w:rPr>
          <w:rFonts w:hint="eastAsia" w:ascii="仿宋_GB2312" w:eastAsia="仿宋_GB2312"/>
          <w:sz w:val="32"/>
          <w:szCs w:val="32"/>
        </w:rPr>
        <w:t>2018年</w:t>
      </w:r>
      <w:r>
        <w:rPr>
          <w:rFonts w:hint="eastAsia" w:ascii="仿宋_GB2312" w:eastAsia="仿宋_GB2312"/>
          <w:color w:val="000000"/>
          <w:sz w:val="32"/>
          <w:szCs w:val="32"/>
          <w:lang w:eastAsia="zh-CN"/>
        </w:rPr>
        <w:t>温州市商务局</w:t>
      </w:r>
      <w:r>
        <w:rPr>
          <w:rFonts w:hint="eastAsia" w:ascii="仿宋_GB2312" w:eastAsia="仿宋_GB2312"/>
          <w:color w:val="000000"/>
          <w:sz w:val="32"/>
          <w:szCs w:val="32"/>
        </w:rPr>
        <w:t>各单位政府采购预算总额</w:t>
      </w:r>
      <w:r>
        <w:rPr>
          <w:rFonts w:hint="eastAsia" w:ascii="仿宋_GB2312" w:eastAsia="仿宋_GB2312"/>
          <w:color w:val="000000"/>
          <w:sz w:val="32"/>
          <w:szCs w:val="32"/>
          <w:lang w:val="en-US" w:eastAsia="zh-CN"/>
        </w:rPr>
        <w:t>1119.2</w:t>
      </w:r>
      <w:r>
        <w:rPr>
          <w:rFonts w:hint="eastAsia" w:ascii="仿宋_GB2312" w:eastAsia="仿宋_GB2312"/>
          <w:color w:val="000000"/>
          <w:sz w:val="32"/>
          <w:szCs w:val="32"/>
        </w:rPr>
        <w:t>万元，其中：政府采购货物预算</w:t>
      </w:r>
      <w:r>
        <w:rPr>
          <w:rFonts w:hint="eastAsia" w:ascii="仿宋_GB2312" w:eastAsia="仿宋_GB2312"/>
          <w:color w:val="000000"/>
          <w:sz w:val="32"/>
          <w:szCs w:val="32"/>
          <w:lang w:val="en-US" w:eastAsia="zh-CN"/>
        </w:rPr>
        <w:t>8.4</w:t>
      </w:r>
      <w:r>
        <w:rPr>
          <w:rFonts w:hint="eastAsia" w:ascii="仿宋_GB2312" w:eastAsia="仿宋_GB2312"/>
          <w:color w:val="000000"/>
          <w:sz w:val="32"/>
          <w:szCs w:val="32"/>
        </w:rPr>
        <w:t>万元、政府采购工程预算</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万元、政府采购服务预算</w:t>
      </w:r>
      <w:r>
        <w:rPr>
          <w:rFonts w:hint="eastAsia" w:ascii="仿宋_GB2312" w:eastAsia="仿宋_GB2312"/>
          <w:color w:val="000000"/>
          <w:sz w:val="32"/>
          <w:szCs w:val="32"/>
          <w:lang w:val="en-US" w:eastAsia="zh-CN"/>
        </w:rPr>
        <w:t>1110.8</w:t>
      </w:r>
      <w:r>
        <w:rPr>
          <w:rFonts w:hint="eastAsia" w:ascii="仿宋_GB2312" w:eastAsia="仿宋_GB2312"/>
          <w:color w:val="000000"/>
          <w:sz w:val="32"/>
          <w:szCs w:val="32"/>
        </w:rPr>
        <w:t>万元。</w:t>
      </w:r>
    </w:p>
    <w:p>
      <w:pPr>
        <w:pStyle w:val="9"/>
        <w:spacing w:line="640" w:lineRule="exact"/>
        <w:rPr>
          <w:rFonts w:hint="eastAsia" w:ascii="仿宋_GB2312" w:eastAsia="仿宋_GB2312"/>
          <w:b/>
          <w:bCs/>
          <w:sz w:val="32"/>
          <w:szCs w:val="32"/>
        </w:rPr>
      </w:pPr>
      <w:r>
        <w:rPr>
          <w:rFonts w:hint="eastAsia" w:ascii="仿宋_GB2312" w:eastAsia="仿宋_GB2312"/>
          <w:b/>
          <w:bCs/>
          <w:sz w:val="32"/>
          <w:szCs w:val="32"/>
        </w:rPr>
        <w:t xml:space="preserve">  </w:t>
      </w:r>
      <w:r>
        <w:rPr>
          <w:rFonts w:hint="eastAsia" w:ascii="仿宋_GB2312" w:eastAsia="仿宋_GB2312"/>
          <w:b w:val="0"/>
          <w:bCs w:val="0"/>
          <w:sz w:val="32"/>
          <w:szCs w:val="32"/>
        </w:rPr>
        <w:t xml:space="preserve">  3.绩效目标设置情况</w:t>
      </w:r>
    </w:p>
    <w:p>
      <w:pPr>
        <w:pStyle w:val="9"/>
        <w:spacing w:line="640" w:lineRule="exact"/>
        <w:rPr>
          <w:rFonts w:hint="eastAsia" w:ascii="仿宋_GB2312" w:eastAsia="仿宋_GB2312"/>
          <w:sz w:val="32"/>
          <w:szCs w:val="32"/>
        </w:rPr>
      </w:pPr>
      <w:r>
        <w:rPr>
          <w:rFonts w:hint="eastAsia" w:ascii="仿宋_GB2312" w:eastAsia="仿宋_GB2312"/>
          <w:sz w:val="32"/>
          <w:szCs w:val="32"/>
        </w:rPr>
        <w:t xml:space="preserve">    2018年</w:t>
      </w:r>
      <w:r>
        <w:rPr>
          <w:rFonts w:hint="eastAsia" w:ascii="仿宋_GB2312" w:eastAsia="仿宋_GB2312"/>
          <w:color w:val="000000"/>
          <w:sz w:val="32"/>
          <w:szCs w:val="32"/>
          <w:lang w:eastAsia="zh-CN"/>
        </w:rPr>
        <w:t>温州市商务局</w:t>
      </w:r>
      <w:r>
        <w:rPr>
          <w:rFonts w:hint="eastAsia" w:ascii="仿宋_GB2312" w:eastAsia="仿宋_GB2312"/>
          <w:color w:val="000000"/>
          <w:sz w:val="32"/>
          <w:szCs w:val="32"/>
        </w:rPr>
        <w:t>项目支出均实行绩效目标管理，涉及一般公共预算当年拨款</w:t>
      </w:r>
      <w:r>
        <w:rPr>
          <w:rFonts w:hint="eastAsia" w:ascii="仿宋_GB2312" w:eastAsia="仿宋_GB2312"/>
          <w:color w:val="000000"/>
          <w:sz w:val="32"/>
          <w:szCs w:val="32"/>
          <w:lang w:val="en-US" w:eastAsia="zh-CN"/>
        </w:rPr>
        <w:t>1994</w:t>
      </w:r>
      <w:r>
        <w:rPr>
          <w:rFonts w:hint="eastAsia" w:ascii="仿宋_GB2312" w:eastAsia="仿宋_GB2312"/>
          <w:color w:val="000000"/>
          <w:sz w:val="32"/>
          <w:szCs w:val="32"/>
        </w:rPr>
        <w:t>万元。</w:t>
      </w:r>
    </w:p>
    <w:p>
      <w:pPr>
        <w:pStyle w:val="9"/>
        <w:spacing w:line="640" w:lineRule="exact"/>
        <w:ind w:firstLine="640" w:firstLineChars="200"/>
        <w:rPr>
          <w:rStyle w:val="6"/>
          <w:rFonts w:hint="eastAsia" w:ascii="黑体" w:hAnsi="黑体" w:eastAsia="黑体" w:cs="黑体"/>
          <w:b w:val="0"/>
          <w:bCs w:val="0"/>
          <w:sz w:val="32"/>
          <w:szCs w:val="32"/>
        </w:rPr>
      </w:pPr>
      <w:r>
        <w:rPr>
          <w:rStyle w:val="6"/>
          <w:rFonts w:hint="eastAsia" w:ascii="黑体" w:hAnsi="黑体" w:eastAsia="黑体" w:cs="黑体"/>
          <w:b w:val="0"/>
          <w:bCs w:val="0"/>
          <w:sz w:val="32"/>
          <w:szCs w:val="32"/>
        </w:rPr>
        <w:t>三、名词解释</w:t>
      </w:r>
    </w:p>
    <w:p>
      <w:pPr>
        <w:ind w:firstLine="640" w:firstLineChars="200"/>
        <w:rPr>
          <w:rFonts w:hint="eastAsia" w:ascii="仿宋_GB2312" w:eastAsia="仿宋_GB2312"/>
          <w:bCs/>
          <w:color w:val="000000"/>
          <w:sz w:val="32"/>
          <w:szCs w:val="32"/>
        </w:rPr>
      </w:pPr>
      <w:r>
        <w:rPr>
          <w:rFonts w:hint="eastAsia" w:ascii="仿宋_GB2312" w:eastAsia="仿宋_GB2312"/>
          <w:bCs/>
          <w:color w:val="000000"/>
          <w:sz w:val="32"/>
          <w:szCs w:val="32"/>
        </w:rPr>
        <w:t>1.财政拨款收入：</w:t>
      </w:r>
      <w:r>
        <w:rPr>
          <w:rFonts w:hint="eastAsia" w:ascii="仿宋_GB2312" w:hAnsi="仿宋_GB2312" w:eastAsia="仿宋_GB2312"/>
          <w:sz w:val="32"/>
          <w:szCs w:val="32"/>
        </w:rPr>
        <w:t>本级财政部门当年拨付的财政预算资金，包括一般公共预算财政拨款和政府性基金预算财政拨款。</w:t>
      </w:r>
    </w:p>
    <w:p>
      <w:pPr>
        <w:ind w:firstLine="640" w:firstLineChars="200"/>
        <w:rPr>
          <w:rFonts w:hint="eastAsia" w:eastAsia="仿宋_GB2312"/>
          <w:sz w:val="32"/>
          <w:szCs w:val="32"/>
        </w:rPr>
      </w:pPr>
      <w:r>
        <w:rPr>
          <w:rFonts w:hint="eastAsia" w:ascii="仿宋_GB2312" w:eastAsia="仿宋_GB2312"/>
          <w:bCs/>
          <w:color w:val="000000"/>
          <w:sz w:val="32"/>
          <w:szCs w:val="32"/>
        </w:rPr>
        <w:t>2.专户资金:</w:t>
      </w:r>
      <w:r>
        <w:rPr>
          <w:rFonts w:eastAsia="仿宋_GB2312"/>
          <w:sz w:val="32"/>
          <w:szCs w:val="32"/>
        </w:rPr>
        <w:t>作为本部门的事业收入，纳入财政专户管理的资金。</w:t>
      </w:r>
    </w:p>
    <w:p>
      <w:pPr>
        <w:ind w:firstLine="640" w:firstLineChars="200"/>
        <w:rPr>
          <w:rFonts w:hint="eastAsia" w:ascii="仿宋_GB2312" w:hAnsi="仿宋_GB2312" w:eastAsia="仿宋_GB2312"/>
          <w:sz w:val="32"/>
          <w:szCs w:val="32"/>
        </w:rPr>
      </w:pPr>
      <w:r>
        <w:rPr>
          <w:rFonts w:hint="eastAsia" w:ascii="仿宋_GB2312" w:eastAsia="仿宋_GB2312"/>
          <w:bCs/>
          <w:color w:val="000000"/>
          <w:sz w:val="32"/>
          <w:szCs w:val="32"/>
        </w:rPr>
        <w:t>3.</w:t>
      </w:r>
      <w:r>
        <w:rPr>
          <w:rFonts w:hint="eastAsia" w:eastAsia="仿宋_GB2312"/>
          <w:sz w:val="32"/>
          <w:szCs w:val="32"/>
        </w:rPr>
        <w:t>单位结余：是指上年度预算未使用完毕需继续纳入本年度预算的资金（包括一般公共预算、政府性基金预算和专户资金预算）。</w:t>
      </w:r>
    </w:p>
    <w:p>
      <w:pPr>
        <w:ind w:firstLine="640" w:firstLineChars="200"/>
        <w:jc w:val="left"/>
        <w:rPr>
          <w:rFonts w:hint="eastAsia" w:ascii="仿宋_GB2312" w:hAnsi="仿宋_GB2312" w:eastAsia="仿宋_GB2312"/>
          <w:sz w:val="32"/>
          <w:szCs w:val="32"/>
        </w:rPr>
      </w:pPr>
      <w:r>
        <w:rPr>
          <w:rFonts w:hint="eastAsia" w:ascii="仿宋_GB2312" w:eastAsia="仿宋_GB2312"/>
          <w:bCs/>
          <w:color w:val="000000"/>
          <w:sz w:val="32"/>
          <w:szCs w:val="32"/>
        </w:rPr>
        <w:t>4.事业收入：</w:t>
      </w:r>
      <w:r>
        <w:rPr>
          <w:rFonts w:hint="eastAsia" w:ascii="仿宋_GB2312" w:hAnsi="仿宋_GB2312" w:eastAsia="仿宋_GB2312"/>
          <w:sz w:val="32"/>
          <w:szCs w:val="32"/>
        </w:rPr>
        <w:t>事业单位开展专业业务活动及辅助活动所取得的收入，不含专户资金收入。</w:t>
      </w:r>
    </w:p>
    <w:p>
      <w:pPr>
        <w:ind w:firstLine="640" w:firstLineChars="200"/>
        <w:rPr>
          <w:rFonts w:hint="eastAsia" w:ascii="仿宋_GB2312" w:hAnsi="仿宋_GB2312" w:eastAsia="仿宋_GB2312"/>
          <w:sz w:val="32"/>
          <w:szCs w:val="32"/>
        </w:rPr>
      </w:pPr>
      <w:r>
        <w:rPr>
          <w:rFonts w:hint="eastAsia" w:ascii="仿宋_GB2312" w:eastAsia="仿宋_GB2312"/>
          <w:bCs/>
          <w:color w:val="000000"/>
          <w:sz w:val="32"/>
          <w:szCs w:val="32"/>
        </w:rPr>
        <w:t>5.事业单位经营收入：</w:t>
      </w:r>
      <w:r>
        <w:rPr>
          <w:rFonts w:hint="eastAsia" w:ascii="仿宋_GB2312" w:hAnsi="仿宋_GB2312" w:eastAsia="仿宋_GB2312"/>
          <w:sz w:val="32"/>
          <w:szCs w:val="32"/>
        </w:rPr>
        <w:t>事业单位在专业业务活动及辅助活动之外开展非独立核算经营活动取得的收入。</w:t>
      </w:r>
    </w:p>
    <w:p>
      <w:pPr>
        <w:ind w:firstLine="640" w:firstLineChars="200"/>
        <w:rPr>
          <w:rFonts w:hint="eastAsia" w:ascii="仿宋_GB2312" w:eastAsia="仿宋_GB2312"/>
          <w:bCs/>
          <w:color w:val="000000"/>
          <w:sz w:val="32"/>
          <w:szCs w:val="32"/>
        </w:rPr>
      </w:pPr>
      <w:r>
        <w:rPr>
          <w:rFonts w:hint="eastAsia" w:ascii="仿宋_GB2312" w:eastAsia="仿宋_GB2312"/>
          <w:bCs/>
          <w:color w:val="000000"/>
          <w:sz w:val="32"/>
          <w:szCs w:val="32"/>
        </w:rPr>
        <w:t>6.其他收入：</w:t>
      </w:r>
      <w:r>
        <w:rPr>
          <w:rFonts w:hint="eastAsia" w:ascii="仿宋_GB2312" w:hAnsi="仿宋_GB2312" w:eastAsia="仿宋_GB2312"/>
          <w:sz w:val="32"/>
          <w:szCs w:val="32"/>
        </w:rPr>
        <w:t>预算单位在“财政拨款、事业收入、经营收入”等之外取得的各项收入（含上级补助收入和附属单位缴款等收入）。</w:t>
      </w:r>
    </w:p>
    <w:p>
      <w:pPr>
        <w:ind w:firstLine="640" w:firstLineChars="200"/>
        <w:rPr>
          <w:rFonts w:hint="eastAsia" w:eastAsia="仿宋_GB2312"/>
          <w:sz w:val="32"/>
          <w:szCs w:val="32"/>
        </w:rPr>
      </w:pPr>
      <w:r>
        <w:rPr>
          <w:rFonts w:hint="eastAsia" w:ascii="仿宋_GB2312" w:eastAsia="仿宋_GB2312"/>
          <w:bCs/>
          <w:color w:val="000000"/>
          <w:sz w:val="32"/>
          <w:szCs w:val="32"/>
        </w:rPr>
        <w:t>7.用事业基金弥补收支差额：指事业单位在预计用当年的“财政拨款收入”、“专户资金”、“事业收入”、“事业单位经营收入”、“其他收入”、“上年结转”等不足以安排当年支出的情况下，使</w:t>
      </w:r>
      <w:r>
        <w:rPr>
          <w:rFonts w:eastAsia="仿宋_GB2312"/>
          <w:sz w:val="32"/>
          <w:szCs w:val="32"/>
        </w:rPr>
        <w:t>用</w:t>
      </w:r>
      <w:r>
        <w:rPr>
          <w:rFonts w:hint="eastAsia" w:eastAsia="仿宋_GB2312"/>
          <w:sz w:val="32"/>
          <w:szCs w:val="32"/>
        </w:rPr>
        <w:t>以前年度积累的</w:t>
      </w:r>
      <w:r>
        <w:rPr>
          <w:rFonts w:eastAsia="仿宋_GB2312"/>
          <w:sz w:val="32"/>
          <w:szCs w:val="32"/>
        </w:rPr>
        <w:t>事业基金弥补本年收支</w:t>
      </w:r>
      <w:r>
        <w:rPr>
          <w:rFonts w:hint="eastAsia" w:eastAsia="仿宋_GB2312"/>
          <w:sz w:val="32"/>
          <w:szCs w:val="32"/>
        </w:rPr>
        <w:t>缺口的资金。</w:t>
      </w:r>
    </w:p>
    <w:p>
      <w:pPr>
        <w:ind w:firstLine="640" w:firstLineChars="200"/>
        <w:rPr>
          <w:rFonts w:hint="eastAsia" w:eastAsia="仿宋_GB2312"/>
          <w:sz w:val="32"/>
          <w:szCs w:val="32"/>
        </w:rPr>
      </w:pPr>
      <w:r>
        <w:rPr>
          <w:rFonts w:hint="eastAsia" w:ascii="仿宋_GB2312" w:eastAsia="仿宋_GB2312"/>
          <w:bCs/>
          <w:color w:val="000000"/>
          <w:sz w:val="32"/>
          <w:szCs w:val="32"/>
        </w:rPr>
        <w:t>8.</w:t>
      </w:r>
      <w:r>
        <w:rPr>
          <w:rFonts w:hint="eastAsia" w:eastAsia="仿宋_GB2312"/>
          <w:sz w:val="32"/>
          <w:szCs w:val="32"/>
        </w:rPr>
        <w:t>上年结转：指以前年度尚未完成、结转到本年仍按原规定用途继续使用的资金。</w:t>
      </w:r>
    </w:p>
    <w:p>
      <w:pPr>
        <w:ind w:firstLine="640" w:firstLineChars="200"/>
        <w:jc w:val="left"/>
        <w:rPr>
          <w:rFonts w:hint="eastAsia" w:ascii="仿宋_GB2312" w:hAnsi="仿宋_GB2312" w:eastAsia="仿宋_GB2312"/>
          <w:sz w:val="32"/>
          <w:szCs w:val="32"/>
        </w:rPr>
      </w:pPr>
      <w:r>
        <w:rPr>
          <w:rFonts w:hint="eastAsia" w:ascii="仿宋_GB2312" w:hAnsi="仿宋_GB2312" w:eastAsia="仿宋_GB2312"/>
          <w:sz w:val="32"/>
          <w:szCs w:val="32"/>
        </w:rPr>
        <w:t>9.基本支出：是预算单位为保障其正常运转，完成日常工作任务所发生的支出，包括人员支出和日常公用支出。</w:t>
      </w:r>
    </w:p>
    <w:p>
      <w:pPr>
        <w:ind w:firstLine="640" w:firstLineChars="200"/>
        <w:jc w:val="left"/>
        <w:rPr>
          <w:rFonts w:hint="eastAsia" w:ascii="仿宋_GB2312" w:hAnsi="仿宋_GB2312" w:eastAsia="仿宋_GB2312"/>
          <w:sz w:val="32"/>
          <w:szCs w:val="32"/>
        </w:rPr>
      </w:pPr>
      <w:r>
        <w:rPr>
          <w:rFonts w:hint="eastAsia" w:ascii="仿宋_GB2312" w:hAnsi="仿宋_GB2312" w:eastAsia="仿宋_GB2312"/>
          <w:sz w:val="32"/>
          <w:szCs w:val="32"/>
        </w:rPr>
        <w:t>10.项目支出：是预算单位为完成其特定的行政工作任务或事业发展目标所发生的支出。</w:t>
      </w:r>
    </w:p>
    <w:p>
      <w:pPr>
        <w:ind w:firstLine="640" w:firstLineChars="200"/>
        <w:jc w:val="left"/>
        <w:rPr>
          <w:rFonts w:hint="eastAsia" w:ascii="仿宋_GB2312" w:hAnsi="仿宋_GB2312" w:eastAsia="仿宋_GB2312"/>
          <w:sz w:val="32"/>
          <w:szCs w:val="32"/>
        </w:rPr>
      </w:pPr>
    </w:p>
    <w:p>
      <w:pPr>
        <w:ind w:firstLine="640" w:firstLineChars="200"/>
        <w:jc w:val="left"/>
        <w:rPr>
          <w:rFonts w:hint="eastAsia" w:ascii="仿宋_GB2312" w:hAnsi="仿宋_GB2312" w:eastAsia="仿宋_GB2312"/>
          <w:sz w:val="32"/>
          <w:szCs w:val="32"/>
        </w:rPr>
      </w:pPr>
    </w:p>
    <w:p>
      <w:pPr>
        <w:ind w:firstLine="640" w:firstLineChars="200"/>
        <w:jc w:val="left"/>
        <w:rPr>
          <w:rFonts w:hint="eastAsia" w:ascii="仿宋_GB2312" w:hAnsi="仿宋_GB2312" w:eastAsia="仿宋_GB2312"/>
          <w:sz w:val="32"/>
          <w:szCs w:val="32"/>
        </w:rPr>
      </w:pPr>
    </w:p>
    <w:p>
      <w:pPr>
        <w:ind w:firstLine="640" w:firstLineChars="200"/>
        <w:jc w:val="left"/>
        <w:rPr>
          <w:rFonts w:hint="eastAsia" w:ascii="仿宋_GB2312" w:hAnsi="仿宋_GB2312" w:eastAsia="仿宋_GB2312"/>
          <w:sz w:val="32"/>
          <w:szCs w:val="32"/>
        </w:rPr>
      </w:pPr>
    </w:p>
    <w:p>
      <w:pPr>
        <w:ind w:firstLine="640" w:firstLineChars="200"/>
        <w:jc w:val="left"/>
        <w:rPr>
          <w:rFonts w:hint="eastAsia" w:ascii="仿宋_GB2312" w:hAnsi="仿宋_GB2312" w:eastAsia="仿宋_GB2312"/>
          <w:sz w:val="32"/>
          <w:szCs w:val="32"/>
        </w:rPr>
      </w:pPr>
    </w:p>
    <w:p>
      <w:pPr>
        <w:ind w:firstLine="640" w:firstLineChars="200"/>
        <w:jc w:val="left"/>
        <w:rPr>
          <w:rFonts w:hint="eastAsia" w:ascii="仿宋_GB2312" w:hAnsi="仿宋_GB2312" w:eastAsia="仿宋_GB2312"/>
          <w:sz w:val="32"/>
          <w:szCs w:val="32"/>
        </w:rPr>
      </w:pPr>
    </w:p>
    <w:p>
      <w:pPr>
        <w:ind w:firstLine="640" w:firstLineChars="200"/>
        <w:jc w:val="left"/>
        <w:rPr>
          <w:rFonts w:hint="eastAsia" w:ascii="仿宋_GB2312" w:hAnsi="仿宋_GB2312" w:eastAsia="仿宋_GB2312"/>
          <w:sz w:val="32"/>
          <w:szCs w:val="32"/>
        </w:rPr>
      </w:pPr>
    </w:p>
    <w:p>
      <w:pPr>
        <w:ind w:firstLine="640" w:firstLineChars="200"/>
        <w:jc w:val="left"/>
        <w:rPr>
          <w:rFonts w:hint="eastAsia" w:ascii="仿宋_GB2312" w:hAnsi="仿宋_GB2312" w:eastAsia="仿宋_GB2312"/>
          <w:sz w:val="32"/>
          <w:szCs w:val="32"/>
        </w:rPr>
      </w:pPr>
    </w:p>
    <w:p>
      <w:pPr>
        <w:ind w:firstLine="640" w:firstLineChars="200"/>
        <w:jc w:val="left"/>
        <w:rPr>
          <w:rFonts w:hint="eastAsia" w:ascii="仿宋_GB2312" w:hAnsi="仿宋_GB2312" w:eastAsia="仿宋_GB2312"/>
          <w:sz w:val="32"/>
          <w:szCs w:val="32"/>
        </w:rPr>
      </w:pPr>
    </w:p>
    <w:p>
      <w:pPr>
        <w:ind w:firstLine="640" w:firstLineChars="200"/>
        <w:jc w:val="left"/>
        <w:rPr>
          <w:rFonts w:hint="eastAsia" w:ascii="仿宋_GB2312" w:hAnsi="仿宋_GB2312" w:eastAsia="仿宋_GB2312"/>
          <w:sz w:val="32"/>
          <w:szCs w:val="32"/>
        </w:rPr>
      </w:pPr>
    </w:p>
    <w:p>
      <w:pPr>
        <w:ind w:firstLine="640" w:firstLineChars="200"/>
        <w:jc w:val="left"/>
        <w:rPr>
          <w:rFonts w:hint="eastAsia" w:ascii="仿宋_GB2312" w:hAnsi="仿宋_GB2312" w:eastAsia="仿宋_GB2312"/>
          <w:sz w:val="32"/>
          <w:szCs w:val="32"/>
        </w:rPr>
      </w:pPr>
    </w:p>
    <w:p>
      <w:pPr>
        <w:ind w:firstLine="640" w:firstLineChars="200"/>
        <w:jc w:val="left"/>
        <w:rPr>
          <w:rFonts w:hint="eastAsia" w:ascii="仿宋_GB2312" w:hAnsi="仿宋_GB2312" w:eastAsia="仿宋_GB2312"/>
          <w:sz w:val="32"/>
          <w:szCs w:val="32"/>
        </w:rPr>
      </w:pPr>
    </w:p>
    <w:p>
      <w:pPr>
        <w:ind w:firstLine="640" w:firstLineChars="200"/>
        <w:jc w:val="left"/>
        <w:rPr>
          <w:rFonts w:hint="eastAsia" w:ascii="仿宋_GB2312" w:hAnsi="仿宋_GB2312" w:eastAsia="仿宋_GB2312"/>
          <w:sz w:val="32"/>
          <w:szCs w:val="32"/>
        </w:rPr>
      </w:pPr>
    </w:p>
    <w:p>
      <w:pPr>
        <w:ind w:firstLine="640" w:firstLineChars="200"/>
        <w:jc w:val="left"/>
        <w:rPr>
          <w:rFonts w:hint="eastAsia" w:ascii="仿宋_GB2312" w:hAnsi="仿宋_GB2312" w:eastAsia="仿宋_GB2312"/>
          <w:sz w:val="32"/>
          <w:szCs w:val="32"/>
        </w:rPr>
      </w:pPr>
    </w:p>
    <w:p>
      <w:pPr>
        <w:ind w:firstLine="640" w:firstLineChars="200"/>
        <w:jc w:val="left"/>
        <w:rPr>
          <w:rFonts w:hint="eastAsia" w:ascii="仿宋_GB2312" w:hAnsi="仿宋_GB2312" w:eastAsia="仿宋_GB2312"/>
          <w:sz w:val="32"/>
          <w:szCs w:val="32"/>
        </w:rPr>
      </w:pPr>
    </w:p>
    <w:p>
      <w:pPr>
        <w:ind w:firstLine="640" w:firstLineChars="200"/>
        <w:jc w:val="left"/>
        <w:rPr>
          <w:rFonts w:hint="eastAsia" w:ascii="仿宋_GB2312" w:hAnsi="仿宋_GB2312" w:eastAsia="仿宋_GB2312"/>
          <w:sz w:val="32"/>
          <w:szCs w:val="32"/>
        </w:rPr>
      </w:pPr>
    </w:p>
    <w:p>
      <w:pPr>
        <w:ind w:firstLine="640" w:firstLineChars="200"/>
        <w:jc w:val="left"/>
        <w:rPr>
          <w:rFonts w:hint="eastAsia" w:ascii="仿宋_GB2312" w:hAnsi="仿宋_GB2312" w:eastAsia="仿宋_GB2312"/>
          <w:sz w:val="32"/>
          <w:szCs w:val="32"/>
        </w:rPr>
      </w:pPr>
    </w:p>
    <w:p>
      <w:pPr>
        <w:ind w:firstLine="640" w:firstLineChars="200"/>
        <w:jc w:val="left"/>
        <w:rPr>
          <w:rFonts w:hint="eastAsia" w:ascii="仿宋_GB2312" w:hAnsi="仿宋_GB2312" w:eastAsia="仿宋_GB2312"/>
          <w:sz w:val="32"/>
          <w:szCs w:val="32"/>
        </w:rPr>
      </w:pPr>
    </w:p>
    <w:p>
      <w:pPr>
        <w:ind w:firstLine="640" w:firstLineChars="200"/>
        <w:jc w:val="left"/>
        <w:rPr>
          <w:rFonts w:hint="eastAsia" w:ascii="仿宋_GB2312" w:hAnsi="仿宋_GB2312" w:eastAsia="仿宋_GB2312"/>
          <w:sz w:val="32"/>
          <w:szCs w:val="32"/>
        </w:rPr>
      </w:pPr>
    </w:p>
    <w:p>
      <w:pPr>
        <w:ind w:firstLine="640" w:firstLineChars="200"/>
        <w:jc w:val="left"/>
        <w:rPr>
          <w:rFonts w:hint="eastAsia" w:ascii="仿宋_GB2312" w:hAnsi="仿宋_GB2312" w:eastAsia="仿宋_GB2312"/>
          <w:sz w:val="32"/>
          <w:szCs w:val="32"/>
        </w:rPr>
      </w:pPr>
    </w:p>
    <w:p>
      <w:pPr>
        <w:ind w:firstLine="640" w:firstLineChars="200"/>
        <w:jc w:val="left"/>
        <w:rPr>
          <w:rFonts w:hint="eastAsia" w:ascii="仿宋_GB2312" w:hAnsi="仿宋_GB2312" w:eastAsia="仿宋_GB2312"/>
          <w:sz w:val="32"/>
          <w:szCs w:val="32"/>
        </w:rPr>
      </w:pPr>
    </w:p>
    <w:p>
      <w:pPr>
        <w:ind w:firstLine="640" w:firstLineChars="200"/>
        <w:jc w:val="left"/>
        <w:rPr>
          <w:rFonts w:hint="eastAsia" w:ascii="仿宋_GB2312" w:hAnsi="仿宋_GB2312" w:eastAsia="仿宋_GB2312"/>
          <w:sz w:val="32"/>
          <w:szCs w:val="32"/>
        </w:rPr>
      </w:pPr>
    </w:p>
    <w:p>
      <w:pPr>
        <w:ind w:firstLine="640" w:firstLineChars="200"/>
        <w:jc w:val="left"/>
        <w:rPr>
          <w:rFonts w:hint="eastAsia" w:ascii="仿宋_GB2312" w:hAnsi="仿宋_GB2312" w:eastAsia="仿宋_GB2312"/>
          <w:sz w:val="32"/>
          <w:szCs w:val="32"/>
        </w:rPr>
      </w:pPr>
    </w:p>
    <w:p>
      <w:pPr>
        <w:ind w:firstLine="640" w:firstLineChars="200"/>
        <w:jc w:val="left"/>
        <w:rPr>
          <w:rFonts w:hint="eastAsia" w:ascii="仿宋_GB2312" w:hAnsi="仿宋_GB2312" w:eastAsia="仿宋_GB2312"/>
          <w:sz w:val="32"/>
          <w:szCs w:val="32"/>
        </w:rPr>
      </w:pPr>
    </w:p>
    <w:p>
      <w:pPr>
        <w:ind w:firstLine="640" w:firstLineChars="200"/>
        <w:jc w:val="left"/>
        <w:rPr>
          <w:rFonts w:hint="eastAsia" w:ascii="仿宋_GB2312" w:hAnsi="仿宋_GB2312" w:eastAsia="仿宋_GB2312"/>
          <w:sz w:val="32"/>
          <w:szCs w:val="32"/>
        </w:rPr>
      </w:pPr>
    </w:p>
    <w:p>
      <w:pPr>
        <w:ind w:firstLine="640" w:firstLineChars="200"/>
        <w:jc w:val="left"/>
        <w:rPr>
          <w:rFonts w:hint="eastAsia" w:ascii="仿宋_GB2312" w:hAnsi="仿宋_GB2312" w:eastAsia="仿宋_GB2312"/>
          <w:sz w:val="32"/>
          <w:szCs w:val="32"/>
        </w:rPr>
      </w:pPr>
    </w:p>
    <w:p>
      <w:pPr>
        <w:ind w:firstLine="640" w:firstLineChars="200"/>
        <w:jc w:val="left"/>
        <w:rPr>
          <w:rFonts w:hint="eastAsia" w:ascii="仿宋_GB2312" w:hAnsi="仿宋_GB2312" w:eastAsia="仿宋_GB2312"/>
          <w:sz w:val="32"/>
          <w:szCs w:val="32"/>
        </w:rPr>
      </w:pPr>
    </w:p>
    <w:p>
      <w:pPr>
        <w:ind w:firstLine="640" w:firstLineChars="200"/>
        <w:jc w:val="left"/>
        <w:rPr>
          <w:rFonts w:hint="eastAsia" w:ascii="仿宋_GB2312" w:hAnsi="仿宋_GB2312" w:eastAsia="仿宋_GB2312"/>
          <w:sz w:val="32"/>
          <w:szCs w:val="32"/>
        </w:rPr>
      </w:pPr>
    </w:p>
    <w:p>
      <w:pPr>
        <w:ind w:firstLine="640" w:firstLineChars="200"/>
        <w:jc w:val="left"/>
        <w:rPr>
          <w:rFonts w:hint="eastAsia" w:ascii="仿宋_GB2312" w:hAnsi="仿宋_GB2312" w:eastAsia="仿宋_GB2312"/>
          <w:sz w:val="32"/>
          <w:szCs w:val="32"/>
        </w:rPr>
      </w:pPr>
    </w:p>
    <w:tbl>
      <w:tblPr>
        <w:tblStyle w:val="8"/>
        <w:tblW w:w="88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245"/>
        <w:gridCol w:w="1054"/>
        <w:gridCol w:w="2755"/>
        <w:gridCol w:w="769"/>
        <w:gridCol w:w="20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 w:hRule="atLeast"/>
        </w:trPr>
        <w:tc>
          <w:tcPr>
            <w:tcW w:w="8875" w:type="dxa"/>
            <w:gridSpan w:val="5"/>
            <w:shd w:val="clear" w:color="auto" w:fill="auto"/>
            <w:vAlign w:val="center"/>
          </w:tcPr>
          <w:p>
            <w:pPr>
              <w:jc w:val="both"/>
              <w:rPr>
                <w:rFonts w:hint="default" w:ascii="仿宋_GB2312" w:hAnsi="仿宋_GB2312" w:eastAsia="仿宋_GB2312"/>
                <w:sz w:val="32"/>
                <w:lang w:val="en-US" w:eastAsia="zh-CN"/>
              </w:rPr>
            </w:pPr>
            <w:r>
              <w:rPr>
                <w:rFonts w:hint="eastAsia" w:ascii="仿宋_GB2312" w:hAnsi="仿宋_GB2312" w:eastAsia="仿宋_GB2312"/>
                <w:sz w:val="32"/>
                <w:lang w:val="en-US" w:eastAsia="zh-CN"/>
              </w:rPr>
              <w:t>表1</w:t>
            </w:r>
          </w:p>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44"/>
                <w:szCs w:val="44"/>
                <w:u w:val="none"/>
              </w:rPr>
            </w:pPr>
            <w:r>
              <w:rPr>
                <w:rFonts w:hint="default" w:ascii="方正小标宋简体" w:hAnsi="方正小标宋简体" w:eastAsia="方正小标宋简体" w:cs="方正小标宋简体"/>
                <w:i w:val="0"/>
                <w:color w:val="000000"/>
                <w:kern w:val="0"/>
                <w:sz w:val="44"/>
                <w:szCs w:val="44"/>
                <w:u w:val="none"/>
                <w:lang w:val="en-US" w:eastAsia="zh-CN" w:bidi="ar"/>
              </w:rPr>
              <w:t>2018年市级部门收支预算总表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224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部门名称：温州市商务局</w:t>
            </w:r>
          </w:p>
        </w:tc>
        <w:tc>
          <w:tcPr>
            <w:tcW w:w="1054" w:type="dxa"/>
            <w:shd w:val="clear" w:color="auto" w:fill="auto"/>
            <w:vAlign w:val="bottom"/>
          </w:tcPr>
          <w:p>
            <w:pPr>
              <w:rPr>
                <w:rFonts w:hint="eastAsia" w:asciiTheme="minorEastAsia" w:hAnsiTheme="minorEastAsia" w:eastAsiaTheme="minorEastAsia" w:cstheme="minorEastAsia"/>
                <w:i w:val="0"/>
                <w:color w:val="000000"/>
                <w:sz w:val="18"/>
                <w:szCs w:val="18"/>
                <w:u w:val="none"/>
              </w:rPr>
            </w:pPr>
          </w:p>
        </w:tc>
        <w:tc>
          <w:tcPr>
            <w:tcW w:w="2755" w:type="dxa"/>
            <w:shd w:val="clear" w:color="auto" w:fill="auto"/>
            <w:vAlign w:val="bottom"/>
          </w:tcPr>
          <w:p>
            <w:pPr>
              <w:rPr>
                <w:rFonts w:hint="eastAsia" w:asciiTheme="minorEastAsia" w:hAnsiTheme="minorEastAsia" w:eastAsiaTheme="minorEastAsia" w:cstheme="minorEastAsia"/>
                <w:i w:val="0"/>
                <w:color w:val="000000"/>
                <w:sz w:val="18"/>
                <w:szCs w:val="18"/>
                <w:u w:val="none"/>
              </w:rPr>
            </w:pPr>
          </w:p>
        </w:tc>
        <w:tc>
          <w:tcPr>
            <w:tcW w:w="2821" w:type="dxa"/>
            <w:gridSpan w:val="2"/>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exact"/>
        </w:trPr>
        <w:tc>
          <w:tcPr>
            <w:tcW w:w="224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cstheme="minorEastAsia"/>
                <w:i w:val="0"/>
                <w:color w:val="000000"/>
                <w:kern w:val="0"/>
                <w:sz w:val="20"/>
                <w:szCs w:val="20"/>
                <w:u w:val="none"/>
                <w:lang w:val="en-US" w:eastAsia="zh-CN" w:bidi="ar"/>
              </w:rPr>
              <w:t xml:space="preserve">       </w:t>
            </w:r>
            <w:r>
              <w:rPr>
                <w:rFonts w:hint="eastAsia" w:asciiTheme="minorEastAsia" w:hAnsiTheme="minorEastAsia" w:eastAsiaTheme="minorEastAsia" w:cstheme="minorEastAsia"/>
                <w:i w:val="0"/>
                <w:color w:val="000000"/>
                <w:kern w:val="0"/>
                <w:sz w:val="20"/>
                <w:szCs w:val="20"/>
                <w:u w:val="none"/>
                <w:lang w:val="en-US" w:eastAsia="zh-CN" w:bidi="ar"/>
              </w:rPr>
              <w:t xml:space="preserve">收   </w:t>
            </w:r>
            <w:r>
              <w:rPr>
                <w:rFonts w:hint="eastAsia" w:asciiTheme="minorEastAsia" w:hAnsiTheme="minorEastAsia" w:cstheme="minorEastAsia"/>
                <w:i w:val="0"/>
                <w:color w:val="000000"/>
                <w:kern w:val="0"/>
                <w:sz w:val="20"/>
                <w:szCs w:val="20"/>
                <w:u w:val="none"/>
                <w:lang w:val="en-US" w:eastAsia="zh-CN" w:bidi="ar"/>
              </w:rPr>
              <w:t xml:space="preserve">       </w:t>
            </w:r>
            <w:r>
              <w:rPr>
                <w:rFonts w:hint="eastAsia" w:asciiTheme="minorEastAsia" w:hAnsiTheme="minorEastAsia" w:eastAsiaTheme="minorEastAsia" w:cstheme="minorEastAsia"/>
                <w:i w:val="0"/>
                <w:color w:val="000000"/>
                <w:kern w:val="0"/>
                <w:sz w:val="20"/>
                <w:szCs w:val="20"/>
                <w:u w:val="none"/>
                <w:lang w:val="en-US" w:eastAsia="zh-CN" w:bidi="ar"/>
              </w:rPr>
              <w:t xml:space="preserve"> 入</w:t>
            </w:r>
          </w:p>
        </w:tc>
        <w:tc>
          <w:tcPr>
            <w:tcW w:w="1054" w:type="dxa"/>
            <w:tcBorders>
              <w:top w:val="single" w:color="000000" w:sz="4" w:space="0"/>
              <w:bottom w:val="single" w:color="000000" w:sz="4" w:space="0"/>
            </w:tcBorders>
            <w:shd w:val="clear" w:color="auto" w:fill="auto"/>
            <w:vAlign w:val="center"/>
          </w:tcPr>
          <w:p>
            <w:pPr>
              <w:jc w:val="both"/>
              <w:rPr>
                <w:rFonts w:hint="eastAsia" w:asciiTheme="minorEastAsia" w:hAnsiTheme="minorEastAsia" w:eastAsiaTheme="minorEastAsia" w:cstheme="minorEastAsia"/>
                <w:i w:val="0"/>
                <w:color w:val="000000"/>
                <w:sz w:val="20"/>
                <w:szCs w:val="20"/>
                <w:u w:val="none"/>
              </w:rPr>
            </w:pPr>
          </w:p>
        </w:tc>
        <w:tc>
          <w:tcPr>
            <w:tcW w:w="55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exact"/>
        </w:trPr>
        <w:tc>
          <w:tcPr>
            <w:tcW w:w="2245"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项 目</w:t>
            </w:r>
          </w:p>
        </w:tc>
        <w:tc>
          <w:tcPr>
            <w:tcW w:w="1054"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预算数</w:t>
            </w:r>
          </w:p>
        </w:tc>
        <w:tc>
          <w:tcPr>
            <w:tcW w:w="35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项 目</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exact"/>
        </w:trPr>
        <w:tc>
          <w:tcPr>
            <w:tcW w:w="2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一、财政拨款</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4595.93 </w:t>
            </w:r>
          </w:p>
        </w:tc>
        <w:tc>
          <w:tcPr>
            <w:tcW w:w="35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合计</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4648.93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exact"/>
        </w:trPr>
        <w:tc>
          <w:tcPr>
            <w:tcW w:w="2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 xml:space="preserve">    一般公共预算</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4595.93 </w:t>
            </w:r>
          </w:p>
        </w:tc>
        <w:tc>
          <w:tcPr>
            <w:tcW w:w="35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一般公共服务支出</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2176.86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exact"/>
        </w:trPr>
        <w:tc>
          <w:tcPr>
            <w:tcW w:w="2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 xml:space="preserve">    政府性基金预算</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i w:val="0"/>
                <w:color w:val="000000"/>
                <w:sz w:val="18"/>
                <w:szCs w:val="18"/>
                <w:u w:val="none"/>
              </w:rPr>
            </w:pPr>
          </w:p>
        </w:tc>
        <w:tc>
          <w:tcPr>
            <w:tcW w:w="35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  商贸事务</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2176.86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exact"/>
        </w:trPr>
        <w:tc>
          <w:tcPr>
            <w:tcW w:w="2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二、专户资金</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i w:val="0"/>
                <w:color w:val="000000"/>
                <w:sz w:val="18"/>
                <w:szCs w:val="18"/>
                <w:u w:val="none"/>
              </w:rPr>
            </w:pPr>
          </w:p>
        </w:tc>
        <w:tc>
          <w:tcPr>
            <w:tcW w:w="35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    行政运行</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1478.57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exact"/>
        </w:trPr>
        <w:tc>
          <w:tcPr>
            <w:tcW w:w="2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三、单位结余</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53.00 </w:t>
            </w:r>
          </w:p>
        </w:tc>
        <w:tc>
          <w:tcPr>
            <w:tcW w:w="35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    一般行政管理事务</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388.36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exact"/>
        </w:trPr>
        <w:tc>
          <w:tcPr>
            <w:tcW w:w="22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inorEastAsia" w:hAnsiTheme="minorEastAsia" w:eastAsiaTheme="minorEastAsia" w:cstheme="minorEastAsia"/>
                <w:i w:val="0"/>
                <w:color w:val="000000"/>
                <w:sz w:val="20"/>
                <w:szCs w:val="20"/>
                <w:u w:val="none"/>
              </w:rPr>
            </w:pP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right"/>
              <w:rPr>
                <w:rFonts w:hint="eastAsia" w:asciiTheme="minorEastAsia" w:hAnsiTheme="minorEastAsia" w:eastAsiaTheme="minorEastAsia" w:cstheme="minorEastAsia"/>
                <w:i w:val="0"/>
                <w:color w:val="000000"/>
                <w:sz w:val="18"/>
                <w:szCs w:val="18"/>
                <w:u w:val="none"/>
              </w:rPr>
            </w:pPr>
          </w:p>
        </w:tc>
        <w:tc>
          <w:tcPr>
            <w:tcW w:w="35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    事业运行</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213.09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exact"/>
        </w:trPr>
        <w:tc>
          <w:tcPr>
            <w:tcW w:w="22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inorEastAsia" w:hAnsiTheme="minorEastAsia" w:eastAsiaTheme="minorEastAsia" w:cstheme="minorEastAsia"/>
                <w:i w:val="0"/>
                <w:color w:val="000000"/>
                <w:sz w:val="20"/>
                <w:szCs w:val="20"/>
                <w:u w:val="none"/>
              </w:rPr>
            </w:pP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right"/>
              <w:rPr>
                <w:rFonts w:hint="eastAsia" w:asciiTheme="minorEastAsia" w:hAnsiTheme="minorEastAsia" w:eastAsiaTheme="minorEastAsia" w:cstheme="minorEastAsia"/>
                <w:i w:val="0"/>
                <w:color w:val="000000"/>
                <w:sz w:val="18"/>
                <w:szCs w:val="18"/>
                <w:u w:val="none"/>
              </w:rPr>
            </w:pPr>
          </w:p>
        </w:tc>
        <w:tc>
          <w:tcPr>
            <w:tcW w:w="35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    其他商贸事务支出</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96.84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exact"/>
        </w:trPr>
        <w:tc>
          <w:tcPr>
            <w:tcW w:w="22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inorEastAsia" w:hAnsiTheme="minorEastAsia" w:eastAsiaTheme="minorEastAsia" w:cstheme="minorEastAsia"/>
                <w:i w:val="0"/>
                <w:color w:val="000000"/>
                <w:sz w:val="20"/>
                <w:szCs w:val="20"/>
                <w:u w:val="none"/>
              </w:rPr>
            </w:pP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i w:val="0"/>
                <w:color w:val="000000"/>
                <w:sz w:val="18"/>
                <w:szCs w:val="18"/>
                <w:u w:val="none"/>
              </w:rPr>
            </w:pPr>
          </w:p>
        </w:tc>
        <w:tc>
          <w:tcPr>
            <w:tcW w:w="35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社会保障和就业支出</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218.24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exact"/>
        </w:trPr>
        <w:tc>
          <w:tcPr>
            <w:tcW w:w="22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inorEastAsia" w:hAnsiTheme="minorEastAsia" w:eastAsiaTheme="minorEastAsia" w:cstheme="minorEastAsia"/>
                <w:i w:val="0"/>
                <w:color w:val="000000"/>
                <w:sz w:val="20"/>
                <w:szCs w:val="20"/>
                <w:u w:val="none"/>
              </w:rPr>
            </w:pP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i w:val="0"/>
                <w:color w:val="000000"/>
                <w:sz w:val="18"/>
                <w:szCs w:val="18"/>
                <w:u w:val="none"/>
              </w:rPr>
            </w:pPr>
          </w:p>
        </w:tc>
        <w:tc>
          <w:tcPr>
            <w:tcW w:w="35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  行政事业单位离退休</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218.24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exact"/>
        </w:trPr>
        <w:tc>
          <w:tcPr>
            <w:tcW w:w="22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inorEastAsia" w:hAnsiTheme="minorEastAsia" w:eastAsiaTheme="minorEastAsia" w:cstheme="minorEastAsia"/>
                <w:i w:val="0"/>
                <w:color w:val="000000"/>
                <w:sz w:val="20"/>
                <w:szCs w:val="20"/>
                <w:u w:val="none"/>
              </w:rPr>
            </w:pP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i w:val="0"/>
                <w:color w:val="000000"/>
                <w:sz w:val="18"/>
                <w:szCs w:val="18"/>
                <w:u w:val="none"/>
              </w:rPr>
            </w:pPr>
          </w:p>
        </w:tc>
        <w:tc>
          <w:tcPr>
            <w:tcW w:w="35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    机关事业单位基本养老保险缴费支出</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155.85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exact"/>
        </w:trPr>
        <w:tc>
          <w:tcPr>
            <w:tcW w:w="22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inorEastAsia" w:hAnsiTheme="minorEastAsia" w:eastAsiaTheme="minorEastAsia" w:cstheme="minorEastAsia"/>
                <w:i w:val="0"/>
                <w:color w:val="000000"/>
                <w:sz w:val="20"/>
                <w:szCs w:val="20"/>
                <w:u w:val="none"/>
              </w:rPr>
            </w:pP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i w:val="0"/>
                <w:color w:val="000000"/>
                <w:sz w:val="18"/>
                <w:szCs w:val="18"/>
                <w:u w:val="none"/>
              </w:rPr>
            </w:pPr>
          </w:p>
        </w:tc>
        <w:tc>
          <w:tcPr>
            <w:tcW w:w="35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    机关事业单位职业年金缴费支出</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62.39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exact"/>
        </w:trPr>
        <w:tc>
          <w:tcPr>
            <w:tcW w:w="22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inorEastAsia" w:hAnsiTheme="minorEastAsia" w:eastAsiaTheme="minorEastAsia" w:cstheme="minorEastAsia"/>
                <w:i w:val="0"/>
                <w:color w:val="000000"/>
                <w:sz w:val="20"/>
                <w:szCs w:val="20"/>
                <w:u w:val="none"/>
              </w:rPr>
            </w:pP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i w:val="0"/>
                <w:color w:val="000000"/>
                <w:sz w:val="18"/>
                <w:szCs w:val="18"/>
                <w:u w:val="none"/>
              </w:rPr>
            </w:pPr>
          </w:p>
        </w:tc>
        <w:tc>
          <w:tcPr>
            <w:tcW w:w="35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医疗卫生与计划生育支出</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117.30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exact"/>
        </w:trPr>
        <w:tc>
          <w:tcPr>
            <w:tcW w:w="22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inorEastAsia" w:hAnsiTheme="minorEastAsia" w:eastAsiaTheme="minorEastAsia" w:cstheme="minorEastAsia"/>
                <w:i w:val="0"/>
                <w:color w:val="000000"/>
                <w:sz w:val="20"/>
                <w:szCs w:val="20"/>
                <w:u w:val="none"/>
              </w:rPr>
            </w:pP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i w:val="0"/>
                <w:color w:val="000000"/>
                <w:sz w:val="18"/>
                <w:szCs w:val="18"/>
                <w:u w:val="none"/>
              </w:rPr>
            </w:pPr>
          </w:p>
        </w:tc>
        <w:tc>
          <w:tcPr>
            <w:tcW w:w="35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  行政事业单位医疗</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117.30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exact"/>
        </w:trPr>
        <w:tc>
          <w:tcPr>
            <w:tcW w:w="22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inorEastAsia" w:hAnsiTheme="minorEastAsia" w:eastAsiaTheme="minorEastAsia" w:cstheme="minorEastAsia"/>
                <w:i w:val="0"/>
                <w:color w:val="000000"/>
                <w:sz w:val="20"/>
                <w:szCs w:val="20"/>
                <w:u w:val="none"/>
              </w:rPr>
            </w:pP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i w:val="0"/>
                <w:color w:val="000000"/>
                <w:sz w:val="18"/>
                <w:szCs w:val="18"/>
                <w:u w:val="none"/>
              </w:rPr>
            </w:pPr>
          </w:p>
        </w:tc>
        <w:tc>
          <w:tcPr>
            <w:tcW w:w="35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    行政单位医疗</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104.66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exact"/>
        </w:trPr>
        <w:tc>
          <w:tcPr>
            <w:tcW w:w="22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inorEastAsia" w:hAnsiTheme="minorEastAsia" w:eastAsiaTheme="minorEastAsia" w:cstheme="minorEastAsia"/>
                <w:i w:val="0"/>
                <w:color w:val="000000"/>
                <w:sz w:val="20"/>
                <w:szCs w:val="20"/>
                <w:u w:val="none"/>
              </w:rPr>
            </w:pP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i w:val="0"/>
                <w:color w:val="000000"/>
                <w:sz w:val="18"/>
                <w:szCs w:val="18"/>
                <w:u w:val="none"/>
              </w:rPr>
            </w:pPr>
          </w:p>
        </w:tc>
        <w:tc>
          <w:tcPr>
            <w:tcW w:w="35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    事业单位医疗</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12.64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exact"/>
        </w:trPr>
        <w:tc>
          <w:tcPr>
            <w:tcW w:w="22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inorEastAsia" w:hAnsiTheme="minorEastAsia" w:eastAsiaTheme="minorEastAsia" w:cstheme="minorEastAsia"/>
                <w:i w:val="0"/>
                <w:color w:val="000000"/>
                <w:sz w:val="20"/>
                <w:szCs w:val="20"/>
                <w:u w:val="none"/>
              </w:rPr>
            </w:pP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i w:val="0"/>
                <w:color w:val="000000"/>
                <w:sz w:val="18"/>
                <w:szCs w:val="18"/>
                <w:u w:val="none"/>
              </w:rPr>
            </w:pPr>
          </w:p>
        </w:tc>
        <w:tc>
          <w:tcPr>
            <w:tcW w:w="35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商业服务业等支出</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2027.00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exact"/>
        </w:trPr>
        <w:tc>
          <w:tcPr>
            <w:tcW w:w="22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inorEastAsia" w:hAnsiTheme="minorEastAsia" w:eastAsiaTheme="minorEastAsia" w:cstheme="minorEastAsia"/>
                <w:i w:val="0"/>
                <w:color w:val="000000"/>
                <w:sz w:val="20"/>
                <w:szCs w:val="20"/>
                <w:u w:val="none"/>
              </w:rPr>
            </w:pP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i w:val="0"/>
                <w:color w:val="000000"/>
                <w:sz w:val="18"/>
                <w:szCs w:val="18"/>
                <w:u w:val="none"/>
              </w:rPr>
            </w:pPr>
          </w:p>
        </w:tc>
        <w:tc>
          <w:tcPr>
            <w:tcW w:w="35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  商业流通事务</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966.00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exact"/>
        </w:trPr>
        <w:tc>
          <w:tcPr>
            <w:tcW w:w="22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inorEastAsia" w:hAnsiTheme="minorEastAsia" w:eastAsiaTheme="minorEastAsia" w:cstheme="minorEastAsia"/>
                <w:i w:val="0"/>
                <w:color w:val="000000"/>
                <w:sz w:val="20"/>
                <w:szCs w:val="20"/>
                <w:u w:val="none"/>
              </w:rPr>
            </w:pP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i w:val="0"/>
                <w:color w:val="000000"/>
                <w:sz w:val="18"/>
                <w:szCs w:val="18"/>
                <w:u w:val="none"/>
              </w:rPr>
            </w:pPr>
          </w:p>
        </w:tc>
        <w:tc>
          <w:tcPr>
            <w:tcW w:w="35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    其他商业流通事务支出</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966.00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exact"/>
        </w:trPr>
        <w:tc>
          <w:tcPr>
            <w:tcW w:w="22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inorEastAsia" w:hAnsiTheme="minorEastAsia" w:eastAsiaTheme="minorEastAsia" w:cstheme="minorEastAsia"/>
                <w:i w:val="0"/>
                <w:color w:val="000000"/>
                <w:sz w:val="20"/>
                <w:szCs w:val="20"/>
                <w:u w:val="none"/>
              </w:rPr>
            </w:pP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i w:val="0"/>
                <w:color w:val="000000"/>
                <w:sz w:val="18"/>
                <w:szCs w:val="18"/>
                <w:u w:val="none"/>
              </w:rPr>
            </w:pPr>
          </w:p>
        </w:tc>
        <w:tc>
          <w:tcPr>
            <w:tcW w:w="35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  涉外发展服务支出</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1061.00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exact"/>
        </w:trPr>
        <w:tc>
          <w:tcPr>
            <w:tcW w:w="22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inorEastAsia" w:hAnsiTheme="minorEastAsia" w:eastAsiaTheme="minorEastAsia" w:cstheme="minorEastAsia"/>
                <w:i w:val="0"/>
                <w:color w:val="000000"/>
                <w:sz w:val="20"/>
                <w:szCs w:val="20"/>
                <w:u w:val="none"/>
              </w:rPr>
            </w:pP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i w:val="0"/>
                <w:color w:val="000000"/>
                <w:sz w:val="18"/>
                <w:szCs w:val="18"/>
                <w:u w:val="none"/>
              </w:rPr>
            </w:pPr>
          </w:p>
        </w:tc>
        <w:tc>
          <w:tcPr>
            <w:tcW w:w="35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    其他涉外发展服务支出</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1061.00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exact"/>
        </w:trPr>
        <w:tc>
          <w:tcPr>
            <w:tcW w:w="22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inorEastAsia" w:hAnsiTheme="minorEastAsia" w:eastAsiaTheme="minorEastAsia" w:cstheme="minorEastAsia"/>
                <w:i w:val="0"/>
                <w:color w:val="000000"/>
                <w:sz w:val="20"/>
                <w:szCs w:val="20"/>
                <w:u w:val="none"/>
              </w:rPr>
            </w:pP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i w:val="0"/>
                <w:color w:val="000000"/>
                <w:sz w:val="18"/>
                <w:szCs w:val="18"/>
                <w:u w:val="none"/>
              </w:rPr>
            </w:pPr>
          </w:p>
        </w:tc>
        <w:tc>
          <w:tcPr>
            <w:tcW w:w="35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住房保障支出</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109.53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exact"/>
        </w:trPr>
        <w:tc>
          <w:tcPr>
            <w:tcW w:w="22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inorEastAsia" w:hAnsiTheme="minorEastAsia" w:eastAsiaTheme="minorEastAsia" w:cstheme="minorEastAsia"/>
                <w:i w:val="0"/>
                <w:color w:val="000000"/>
                <w:sz w:val="20"/>
                <w:szCs w:val="20"/>
                <w:u w:val="none"/>
              </w:rPr>
            </w:pP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i w:val="0"/>
                <w:color w:val="000000"/>
                <w:sz w:val="18"/>
                <w:szCs w:val="18"/>
                <w:u w:val="none"/>
              </w:rPr>
            </w:pPr>
          </w:p>
        </w:tc>
        <w:tc>
          <w:tcPr>
            <w:tcW w:w="35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  住房改革支出</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109.53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exact"/>
        </w:trPr>
        <w:tc>
          <w:tcPr>
            <w:tcW w:w="22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inorEastAsia" w:hAnsiTheme="minorEastAsia" w:eastAsiaTheme="minorEastAsia" w:cstheme="minorEastAsia"/>
                <w:i w:val="0"/>
                <w:color w:val="000000"/>
                <w:sz w:val="20"/>
                <w:szCs w:val="20"/>
                <w:u w:val="none"/>
              </w:rPr>
            </w:pP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i w:val="0"/>
                <w:color w:val="000000"/>
                <w:sz w:val="18"/>
                <w:szCs w:val="18"/>
                <w:u w:val="none"/>
              </w:rPr>
            </w:pPr>
          </w:p>
        </w:tc>
        <w:tc>
          <w:tcPr>
            <w:tcW w:w="35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    住房公积金</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98.23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exact"/>
        </w:trPr>
        <w:tc>
          <w:tcPr>
            <w:tcW w:w="22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inorEastAsia" w:hAnsiTheme="minorEastAsia" w:eastAsiaTheme="minorEastAsia" w:cstheme="minorEastAsia"/>
                <w:i w:val="0"/>
                <w:color w:val="000000"/>
                <w:sz w:val="20"/>
                <w:szCs w:val="20"/>
                <w:u w:val="none"/>
              </w:rPr>
            </w:pP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heme="minorEastAsia" w:hAnsiTheme="minorEastAsia" w:eastAsiaTheme="minorEastAsia" w:cstheme="minorEastAsia"/>
                <w:i w:val="0"/>
                <w:color w:val="000000"/>
                <w:sz w:val="18"/>
                <w:szCs w:val="18"/>
                <w:u w:val="none"/>
              </w:rPr>
            </w:pPr>
          </w:p>
        </w:tc>
        <w:tc>
          <w:tcPr>
            <w:tcW w:w="35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    购房补贴</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11.30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exact"/>
        </w:trPr>
        <w:tc>
          <w:tcPr>
            <w:tcW w:w="2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收  入  总  计</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4648.93 </w:t>
            </w:r>
          </w:p>
        </w:tc>
        <w:tc>
          <w:tcPr>
            <w:tcW w:w="35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支  出  总  计</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4648.93 </w:t>
            </w:r>
          </w:p>
        </w:tc>
      </w:tr>
    </w:tbl>
    <w:p>
      <w:pPr>
        <w:spacing w:line="580" w:lineRule="exact"/>
        <w:rPr>
          <w:rFonts w:hint="eastAsia" w:ascii="方正小标宋简体" w:hAnsi="方正小标宋简体" w:eastAsia="方正小标宋简体" w:cs="方正小标宋简体"/>
          <w:spacing w:val="15"/>
          <w:sz w:val="44"/>
          <w:szCs w:val="44"/>
        </w:rPr>
      </w:pPr>
    </w:p>
    <w:tbl>
      <w:tblPr>
        <w:tblStyle w:val="8"/>
        <w:tblW w:w="10020" w:type="dxa"/>
        <w:tblInd w:w="-637" w:type="dxa"/>
        <w:tblLayout w:type="fixed"/>
        <w:tblCellMar>
          <w:top w:w="0" w:type="dxa"/>
          <w:left w:w="108" w:type="dxa"/>
          <w:bottom w:w="0" w:type="dxa"/>
          <w:right w:w="108" w:type="dxa"/>
        </w:tblCellMar>
      </w:tblPr>
      <w:tblGrid>
        <w:gridCol w:w="2285"/>
        <w:gridCol w:w="1260"/>
        <w:gridCol w:w="1486"/>
        <w:gridCol w:w="3158"/>
        <w:gridCol w:w="1831"/>
      </w:tblGrid>
      <w:tr>
        <w:tblPrEx>
          <w:tblLayout w:type="fixed"/>
          <w:tblCellMar>
            <w:top w:w="0" w:type="dxa"/>
            <w:left w:w="108" w:type="dxa"/>
            <w:bottom w:w="0" w:type="dxa"/>
            <w:right w:w="108" w:type="dxa"/>
          </w:tblCellMar>
        </w:tblPrEx>
        <w:trPr>
          <w:trHeight w:val="570" w:hRule="atLeast"/>
        </w:trPr>
        <w:tc>
          <w:tcPr>
            <w:tcW w:w="10020" w:type="dxa"/>
            <w:gridSpan w:val="5"/>
            <w:tcBorders>
              <w:top w:val="nil"/>
              <w:left w:val="nil"/>
              <w:bottom w:val="nil"/>
              <w:right w:val="nil"/>
            </w:tcBorders>
            <w:shd w:val="clear" w:color="auto" w:fill="auto"/>
            <w:vAlign w:val="center"/>
          </w:tcPr>
          <w:p>
            <w:pPr>
              <w:jc w:val="both"/>
              <w:rPr>
                <w:rFonts w:hint="default" w:ascii="仿宋_GB2312" w:hAnsi="仿宋_GB2312" w:eastAsia="仿宋_GB2312"/>
                <w:sz w:val="32"/>
                <w:lang w:val="en-US" w:eastAsia="zh-CN"/>
              </w:rPr>
            </w:pPr>
            <w:r>
              <w:rPr>
                <w:rFonts w:hint="eastAsia" w:ascii="仿宋_GB2312" w:hAnsi="仿宋_GB2312" w:eastAsia="仿宋_GB2312"/>
                <w:sz w:val="32"/>
                <w:lang w:val="en-US" w:eastAsia="zh-CN"/>
              </w:rPr>
              <w:t>表2</w:t>
            </w:r>
          </w:p>
          <w:p>
            <w:pPr>
              <w:keepNext w:val="0"/>
              <w:keepLines w:val="0"/>
              <w:widowControl/>
              <w:suppressLineNumbers w:val="0"/>
              <w:jc w:val="center"/>
              <w:textAlignment w:val="center"/>
              <w:rPr>
                <w:rFonts w:ascii="方正小标宋简体" w:hAnsi="宋体" w:eastAsia="方正小标宋简体" w:cs="宋体"/>
                <w:kern w:val="0"/>
                <w:sz w:val="44"/>
                <w:szCs w:val="44"/>
              </w:rPr>
            </w:pPr>
            <w:r>
              <w:rPr>
                <w:rFonts w:hint="default" w:ascii="方正小标宋简体" w:hAnsi="方正小标宋简体" w:eastAsia="方正小标宋简体" w:cs="方正小标宋简体"/>
                <w:i w:val="0"/>
                <w:color w:val="000000"/>
                <w:kern w:val="0"/>
                <w:sz w:val="44"/>
                <w:szCs w:val="44"/>
                <w:u w:val="none"/>
                <w:lang w:val="en-US" w:eastAsia="zh-CN" w:bidi="ar"/>
              </w:rPr>
              <w:t>2018年市级部门财政拨款收支预算总表</w:t>
            </w:r>
          </w:p>
        </w:tc>
      </w:tr>
      <w:tr>
        <w:tblPrEx>
          <w:tblLayout w:type="fixed"/>
          <w:tblCellMar>
            <w:top w:w="0" w:type="dxa"/>
            <w:left w:w="108" w:type="dxa"/>
            <w:bottom w:w="0" w:type="dxa"/>
            <w:right w:w="108" w:type="dxa"/>
          </w:tblCellMar>
        </w:tblPrEx>
        <w:trPr>
          <w:trHeight w:val="300" w:hRule="atLeast"/>
        </w:trPr>
        <w:tc>
          <w:tcPr>
            <w:tcW w:w="2285"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部门名称：温州市商务局</w:t>
            </w:r>
          </w:p>
        </w:tc>
        <w:tc>
          <w:tcPr>
            <w:tcW w:w="1260" w:type="dxa"/>
            <w:tcBorders>
              <w:top w:val="nil"/>
              <w:left w:val="nil"/>
              <w:bottom w:val="nil"/>
              <w:right w:val="nil"/>
            </w:tcBorders>
            <w:shd w:val="clear" w:color="auto" w:fill="auto"/>
            <w:vAlign w:val="bottom"/>
          </w:tcPr>
          <w:p>
            <w:pPr>
              <w:rPr>
                <w:rFonts w:hint="eastAsia" w:asciiTheme="minorEastAsia" w:hAnsiTheme="minorEastAsia" w:eastAsiaTheme="minorEastAsia" w:cstheme="minorEastAsia"/>
                <w:sz w:val="24"/>
                <w:szCs w:val="24"/>
              </w:rPr>
            </w:pPr>
          </w:p>
        </w:tc>
        <w:tc>
          <w:tcPr>
            <w:tcW w:w="1486" w:type="dxa"/>
            <w:tcBorders>
              <w:top w:val="nil"/>
              <w:left w:val="nil"/>
              <w:bottom w:val="nil"/>
              <w:right w:val="nil"/>
            </w:tcBorders>
            <w:shd w:val="clear" w:color="auto" w:fill="auto"/>
            <w:vAlign w:val="bottom"/>
          </w:tcPr>
          <w:p>
            <w:pPr>
              <w:rPr>
                <w:rFonts w:hint="eastAsia" w:asciiTheme="minorEastAsia" w:hAnsiTheme="minorEastAsia" w:eastAsiaTheme="minorEastAsia" w:cstheme="minorEastAsia"/>
                <w:kern w:val="0"/>
                <w:sz w:val="24"/>
                <w:szCs w:val="24"/>
              </w:rPr>
            </w:pPr>
          </w:p>
        </w:tc>
        <w:tc>
          <w:tcPr>
            <w:tcW w:w="4989" w:type="dxa"/>
            <w:gridSpan w:val="2"/>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单位：万元</w:t>
            </w:r>
          </w:p>
        </w:tc>
      </w:tr>
      <w:tr>
        <w:tblPrEx>
          <w:tblLayout w:type="fixed"/>
          <w:tblCellMar>
            <w:top w:w="0" w:type="dxa"/>
            <w:left w:w="108" w:type="dxa"/>
            <w:bottom w:w="0" w:type="dxa"/>
            <w:right w:w="108" w:type="dxa"/>
          </w:tblCellMar>
        </w:tblPrEx>
        <w:trPr>
          <w:trHeight w:val="330" w:hRule="atLeast"/>
        </w:trPr>
        <w:tc>
          <w:tcPr>
            <w:tcW w:w="2285" w:type="dxa"/>
            <w:tcBorders>
              <w:top w:val="single" w:color="auto" w:sz="4" w:space="0"/>
              <w:left w:val="single" w:color="auto" w:sz="4" w:space="0"/>
              <w:bottom w:val="single" w:color="auto" w:sz="4" w:space="0"/>
              <w:right w:val="nil"/>
            </w:tcBorders>
            <w:shd w:val="clear" w:color="auto" w:fill="auto"/>
            <w:vAlign w:val="center"/>
          </w:tcPr>
          <w:p>
            <w:pPr>
              <w:keepNext w:val="0"/>
              <w:keepLines w:val="0"/>
              <w:widowControl/>
              <w:suppressLineNumbers w:val="0"/>
              <w:ind w:firstLine="480" w:firstLineChars="200"/>
              <w:jc w:val="both"/>
              <w:textAlignment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收      入</w:t>
            </w:r>
          </w:p>
        </w:tc>
        <w:tc>
          <w:tcPr>
            <w:tcW w:w="1260" w:type="dxa"/>
            <w:tcBorders>
              <w:top w:val="single" w:color="auto" w:sz="4" w:space="0"/>
              <w:left w:val="single" w:color="auto" w:sz="4" w:space="0"/>
              <w:bottom w:val="single" w:color="auto" w:sz="4" w:space="0"/>
              <w:right w:val="nil"/>
            </w:tcBorders>
            <w:shd w:val="clear" w:color="auto" w:fill="auto"/>
            <w:vAlign w:val="center"/>
          </w:tcPr>
          <w:p>
            <w:pPr>
              <w:jc w:val="both"/>
              <w:rPr>
                <w:rFonts w:hint="eastAsia" w:asciiTheme="minorEastAsia" w:hAnsiTheme="minorEastAsia" w:eastAsiaTheme="minorEastAsia" w:cstheme="minorEastAsia"/>
                <w:sz w:val="24"/>
                <w:szCs w:val="24"/>
              </w:rPr>
            </w:pPr>
          </w:p>
        </w:tc>
        <w:tc>
          <w:tcPr>
            <w:tcW w:w="6475" w:type="dxa"/>
            <w:gridSpan w:val="3"/>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支                    出</w:t>
            </w:r>
          </w:p>
        </w:tc>
      </w:tr>
      <w:tr>
        <w:tblPrEx>
          <w:tblLayout w:type="fixed"/>
          <w:tblCellMar>
            <w:top w:w="0" w:type="dxa"/>
            <w:left w:w="108" w:type="dxa"/>
            <w:bottom w:w="0" w:type="dxa"/>
            <w:right w:w="108" w:type="dxa"/>
          </w:tblCellMar>
        </w:tblPrEx>
        <w:trPr>
          <w:trHeight w:val="315" w:hRule="atLeast"/>
        </w:trPr>
        <w:tc>
          <w:tcPr>
            <w:tcW w:w="228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4"/>
                <w:szCs w:val="24"/>
              </w:rPr>
            </w:pPr>
            <w:r>
              <w:rPr>
                <w:rFonts w:hint="eastAsia" w:asciiTheme="minorEastAsia" w:hAnsiTheme="minorEastAsia" w:cstheme="minorEastAsia"/>
                <w:i w:val="0"/>
                <w:color w:val="000000"/>
                <w:kern w:val="0"/>
                <w:sz w:val="24"/>
                <w:szCs w:val="24"/>
                <w:u w:val="none"/>
                <w:lang w:val="en-US" w:eastAsia="zh-CN" w:bidi="ar"/>
              </w:rPr>
              <w:t xml:space="preserve"> </w:t>
            </w:r>
            <w:r>
              <w:rPr>
                <w:rFonts w:hint="eastAsia" w:asciiTheme="minorEastAsia" w:hAnsiTheme="minorEastAsia" w:eastAsiaTheme="minorEastAsia" w:cstheme="minorEastAsia"/>
                <w:i w:val="0"/>
                <w:color w:val="000000"/>
                <w:kern w:val="0"/>
                <w:sz w:val="24"/>
                <w:szCs w:val="24"/>
                <w:u w:val="none"/>
                <w:lang w:val="en-US" w:eastAsia="zh-CN" w:bidi="ar"/>
              </w:rPr>
              <w:t>项</w:t>
            </w:r>
            <w:r>
              <w:rPr>
                <w:rFonts w:hint="eastAsia" w:asciiTheme="minorEastAsia" w:hAnsiTheme="minorEastAsia" w:cstheme="minorEastAsia"/>
                <w:i w:val="0"/>
                <w:color w:val="000000"/>
                <w:kern w:val="0"/>
                <w:sz w:val="24"/>
                <w:szCs w:val="24"/>
                <w:u w:val="none"/>
                <w:lang w:val="en-US" w:eastAsia="zh-CN" w:bidi="ar"/>
              </w:rPr>
              <w:t xml:space="preserve">    </w:t>
            </w:r>
            <w:r>
              <w:rPr>
                <w:rFonts w:hint="eastAsia" w:asciiTheme="minorEastAsia" w:hAnsiTheme="minorEastAsia" w:eastAsiaTheme="minorEastAsia" w:cstheme="minorEastAsia"/>
                <w:i w:val="0"/>
                <w:color w:val="000000"/>
                <w:kern w:val="0"/>
                <w:sz w:val="24"/>
                <w:szCs w:val="24"/>
                <w:u w:val="none"/>
                <w:lang w:val="en-US" w:eastAsia="zh-CN" w:bidi="ar"/>
              </w:rPr>
              <w:t xml:space="preserve"> </w:t>
            </w:r>
            <w:r>
              <w:rPr>
                <w:rFonts w:hint="eastAsia" w:asciiTheme="minorEastAsia" w:hAnsiTheme="minorEastAsia" w:cstheme="minorEastAsia"/>
                <w:i w:val="0"/>
                <w:color w:val="000000"/>
                <w:kern w:val="0"/>
                <w:sz w:val="24"/>
                <w:szCs w:val="24"/>
                <w:u w:val="none"/>
                <w:lang w:val="en-US" w:eastAsia="zh-CN" w:bidi="ar"/>
              </w:rPr>
              <w:t xml:space="preserve"> </w:t>
            </w:r>
            <w:r>
              <w:rPr>
                <w:rFonts w:hint="eastAsia" w:asciiTheme="minorEastAsia" w:hAnsiTheme="minorEastAsia" w:eastAsiaTheme="minorEastAsia" w:cstheme="minorEastAsia"/>
                <w:i w:val="0"/>
                <w:color w:val="000000"/>
                <w:kern w:val="0"/>
                <w:sz w:val="24"/>
                <w:szCs w:val="24"/>
                <w:u w:val="none"/>
                <w:lang w:val="en-US" w:eastAsia="zh-CN" w:bidi="ar"/>
              </w:rPr>
              <w:t>目</w:t>
            </w:r>
          </w:p>
        </w:tc>
        <w:tc>
          <w:tcPr>
            <w:tcW w:w="126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预算数</w:t>
            </w:r>
          </w:p>
        </w:tc>
        <w:tc>
          <w:tcPr>
            <w:tcW w:w="464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项                        目</w:t>
            </w:r>
          </w:p>
        </w:tc>
        <w:tc>
          <w:tcPr>
            <w:tcW w:w="1831"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预算数</w:t>
            </w:r>
          </w:p>
        </w:tc>
      </w:tr>
      <w:tr>
        <w:tblPrEx>
          <w:tblLayout w:type="fixed"/>
          <w:tblCellMar>
            <w:top w:w="0" w:type="dxa"/>
            <w:left w:w="108" w:type="dxa"/>
            <w:bottom w:w="0" w:type="dxa"/>
            <w:right w:w="108" w:type="dxa"/>
          </w:tblCellMar>
        </w:tblPrEx>
        <w:trPr>
          <w:trHeight w:val="315" w:hRule="atLeast"/>
        </w:trPr>
        <w:tc>
          <w:tcPr>
            <w:tcW w:w="228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一、财政拨款</w:t>
            </w:r>
          </w:p>
        </w:tc>
        <w:tc>
          <w:tcPr>
            <w:tcW w:w="126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4595.93 </w:t>
            </w:r>
          </w:p>
        </w:tc>
        <w:tc>
          <w:tcPr>
            <w:tcW w:w="464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合计</w:t>
            </w:r>
          </w:p>
        </w:tc>
        <w:tc>
          <w:tcPr>
            <w:tcW w:w="1831"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4595.93 </w:t>
            </w:r>
          </w:p>
        </w:tc>
      </w:tr>
      <w:tr>
        <w:tblPrEx>
          <w:tblLayout w:type="fixed"/>
          <w:tblCellMar>
            <w:top w:w="0" w:type="dxa"/>
            <w:left w:w="108" w:type="dxa"/>
            <w:bottom w:w="0" w:type="dxa"/>
            <w:right w:w="108" w:type="dxa"/>
          </w:tblCellMar>
        </w:tblPrEx>
        <w:trPr>
          <w:trHeight w:val="315" w:hRule="atLeast"/>
        </w:trPr>
        <w:tc>
          <w:tcPr>
            <w:tcW w:w="228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    一般公共预算</w:t>
            </w:r>
          </w:p>
        </w:tc>
        <w:tc>
          <w:tcPr>
            <w:tcW w:w="126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4595.93 </w:t>
            </w:r>
          </w:p>
        </w:tc>
        <w:tc>
          <w:tcPr>
            <w:tcW w:w="464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一般公共服务支出</w:t>
            </w:r>
          </w:p>
        </w:tc>
        <w:tc>
          <w:tcPr>
            <w:tcW w:w="1831"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2156.86 </w:t>
            </w:r>
          </w:p>
        </w:tc>
      </w:tr>
      <w:tr>
        <w:tblPrEx>
          <w:tblLayout w:type="fixed"/>
          <w:tblCellMar>
            <w:top w:w="0" w:type="dxa"/>
            <w:left w:w="108" w:type="dxa"/>
            <w:bottom w:w="0" w:type="dxa"/>
            <w:right w:w="108" w:type="dxa"/>
          </w:tblCellMar>
        </w:tblPrEx>
        <w:trPr>
          <w:trHeight w:val="315" w:hRule="atLeast"/>
        </w:trPr>
        <w:tc>
          <w:tcPr>
            <w:tcW w:w="228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    政府性基金预算</w:t>
            </w:r>
          </w:p>
        </w:tc>
        <w:tc>
          <w:tcPr>
            <w:tcW w:w="1260" w:type="dxa"/>
            <w:tcBorders>
              <w:top w:val="nil"/>
              <w:left w:val="single" w:color="auto" w:sz="4" w:space="0"/>
              <w:bottom w:val="single" w:color="auto" w:sz="4" w:space="0"/>
              <w:right w:val="single" w:color="auto" w:sz="4" w:space="0"/>
            </w:tcBorders>
            <w:shd w:val="clear" w:color="auto" w:fill="auto"/>
            <w:vAlign w:val="center"/>
          </w:tcPr>
          <w:p>
            <w:pPr>
              <w:jc w:val="right"/>
              <w:rPr>
                <w:rFonts w:hint="eastAsia" w:asciiTheme="minorEastAsia" w:hAnsiTheme="minorEastAsia" w:eastAsiaTheme="minorEastAsia" w:cstheme="minorEastAsia"/>
                <w:sz w:val="18"/>
                <w:szCs w:val="18"/>
              </w:rPr>
            </w:pPr>
          </w:p>
        </w:tc>
        <w:tc>
          <w:tcPr>
            <w:tcW w:w="464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  商贸事务</w:t>
            </w:r>
          </w:p>
        </w:tc>
        <w:tc>
          <w:tcPr>
            <w:tcW w:w="1831"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2156.86 </w:t>
            </w:r>
          </w:p>
        </w:tc>
      </w:tr>
      <w:tr>
        <w:tblPrEx>
          <w:tblLayout w:type="fixed"/>
          <w:tblCellMar>
            <w:top w:w="0" w:type="dxa"/>
            <w:left w:w="108" w:type="dxa"/>
            <w:bottom w:w="0" w:type="dxa"/>
            <w:right w:w="108" w:type="dxa"/>
          </w:tblCellMar>
        </w:tblPrEx>
        <w:trPr>
          <w:trHeight w:val="315" w:hRule="atLeast"/>
        </w:trPr>
        <w:tc>
          <w:tcPr>
            <w:tcW w:w="2285" w:type="dxa"/>
            <w:tcBorders>
              <w:top w:val="nil"/>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kern w:val="0"/>
                <w:sz w:val="18"/>
                <w:szCs w:val="18"/>
              </w:rPr>
            </w:pPr>
          </w:p>
        </w:tc>
        <w:tc>
          <w:tcPr>
            <w:tcW w:w="1260" w:type="dxa"/>
            <w:tcBorders>
              <w:top w:val="nil"/>
              <w:left w:val="single" w:color="auto" w:sz="4" w:space="0"/>
              <w:bottom w:val="single" w:color="auto" w:sz="4" w:space="0"/>
              <w:right w:val="single" w:color="auto" w:sz="4" w:space="0"/>
            </w:tcBorders>
            <w:shd w:val="clear" w:color="auto" w:fill="auto"/>
            <w:vAlign w:val="bottom"/>
          </w:tcPr>
          <w:p>
            <w:pPr>
              <w:jc w:val="right"/>
              <w:rPr>
                <w:rFonts w:hint="eastAsia" w:asciiTheme="minorEastAsia" w:hAnsiTheme="minorEastAsia" w:eastAsiaTheme="minorEastAsia" w:cstheme="minorEastAsia"/>
                <w:sz w:val="18"/>
                <w:szCs w:val="18"/>
              </w:rPr>
            </w:pPr>
          </w:p>
        </w:tc>
        <w:tc>
          <w:tcPr>
            <w:tcW w:w="464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    行政运行</w:t>
            </w:r>
          </w:p>
        </w:tc>
        <w:tc>
          <w:tcPr>
            <w:tcW w:w="1831"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1478.57 </w:t>
            </w:r>
          </w:p>
        </w:tc>
      </w:tr>
      <w:tr>
        <w:tblPrEx>
          <w:tblLayout w:type="fixed"/>
          <w:tblCellMar>
            <w:top w:w="0" w:type="dxa"/>
            <w:left w:w="108" w:type="dxa"/>
            <w:bottom w:w="0" w:type="dxa"/>
            <w:right w:w="108" w:type="dxa"/>
          </w:tblCellMar>
        </w:tblPrEx>
        <w:trPr>
          <w:trHeight w:val="315" w:hRule="atLeast"/>
        </w:trPr>
        <w:tc>
          <w:tcPr>
            <w:tcW w:w="2285" w:type="dxa"/>
            <w:tcBorders>
              <w:top w:val="nil"/>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kern w:val="0"/>
                <w:sz w:val="18"/>
                <w:szCs w:val="18"/>
              </w:rPr>
            </w:pPr>
          </w:p>
        </w:tc>
        <w:tc>
          <w:tcPr>
            <w:tcW w:w="1260" w:type="dxa"/>
            <w:tcBorders>
              <w:top w:val="nil"/>
              <w:left w:val="single" w:color="auto" w:sz="4" w:space="0"/>
              <w:bottom w:val="single" w:color="auto" w:sz="4" w:space="0"/>
              <w:right w:val="single" w:color="auto" w:sz="4" w:space="0"/>
            </w:tcBorders>
            <w:shd w:val="clear" w:color="auto" w:fill="auto"/>
            <w:vAlign w:val="bottom"/>
          </w:tcPr>
          <w:p>
            <w:pPr>
              <w:jc w:val="right"/>
              <w:rPr>
                <w:rFonts w:hint="eastAsia" w:asciiTheme="minorEastAsia" w:hAnsiTheme="minorEastAsia" w:eastAsiaTheme="minorEastAsia" w:cstheme="minorEastAsia"/>
                <w:sz w:val="18"/>
                <w:szCs w:val="18"/>
              </w:rPr>
            </w:pPr>
          </w:p>
        </w:tc>
        <w:tc>
          <w:tcPr>
            <w:tcW w:w="464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    一般行政管理事务</w:t>
            </w:r>
          </w:p>
        </w:tc>
        <w:tc>
          <w:tcPr>
            <w:tcW w:w="1831"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368.36 </w:t>
            </w:r>
          </w:p>
        </w:tc>
      </w:tr>
      <w:tr>
        <w:tblPrEx>
          <w:tblLayout w:type="fixed"/>
          <w:tblCellMar>
            <w:top w:w="0" w:type="dxa"/>
            <w:left w:w="108" w:type="dxa"/>
            <w:bottom w:w="0" w:type="dxa"/>
            <w:right w:w="108" w:type="dxa"/>
          </w:tblCellMar>
        </w:tblPrEx>
        <w:trPr>
          <w:trHeight w:val="315" w:hRule="atLeast"/>
        </w:trPr>
        <w:tc>
          <w:tcPr>
            <w:tcW w:w="2285" w:type="dxa"/>
            <w:tcBorders>
              <w:top w:val="nil"/>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kern w:val="0"/>
                <w:sz w:val="18"/>
                <w:szCs w:val="18"/>
              </w:rPr>
            </w:pPr>
          </w:p>
        </w:tc>
        <w:tc>
          <w:tcPr>
            <w:tcW w:w="1260" w:type="dxa"/>
            <w:tcBorders>
              <w:top w:val="nil"/>
              <w:left w:val="single" w:color="auto" w:sz="4" w:space="0"/>
              <w:bottom w:val="single" w:color="auto" w:sz="4" w:space="0"/>
              <w:right w:val="single" w:color="auto" w:sz="4" w:space="0"/>
            </w:tcBorders>
            <w:shd w:val="clear" w:color="auto" w:fill="auto"/>
            <w:vAlign w:val="bottom"/>
          </w:tcPr>
          <w:p>
            <w:pPr>
              <w:jc w:val="right"/>
              <w:rPr>
                <w:rFonts w:hint="eastAsia" w:asciiTheme="minorEastAsia" w:hAnsiTheme="minorEastAsia" w:eastAsiaTheme="minorEastAsia" w:cstheme="minorEastAsia"/>
                <w:sz w:val="18"/>
                <w:szCs w:val="18"/>
              </w:rPr>
            </w:pPr>
          </w:p>
        </w:tc>
        <w:tc>
          <w:tcPr>
            <w:tcW w:w="464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    事业运行</w:t>
            </w:r>
          </w:p>
        </w:tc>
        <w:tc>
          <w:tcPr>
            <w:tcW w:w="1831"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213.09 </w:t>
            </w:r>
          </w:p>
        </w:tc>
      </w:tr>
      <w:tr>
        <w:tblPrEx>
          <w:tblLayout w:type="fixed"/>
          <w:tblCellMar>
            <w:top w:w="0" w:type="dxa"/>
            <w:left w:w="108" w:type="dxa"/>
            <w:bottom w:w="0" w:type="dxa"/>
            <w:right w:w="108" w:type="dxa"/>
          </w:tblCellMar>
        </w:tblPrEx>
        <w:trPr>
          <w:trHeight w:val="315" w:hRule="atLeast"/>
        </w:trPr>
        <w:tc>
          <w:tcPr>
            <w:tcW w:w="2285" w:type="dxa"/>
            <w:tcBorders>
              <w:top w:val="nil"/>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kern w:val="0"/>
                <w:sz w:val="18"/>
                <w:szCs w:val="18"/>
              </w:rPr>
            </w:pPr>
          </w:p>
        </w:tc>
        <w:tc>
          <w:tcPr>
            <w:tcW w:w="1260" w:type="dxa"/>
            <w:tcBorders>
              <w:top w:val="nil"/>
              <w:left w:val="single" w:color="auto" w:sz="4" w:space="0"/>
              <w:bottom w:val="single" w:color="auto" w:sz="4" w:space="0"/>
              <w:right w:val="single" w:color="auto" w:sz="4" w:space="0"/>
            </w:tcBorders>
            <w:shd w:val="clear" w:color="auto" w:fill="auto"/>
            <w:vAlign w:val="bottom"/>
          </w:tcPr>
          <w:p>
            <w:pPr>
              <w:jc w:val="right"/>
              <w:rPr>
                <w:rFonts w:hint="eastAsia" w:asciiTheme="minorEastAsia" w:hAnsiTheme="minorEastAsia" w:eastAsiaTheme="minorEastAsia" w:cstheme="minorEastAsia"/>
                <w:sz w:val="18"/>
                <w:szCs w:val="18"/>
              </w:rPr>
            </w:pPr>
          </w:p>
        </w:tc>
        <w:tc>
          <w:tcPr>
            <w:tcW w:w="464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    其他商贸事务支出</w:t>
            </w:r>
          </w:p>
        </w:tc>
        <w:tc>
          <w:tcPr>
            <w:tcW w:w="1831"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96.84 </w:t>
            </w:r>
          </w:p>
        </w:tc>
      </w:tr>
      <w:tr>
        <w:tblPrEx>
          <w:tblLayout w:type="fixed"/>
          <w:tblCellMar>
            <w:top w:w="0" w:type="dxa"/>
            <w:left w:w="108" w:type="dxa"/>
            <w:bottom w:w="0" w:type="dxa"/>
            <w:right w:w="108" w:type="dxa"/>
          </w:tblCellMar>
        </w:tblPrEx>
        <w:trPr>
          <w:trHeight w:val="315" w:hRule="atLeast"/>
        </w:trPr>
        <w:tc>
          <w:tcPr>
            <w:tcW w:w="2285" w:type="dxa"/>
            <w:tcBorders>
              <w:top w:val="nil"/>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kern w:val="0"/>
                <w:sz w:val="18"/>
                <w:szCs w:val="18"/>
              </w:rPr>
            </w:pPr>
          </w:p>
        </w:tc>
        <w:tc>
          <w:tcPr>
            <w:tcW w:w="1260" w:type="dxa"/>
            <w:tcBorders>
              <w:top w:val="nil"/>
              <w:left w:val="single" w:color="auto" w:sz="4" w:space="0"/>
              <w:bottom w:val="single" w:color="auto" w:sz="4" w:space="0"/>
              <w:right w:val="single" w:color="auto" w:sz="4" w:space="0"/>
            </w:tcBorders>
            <w:shd w:val="clear" w:color="auto" w:fill="auto"/>
            <w:vAlign w:val="center"/>
          </w:tcPr>
          <w:p>
            <w:pPr>
              <w:jc w:val="right"/>
              <w:rPr>
                <w:rFonts w:hint="eastAsia" w:asciiTheme="minorEastAsia" w:hAnsiTheme="minorEastAsia" w:eastAsiaTheme="minorEastAsia" w:cstheme="minorEastAsia"/>
                <w:sz w:val="18"/>
                <w:szCs w:val="18"/>
              </w:rPr>
            </w:pPr>
          </w:p>
        </w:tc>
        <w:tc>
          <w:tcPr>
            <w:tcW w:w="464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社会保障和就业支出</w:t>
            </w:r>
          </w:p>
        </w:tc>
        <w:tc>
          <w:tcPr>
            <w:tcW w:w="1831"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218.24 </w:t>
            </w:r>
          </w:p>
        </w:tc>
      </w:tr>
      <w:tr>
        <w:tblPrEx>
          <w:tblLayout w:type="fixed"/>
          <w:tblCellMar>
            <w:top w:w="0" w:type="dxa"/>
            <w:left w:w="108" w:type="dxa"/>
            <w:bottom w:w="0" w:type="dxa"/>
            <w:right w:w="108" w:type="dxa"/>
          </w:tblCellMar>
        </w:tblPrEx>
        <w:trPr>
          <w:trHeight w:val="315" w:hRule="atLeast"/>
        </w:trPr>
        <w:tc>
          <w:tcPr>
            <w:tcW w:w="2285" w:type="dxa"/>
            <w:tcBorders>
              <w:top w:val="nil"/>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kern w:val="0"/>
                <w:sz w:val="18"/>
                <w:szCs w:val="18"/>
              </w:rPr>
            </w:pPr>
          </w:p>
        </w:tc>
        <w:tc>
          <w:tcPr>
            <w:tcW w:w="1260" w:type="dxa"/>
            <w:tcBorders>
              <w:top w:val="nil"/>
              <w:left w:val="single" w:color="auto" w:sz="4" w:space="0"/>
              <w:bottom w:val="single" w:color="auto" w:sz="4" w:space="0"/>
              <w:right w:val="single" w:color="auto" w:sz="4" w:space="0"/>
            </w:tcBorders>
            <w:shd w:val="clear" w:color="auto" w:fill="auto"/>
            <w:vAlign w:val="center"/>
          </w:tcPr>
          <w:p>
            <w:pPr>
              <w:jc w:val="right"/>
              <w:rPr>
                <w:rFonts w:hint="eastAsia" w:asciiTheme="minorEastAsia" w:hAnsiTheme="minorEastAsia" w:eastAsiaTheme="minorEastAsia" w:cstheme="minorEastAsia"/>
                <w:sz w:val="18"/>
                <w:szCs w:val="18"/>
              </w:rPr>
            </w:pPr>
          </w:p>
        </w:tc>
        <w:tc>
          <w:tcPr>
            <w:tcW w:w="464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  行政事业单位离退休</w:t>
            </w:r>
          </w:p>
        </w:tc>
        <w:tc>
          <w:tcPr>
            <w:tcW w:w="1831"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218.24 </w:t>
            </w:r>
          </w:p>
        </w:tc>
      </w:tr>
      <w:tr>
        <w:tblPrEx>
          <w:tblLayout w:type="fixed"/>
          <w:tblCellMar>
            <w:top w:w="0" w:type="dxa"/>
            <w:left w:w="108" w:type="dxa"/>
            <w:bottom w:w="0" w:type="dxa"/>
            <w:right w:w="108" w:type="dxa"/>
          </w:tblCellMar>
        </w:tblPrEx>
        <w:trPr>
          <w:trHeight w:val="315" w:hRule="atLeast"/>
        </w:trPr>
        <w:tc>
          <w:tcPr>
            <w:tcW w:w="2285" w:type="dxa"/>
            <w:tcBorders>
              <w:top w:val="nil"/>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kern w:val="0"/>
                <w:sz w:val="18"/>
                <w:szCs w:val="18"/>
              </w:rPr>
            </w:pPr>
          </w:p>
        </w:tc>
        <w:tc>
          <w:tcPr>
            <w:tcW w:w="1260" w:type="dxa"/>
            <w:tcBorders>
              <w:top w:val="nil"/>
              <w:left w:val="single" w:color="auto" w:sz="4" w:space="0"/>
              <w:bottom w:val="single" w:color="auto" w:sz="4" w:space="0"/>
              <w:right w:val="single" w:color="auto" w:sz="4" w:space="0"/>
            </w:tcBorders>
            <w:shd w:val="clear" w:color="auto" w:fill="auto"/>
            <w:vAlign w:val="center"/>
          </w:tcPr>
          <w:p>
            <w:pPr>
              <w:jc w:val="right"/>
              <w:rPr>
                <w:rFonts w:hint="eastAsia" w:asciiTheme="minorEastAsia" w:hAnsiTheme="minorEastAsia" w:eastAsiaTheme="minorEastAsia" w:cstheme="minorEastAsia"/>
                <w:sz w:val="18"/>
                <w:szCs w:val="18"/>
              </w:rPr>
            </w:pPr>
          </w:p>
        </w:tc>
        <w:tc>
          <w:tcPr>
            <w:tcW w:w="464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    机关事业单位基本养老保险缴费支出</w:t>
            </w:r>
          </w:p>
        </w:tc>
        <w:tc>
          <w:tcPr>
            <w:tcW w:w="1831"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155.85 </w:t>
            </w:r>
          </w:p>
        </w:tc>
      </w:tr>
      <w:tr>
        <w:tblPrEx>
          <w:tblLayout w:type="fixed"/>
          <w:tblCellMar>
            <w:top w:w="0" w:type="dxa"/>
            <w:left w:w="108" w:type="dxa"/>
            <w:bottom w:w="0" w:type="dxa"/>
            <w:right w:w="108" w:type="dxa"/>
          </w:tblCellMar>
        </w:tblPrEx>
        <w:trPr>
          <w:trHeight w:val="315" w:hRule="atLeast"/>
        </w:trPr>
        <w:tc>
          <w:tcPr>
            <w:tcW w:w="2285" w:type="dxa"/>
            <w:tcBorders>
              <w:top w:val="nil"/>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kern w:val="0"/>
                <w:sz w:val="18"/>
                <w:szCs w:val="18"/>
              </w:rPr>
            </w:pPr>
          </w:p>
        </w:tc>
        <w:tc>
          <w:tcPr>
            <w:tcW w:w="1260" w:type="dxa"/>
            <w:tcBorders>
              <w:top w:val="nil"/>
              <w:left w:val="single" w:color="auto" w:sz="4" w:space="0"/>
              <w:bottom w:val="single" w:color="auto" w:sz="4" w:space="0"/>
              <w:right w:val="single" w:color="auto" w:sz="4" w:space="0"/>
            </w:tcBorders>
            <w:shd w:val="clear" w:color="auto" w:fill="auto"/>
            <w:vAlign w:val="center"/>
          </w:tcPr>
          <w:p>
            <w:pPr>
              <w:jc w:val="right"/>
              <w:rPr>
                <w:rFonts w:hint="eastAsia" w:asciiTheme="minorEastAsia" w:hAnsiTheme="minorEastAsia" w:eastAsiaTheme="minorEastAsia" w:cstheme="minorEastAsia"/>
                <w:sz w:val="18"/>
                <w:szCs w:val="18"/>
              </w:rPr>
            </w:pPr>
          </w:p>
        </w:tc>
        <w:tc>
          <w:tcPr>
            <w:tcW w:w="464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    机关事业单位职业年金缴费支出</w:t>
            </w:r>
          </w:p>
        </w:tc>
        <w:tc>
          <w:tcPr>
            <w:tcW w:w="1831"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62.39 </w:t>
            </w:r>
          </w:p>
        </w:tc>
      </w:tr>
      <w:tr>
        <w:tblPrEx>
          <w:tblLayout w:type="fixed"/>
          <w:tblCellMar>
            <w:top w:w="0" w:type="dxa"/>
            <w:left w:w="108" w:type="dxa"/>
            <w:bottom w:w="0" w:type="dxa"/>
            <w:right w:w="108" w:type="dxa"/>
          </w:tblCellMar>
        </w:tblPrEx>
        <w:trPr>
          <w:trHeight w:val="315" w:hRule="atLeast"/>
        </w:trPr>
        <w:tc>
          <w:tcPr>
            <w:tcW w:w="2285" w:type="dxa"/>
            <w:tcBorders>
              <w:top w:val="nil"/>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kern w:val="0"/>
                <w:sz w:val="18"/>
                <w:szCs w:val="18"/>
              </w:rPr>
            </w:pPr>
          </w:p>
        </w:tc>
        <w:tc>
          <w:tcPr>
            <w:tcW w:w="1260" w:type="dxa"/>
            <w:tcBorders>
              <w:top w:val="nil"/>
              <w:left w:val="single" w:color="auto" w:sz="4" w:space="0"/>
              <w:bottom w:val="single" w:color="auto" w:sz="4" w:space="0"/>
              <w:right w:val="single" w:color="auto" w:sz="4" w:space="0"/>
            </w:tcBorders>
            <w:shd w:val="clear" w:color="auto" w:fill="auto"/>
            <w:vAlign w:val="center"/>
          </w:tcPr>
          <w:p>
            <w:pPr>
              <w:jc w:val="right"/>
              <w:rPr>
                <w:rFonts w:hint="eastAsia" w:asciiTheme="minorEastAsia" w:hAnsiTheme="minorEastAsia" w:eastAsiaTheme="minorEastAsia" w:cstheme="minorEastAsia"/>
                <w:sz w:val="18"/>
                <w:szCs w:val="18"/>
              </w:rPr>
            </w:pPr>
          </w:p>
        </w:tc>
        <w:tc>
          <w:tcPr>
            <w:tcW w:w="464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医疗卫生与计划生育支出</w:t>
            </w:r>
          </w:p>
        </w:tc>
        <w:tc>
          <w:tcPr>
            <w:tcW w:w="1831"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117.30 </w:t>
            </w:r>
          </w:p>
        </w:tc>
      </w:tr>
      <w:tr>
        <w:tblPrEx>
          <w:tblLayout w:type="fixed"/>
          <w:tblCellMar>
            <w:top w:w="0" w:type="dxa"/>
            <w:left w:w="108" w:type="dxa"/>
            <w:bottom w:w="0" w:type="dxa"/>
            <w:right w:w="108" w:type="dxa"/>
          </w:tblCellMar>
        </w:tblPrEx>
        <w:trPr>
          <w:trHeight w:val="315" w:hRule="atLeast"/>
        </w:trPr>
        <w:tc>
          <w:tcPr>
            <w:tcW w:w="2285" w:type="dxa"/>
            <w:tcBorders>
              <w:top w:val="nil"/>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kern w:val="0"/>
                <w:sz w:val="18"/>
                <w:szCs w:val="18"/>
              </w:rPr>
            </w:pPr>
          </w:p>
        </w:tc>
        <w:tc>
          <w:tcPr>
            <w:tcW w:w="1260" w:type="dxa"/>
            <w:tcBorders>
              <w:top w:val="nil"/>
              <w:left w:val="single" w:color="auto" w:sz="4" w:space="0"/>
              <w:bottom w:val="single" w:color="auto" w:sz="4" w:space="0"/>
              <w:right w:val="single" w:color="auto" w:sz="4" w:space="0"/>
            </w:tcBorders>
            <w:shd w:val="clear" w:color="auto" w:fill="auto"/>
            <w:vAlign w:val="center"/>
          </w:tcPr>
          <w:p>
            <w:pPr>
              <w:jc w:val="right"/>
              <w:rPr>
                <w:rFonts w:hint="eastAsia" w:asciiTheme="minorEastAsia" w:hAnsiTheme="minorEastAsia" w:eastAsiaTheme="minorEastAsia" w:cstheme="minorEastAsia"/>
                <w:sz w:val="18"/>
                <w:szCs w:val="18"/>
              </w:rPr>
            </w:pPr>
          </w:p>
        </w:tc>
        <w:tc>
          <w:tcPr>
            <w:tcW w:w="464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  行政事业单位医疗</w:t>
            </w:r>
          </w:p>
        </w:tc>
        <w:tc>
          <w:tcPr>
            <w:tcW w:w="1831"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117.30 </w:t>
            </w:r>
          </w:p>
        </w:tc>
      </w:tr>
      <w:tr>
        <w:tblPrEx>
          <w:tblLayout w:type="fixed"/>
          <w:tblCellMar>
            <w:top w:w="0" w:type="dxa"/>
            <w:left w:w="108" w:type="dxa"/>
            <w:bottom w:w="0" w:type="dxa"/>
            <w:right w:w="108" w:type="dxa"/>
          </w:tblCellMar>
        </w:tblPrEx>
        <w:trPr>
          <w:trHeight w:val="315" w:hRule="atLeast"/>
        </w:trPr>
        <w:tc>
          <w:tcPr>
            <w:tcW w:w="2285" w:type="dxa"/>
            <w:tcBorders>
              <w:top w:val="nil"/>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kern w:val="0"/>
                <w:sz w:val="18"/>
                <w:szCs w:val="18"/>
              </w:rPr>
            </w:pPr>
          </w:p>
        </w:tc>
        <w:tc>
          <w:tcPr>
            <w:tcW w:w="1260" w:type="dxa"/>
            <w:tcBorders>
              <w:top w:val="nil"/>
              <w:left w:val="single" w:color="auto" w:sz="4" w:space="0"/>
              <w:bottom w:val="single" w:color="auto" w:sz="4" w:space="0"/>
              <w:right w:val="single" w:color="auto" w:sz="4" w:space="0"/>
            </w:tcBorders>
            <w:shd w:val="clear" w:color="auto" w:fill="auto"/>
            <w:vAlign w:val="center"/>
          </w:tcPr>
          <w:p>
            <w:pPr>
              <w:jc w:val="right"/>
              <w:rPr>
                <w:rFonts w:hint="eastAsia" w:asciiTheme="minorEastAsia" w:hAnsiTheme="minorEastAsia" w:eastAsiaTheme="minorEastAsia" w:cstheme="minorEastAsia"/>
                <w:sz w:val="18"/>
                <w:szCs w:val="18"/>
              </w:rPr>
            </w:pPr>
          </w:p>
        </w:tc>
        <w:tc>
          <w:tcPr>
            <w:tcW w:w="464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    行政单位医疗</w:t>
            </w:r>
          </w:p>
        </w:tc>
        <w:tc>
          <w:tcPr>
            <w:tcW w:w="1831"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104.66 </w:t>
            </w:r>
          </w:p>
        </w:tc>
      </w:tr>
      <w:tr>
        <w:tblPrEx>
          <w:tblLayout w:type="fixed"/>
          <w:tblCellMar>
            <w:top w:w="0" w:type="dxa"/>
            <w:left w:w="108" w:type="dxa"/>
            <w:bottom w:w="0" w:type="dxa"/>
            <w:right w:w="108" w:type="dxa"/>
          </w:tblCellMar>
        </w:tblPrEx>
        <w:trPr>
          <w:trHeight w:val="450" w:hRule="atLeast"/>
        </w:trPr>
        <w:tc>
          <w:tcPr>
            <w:tcW w:w="2285" w:type="dxa"/>
            <w:tcBorders>
              <w:top w:val="nil"/>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kern w:val="0"/>
                <w:sz w:val="18"/>
                <w:szCs w:val="18"/>
              </w:rPr>
            </w:pPr>
          </w:p>
        </w:tc>
        <w:tc>
          <w:tcPr>
            <w:tcW w:w="1260" w:type="dxa"/>
            <w:tcBorders>
              <w:top w:val="nil"/>
              <w:left w:val="single" w:color="auto" w:sz="4" w:space="0"/>
              <w:bottom w:val="single" w:color="auto" w:sz="4" w:space="0"/>
              <w:right w:val="single" w:color="auto" w:sz="4" w:space="0"/>
            </w:tcBorders>
            <w:shd w:val="clear" w:color="auto" w:fill="auto"/>
            <w:vAlign w:val="center"/>
          </w:tcPr>
          <w:p>
            <w:pPr>
              <w:jc w:val="right"/>
              <w:rPr>
                <w:rFonts w:hint="eastAsia" w:asciiTheme="minorEastAsia" w:hAnsiTheme="minorEastAsia" w:eastAsiaTheme="minorEastAsia" w:cstheme="minorEastAsia"/>
                <w:sz w:val="18"/>
                <w:szCs w:val="18"/>
              </w:rPr>
            </w:pPr>
          </w:p>
        </w:tc>
        <w:tc>
          <w:tcPr>
            <w:tcW w:w="464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    事业单位医疗</w:t>
            </w:r>
          </w:p>
        </w:tc>
        <w:tc>
          <w:tcPr>
            <w:tcW w:w="1831"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12.64 </w:t>
            </w:r>
          </w:p>
        </w:tc>
      </w:tr>
      <w:tr>
        <w:tblPrEx>
          <w:tblLayout w:type="fixed"/>
          <w:tblCellMar>
            <w:top w:w="0" w:type="dxa"/>
            <w:left w:w="108" w:type="dxa"/>
            <w:bottom w:w="0" w:type="dxa"/>
            <w:right w:w="108" w:type="dxa"/>
          </w:tblCellMar>
        </w:tblPrEx>
        <w:trPr>
          <w:trHeight w:val="315" w:hRule="atLeast"/>
        </w:trPr>
        <w:tc>
          <w:tcPr>
            <w:tcW w:w="2285" w:type="dxa"/>
            <w:tcBorders>
              <w:top w:val="nil"/>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kern w:val="0"/>
                <w:sz w:val="18"/>
                <w:szCs w:val="18"/>
              </w:rPr>
            </w:pPr>
          </w:p>
        </w:tc>
        <w:tc>
          <w:tcPr>
            <w:tcW w:w="1260" w:type="dxa"/>
            <w:tcBorders>
              <w:top w:val="nil"/>
              <w:left w:val="single" w:color="auto" w:sz="4" w:space="0"/>
              <w:bottom w:val="single" w:color="auto" w:sz="4" w:space="0"/>
              <w:right w:val="single" w:color="auto" w:sz="4" w:space="0"/>
            </w:tcBorders>
            <w:shd w:val="clear" w:color="auto" w:fill="auto"/>
            <w:vAlign w:val="center"/>
          </w:tcPr>
          <w:p>
            <w:pPr>
              <w:jc w:val="right"/>
              <w:rPr>
                <w:rFonts w:hint="eastAsia" w:asciiTheme="minorEastAsia" w:hAnsiTheme="minorEastAsia" w:eastAsiaTheme="minorEastAsia" w:cstheme="minorEastAsia"/>
                <w:sz w:val="18"/>
                <w:szCs w:val="18"/>
              </w:rPr>
            </w:pPr>
          </w:p>
        </w:tc>
        <w:tc>
          <w:tcPr>
            <w:tcW w:w="464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商业服务业等支出</w:t>
            </w:r>
          </w:p>
        </w:tc>
        <w:tc>
          <w:tcPr>
            <w:tcW w:w="1831"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1994.00 </w:t>
            </w:r>
          </w:p>
        </w:tc>
      </w:tr>
      <w:tr>
        <w:tblPrEx>
          <w:tblLayout w:type="fixed"/>
          <w:tblCellMar>
            <w:top w:w="0" w:type="dxa"/>
            <w:left w:w="108" w:type="dxa"/>
            <w:bottom w:w="0" w:type="dxa"/>
            <w:right w:w="108" w:type="dxa"/>
          </w:tblCellMar>
        </w:tblPrEx>
        <w:trPr>
          <w:trHeight w:val="315" w:hRule="atLeast"/>
        </w:trPr>
        <w:tc>
          <w:tcPr>
            <w:tcW w:w="2285" w:type="dxa"/>
            <w:tcBorders>
              <w:top w:val="nil"/>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kern w:val="0"/>
                <w:sz w:val="18"/>
                <w:szCs w:val="18"/>
              </w:rPr>
            </w:pPr>
          </w:p>
        </w:tc>
        <w:tc>
          <w:tcPr>
            <w:tcW w:w="1260" w:type="dxa"/>
            <w:tcBorders>
              <w:top w:val="nil"/>
              <w:left w:val="single" w:color="auto" w:sz="4" w:space="0"/>
              <w:bottom w:val="single" w:color="auto" w:sz="4" w:space="0"/>
              <w:right w:val="single" w:color="auto" w:sz="4" w:space="0"/>
            </w:tcBorders>
            <w:shd w:val="clear" w:color="auto" w:fill="auto"/>
            <w:vAlign w:val="center"/>
          </w:tcPr>
          <w:p>
            <w:pPr>
              <w:jc w:val="right"/>
              <w:rPr>
                <w:rFonts w:hint="eastAsia" w:asciiTheme="minorEastAsia" w:hAnsiTheme="minorEastAsia" w:eastAsiaTheme="minorEastAsia" w:cstheme="minorEastAsia"/>
                <w:sz w:val="18"/>
                <w:szCs w:val="18"/>
              </w:rPr>
            </w:pPr>
          </w:p>
        </w:tc>
        <w:tc>
          <w:tcPr>
            <w:tcW w:w="464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  商业流通事务</w:t>
            </w:r>
          </w:p>
        </w:tc>
        <w:tc>
          <w:tcPr>
            <w:tcW w:w="1831"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966.00 </w:t>
            </w:r>
          </w:p>
        </w:tc>
      </w:tr>
      <w:tr>
        <w:tblPrEx>
          <w:tblLayout w:type="fixed"/>
          <w:tblCellMar>
            <w:top w:w="0" w:type="dxa"/>
            <w:left w:w="108" w:type="dxa"/>
            <w:bottom w:w="0" w:type="dxa"/>
            <w:right w:w="108" w:type="dxa"/>
          </w:tblCellMar>
        </w:tblPrEx>
        <w:trPr>
          <w:trHeight w:val="315" w:hRule="atLeast"/>
        </w:trPr>
        <w:tc>
          <w:tcPr>
            <w:tcW w:w="2285" w:type="dxa"/>
            <w:tcBorders>
              <w:top w:val="nil"/>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kern w:val="0"/>
                <w:sz w:val="18"/>
                <w:szCs w:val="18"/>
              </w:rPr>
            </w:pPr>
          </w:p>
        </w:tc>
        <w:tc>
          <w:tcPr>
            <w:tcW w:w="1260" w:type="dxa"/>
            <w:tcBorders>
              <w:top w:val="nil"/>
              <w:left w:val="single" w:color="auto" w:sz="4" w:space="0"/>
              <w:bottom w:val="single" w:color="auto" w:sz="4" w:space="0"/>
              <w:right w:val="single" w:color="auto" w:sz="4" w:space="0"/>
            </w:tcBorders>
            <w:shd w:val="clear" w:color="auto" w:fill="auto"/>
            <w:vAlign w:val="center"/>
          </w:tcPr>
          <w:p>
            <w:pPr>
              <w:jc w:val="right"/>
              <w:rPr>
                <w:rFonts w:hint="eastAsia" w:asciiTheme="minorEastAsia" w:hAnsiTheme="minorEastAsia" w:eastAsiaTheme="minorEastAsia" w:cstheme="minorEastAsia"/>
                <w:sz w:val="18"/>
                <w:szCs w:val="18"/>
              </w:rPr>
            </w:pPr>
          </w:p>
        </w:tc>
        <w:tc>
          <w:tcPr>
            <w:tcW w:w="464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    其他商业流通事务支出</w:t>
            </w:r>
          </w:p>
        </w:tc>
        <w:tc>
          <w:tcPr>
            <w:tcW w:w="1831"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966.00 </w:t>
            </w:r>
          </w:p>
        </w:tc>
      </w:tr>
      <w:tr>
        <w:tblPrEx>
          <w:tblLayout w:type="fixed"/>
          <w:tblCellMar>
            <w:top w:w="0" w:type="dxa"/>
            <w:left w:w="108" w:type="dxa"/>
            <w:bottom w:w="0" w:type="dxa"/>
            <w:right w:w="108" w:type="dxa"/>
          </w:tblCellMar>
        </w:tblPrEx>
        <w:trPr>
          <w:trHeight w:val="315" w:hRule="atLeast"/>
        </w:trPr>
        <w:tc>
          <w:tcPr>
            <w:tcW w:w="2285" w:type="dxa"/>
            <w:tcBorders>
              <w:top w:val="nil"/>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kern w:val="0"/>
                <w:sz w:val="18"/>
                <w:szCs w:val="18"/>
              </w:rPr>
            </w:pPr>
          </w:p>
        </w:tc>
        <w:tc>
          <w:tcPr>
            <w:tcW w:w="1260" w:type="dxa"/>
            <w:tcBorders>
              <w:top w:val="nil"/>
              <w:left w:val="single" w:color="auto" w:sz="4" w:space="0"/>
              <w:bottom w:val="single" w:color="auto" w:sz="4" w:space="0"/>
              <w:right w:val="single" w:color="auto" w:sz="4" w:space="0"/>
            </w:tcBorders>
            <w:shd w:val="clear" w:color="auto" w:fill="auto"/>
            <w:vAlign w:val="center"/>
          </w:tcPr>
          <w:p>
            <w:pPr>
              <w:jc w:val="right"/>
              <w:rPr>
                <w:rFonts w:hint="eastAsia" w:asciiTheme="minorEastAsia" w:hAnsiTheme="minorEastAsia" w:eastAsiaTheme="minorEastAsia" w:cstheme="minorEastAsia"/>
                <w:sz w:val="18"/>
                <w:szCs w:val="18"/>
              </w:rPr>
            </w:pPr>
          </w:p>
        </w:tc>
        <w:tc>
          <w:tcPr>
            <w:tcW w:w="464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  涉外发展服务支出</w:t>
            </w:r>
          </w:p>
        </w:tc>
        <w:tc>
          <w:tcPr>
            <w:tcW w:w="1831"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1028.00 </w:t>
            </w:r>
          </w:p>
        </w:tc>
      </w:tr>
      <w:tr>
        <w:tblPrEx>
          <w:tblLayout w:type="fixed"/>
          <w:tblCellMar>
            <w:top w:w="0" w:type="dxa"/>
            <w:left w:w="108" w:type="dxa"/>
            <w:bottom w:w="0" w:type="dxa"/>
            <w:right w:w="108" w:type="dxa"/>
          </w:tblCellMar>
        </w:tblPrEx>
        <w:trPr>
          <w:trHeight w:val="315" w:hRule="atLeast"/>
        </w:trPr>
        <w:tc>
          <w:tcPr>
            <w:tcW w:w="2285" w:type="dxa"/>
            <w:tcBorders>
              <w:top w:val="nil"/>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kern w:val="0"/>
                <w:sz w:val="18"/>
                <w:szCs w:val="18"/>
              </w:rPr>
            </w:pPr>
          </w:p>
        </w:tc>
        <w:tc>
          <w:tcPr>
            <w:tcW w:w="1260" w:type="dxa"/>
            <w:tcBorders>
              <w:top w:val="nil"/>
              <w:left w:val="single" w:color="auto" w:sz="4" w:space="0"/>
              <w:bottom w:val="single" w:color="auto" w:sz="4" w:space="0"/>
              <w:right w:val="single" w:color="auto" w:sz="4" w:space="0"/>
            </w:tcBorders>
            <w:shd w:val="clear" w:color="auto" w:fill="auto"/>
            <w:vAlign w:val="center"/>
          </w:tcPr>
          <w:p>
            <w:pPr>
              <w:jc w:val="right"/>
              <w:rPr>
                <w:rFonts w:hint="eastAsia" w:asciiTheme="minorEastAsia" w:hAnsiTheme="minorEastAsia" w:eastAsiaTheme="minorEastAsia" w:cstheme="minorEastAsia"/>
                <w:sz w:val="18"/>
                <w:szCs w:val="18"/>
              </w:rPr>
            </w:pPr>
          </w:p>
        </w:tc>
        <w:tc>
          <w:tcPr>
            <w:tcW w:w="464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    其他涉外发展服务支出</w:t>
            </w:r>
          </w:p>
        </w:tc>
        <w:tc>
          <w:tcPr>
            <w:tcW w:w="1831"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1028.00 </w:t>
            </w:r>
          </w:p>
        </w:tc>
      </w:tr>
      <w:tr>
        <w:tblPrEx>
          <w:tblLayout w:type="fixed"/>
          <w:tblCellMar>
            <w:top w:w="0" w:type="dxa"/>
            <w:left w:w="108" w:type="dxa"/>
            <w:bottom w:w="0" w:type="dxa"/>
            <w:right w:w="108" w:type="dxa"/>
          </w:tblCellMar>
        </w:tblPrEx>
        <w:trPr>
          <w:trHeight w:val="315" w:hRule="atLeast"/>
        </w:trPr>
        <w:tc>
          <w:tcPr>
            <w:tcW w:w="2285" w:type="dxa"/>
            <w:tcBorders>
              <w:top w:val="nil"/>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kern w:val="0"/>
                <w:sz w:val="18"/>
                <w:szCs w:val="18"/>
              </w:rPr>
            </w:pPr>
          </w:p>
        </w:tc>
        <w:tc>
          <w:tcPr>
            <w:tcW w:w="1260" w:type="dxa"/>
            <w:tcBorders>
              <w:top w:val="nil"/>
              <w:left w:val="single" w:color="auto" w:sz="4" w:space="0"/>
              <w:bottom w:val="single" w:color="auto" w:sz="4" w:space="0"/>
              <w:right w:val="single" w:color="auto" w:sz="4" w:space="0"/>
            </w:tcBorders>
            <w:shd w:val="clear" w:color="auto" w:fill="auto"/>
            <w:vAlign w:val="center"/>
          </w:tcPr>
          <w:p>
            <w:pPr>
              <w:jc w:val="right"/>
              <w:rPr>
                <w:rFonts w:hint="eastAsia" w:asciiTheme="minorEastAsia" w:hAnsiTheme="minorEastAsia" w:eastAsiaTheme="minorEastAsia" w:cstheme="minorEastAsia"/>
                <w:sz w:val="18"/>
                <w:szCs w:val="18"/>
              </w:rPr>
            </w:pPr>
          </w:p>
        </w:tc>
        <w:tc>
          <w:tcPr>
            <w:tcW w:w="464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住房保障支出</w:t>
            </w:r>
          </w:p>
        </w:tc>
        <w:tc>
          <w:tcPr>
            <w:tcW w:w="1831"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109.53 </w:t>
            </w:r>
          </w:p>
        </w:tc>
      </w:tr>
      <w:tr>
        <w:tblPrEx>
          <w:tblLayout w:type="fixed"/>
          <w:tblCellMar>
            <w:top w:w="0" w:type="dxa"/>
            <w:left w:w="108" w:type="dxa"/>
            <w:bottom w:w="0" w:type="dxa"/>
            <w:right w:w="108" w:type="dxa"/>
          </w:tblCellMar>
        </w:tblPrEx>
        <w:trPr>
          <w:trHeight w:val="315" w:hRule="atLeast"/>
        </w:trPr>
        <w:tc>
          <w:tcPr>
            <w:tcW w:w="2285" w:type="dxa"/>
            <w:tcBorders>
              <w:top w:val="nil"/>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kern w:val="0"/>
                <w:sz w:val="18"/>
                <w:szCs w:val="18"/>
              </w:rPr>
            </w:pPr>
          </w:p>
        </w:tc>
        <w:tc>
          <w:tcPr>
            <w:tcW w:w="1260" w:type="dxa"/>
            <w:tcBorders>
              <w:top w:val="nil"/>
              <w:left w:val="single" w:color="auto" w:sz="4" w:space="0"/>
              <w:bottom w:val="single" w:color="auto" w:sz="4" w:space="0"/>
              <w:right w:val="single" w:color="auto" w:sz="4" w:space="0"/>
            </w:tcBorders>
            <w:shd w:val="clear" w:color="auto" w:fill="auto"/>
            <w:vAlign w:val="center"/>
          </w:tcPr>
          <w:p>
            <w:pPr>
              <w:jc w:val="right"/>
              <w:rPr>
                <w:rFonts w:hint="eastAsia" w:asciiTheme="minorEastAsia" w:hAnsiTheme="minorEastAsia" w:eastAsiaTheme="minorEastAsia" w:cstheme="minorEastAsia"/>
                <w:sz w:val="18"/>
                <w:szCs w:val="18"/>
              </w:rPr>
            </w:pPr>
          </w:p>
        </w:tc>
        <w:tc>
          <w:tcPr>
            <w:tcW w:w="464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  住房改革支出</w:t>
            </w:r>
          </w:p>
        </w:tc>
        <w:tc>
          <w:tcPr>
            <w:tcW w:w="1831"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109.53 </w:t>
            </w:r>
          </w:p>
        </w:tc>
      </w:tr>
      <w:tr>
        <w:tblPrEx>
          <w:tblLayout w:type="fixed"/>
          <w:tblCellMar>
            <w:top w:w="0" w:type="dxa"/>
            <w:left w:w="108" w:type="dxa"/>
            <w:bottom w:w="0" w:type="dxa"/>
            <w:right w:w="108" w:type="dxa"/>
          </w:tblCellMar>
        </w:tblPrEx>
        <w:trPr>
          <w:trHeight w:val="315" w:hRule="atLeast"/>
        </w:trPr>
        <w:tc>
          <w:tcPr>
            <w:tcW w:w="2285" w:type="dxa"/>
            <w:tcBorders>
              <w:top w:val="nil"/>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kern w:val="0"/>
                <w:sz w:val="18"/>
                <w:szCs w:val="18"/>
              </w:rPr>
            </w:pPr>
          </w:p>
        </w:tc>
        <w:tc>
          <w:tcPr>
            <w:tcW w:w="1260" w:type="dxa"/>
            <w:tcBorders>
              <w:top w:val="nil"/>
              <w:left w:val="single" w:color="auto" w:sz="4" w:space="0"/>
              <w:bottom w:val="single" w:color="auto" w:sz="4" w:space="0"/>
              <w:right w:val="single" w:color="auto" w:sz="4" w:space="0"/>
            </w:tcBorders>
            <w:shd w:val="clear" w:color="auto" w:fill="auto"/>
            <w:vAlign w:val="center"/>
          </w:tcPr>
          <w:p>
            <w:pPr>
              <w:jc w:val="right"/>
              <w:rPr>
                <w:rFonts w:hint="eastAsia" w:asciiTheme="minorEastAsia" w:hAnsiTheme="minorEastAsia" w:eastAsiaTheme="minorEastAsia" w:cstheme="minorEastAsia"/>
                <w:sz w:val="18"/>
                <w:szCs w:val="18"/>
              </w:rPr>
            </w:pPr>
          </w:p>
        </w:tc>
        <w:tc>
          <w:tcPr>
            <w:tcW w:w="464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    住房公积金</w:t>
            </w:r>
          </w:p>
        </w:tc>
        <w:tc>
          <w:tcPr>
            <w:tcW w:w="1831"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98.23 </w:t>
            </w:r>
          </w:p>
        </w:tc>
      </w:tr>
      <w:tr>
        <w:tblPrEx>
          <w:tblLayout w:type="fixed"/>
          <w:tblCellMar>
            <w:top w:w="0" w:type="dxa"/>
            <w:left w:w="108" w:type="dxa"/>
            <w:bottom w:w="0" w:type="dxa"/>
            <w:right w:w="108" w:type="dxa"/>
          </w:tblCellMar>
        </w:tblPrEx>
        <w:trPr>
          <w:trHeight w:val="315" w:hRule="atLeast"/>
        </w:trPr>
        <w:tc>
          <w:tcPr>
            <w:tcW w:w="2285" w:type="dxa"/>
            <w:tcBorders>
              <w:top w:val="nil"/>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kern w:val="0"/>
                <w:sz w:val="18"/>
                <w:szCs w:val="18"/>
              </w:rPr>
            </w:pPr>
          </w:p>
        </w:tc>
        <w:tc>
          <w:tcPr>
            <w:tcW w:w="1260" w:type="dxa"/>
            <w:tcBorders>
              <w:top w:val="nil"/>
              <w:left w:val="single" w:color="auto" w:sz="4" w:space="0"/>
              <w:bottom w:val="single" w:color="auto" w:sz="4" w:space="0"/>
              <w:right w:val="single" w:color="auto" w:sz="4" w:space="0"/>
            </w:tcBorders>
            <w:shd w:val="clear" w:color="auto" w:fill="auto"/>
            <w:vAlign w:val="center"/>
          </w:tcPr>
          <w:p>
            <w:pPr>
              <w:jc w:val="right"/>
              <w:rPr>
                <w:rFonts w:hint="eastAsia" w:asciiTheme="minorEastAsia" w:hAnsiTheme="minorEastAsia" w:eastAsiaTheme="minorEastAsia" w:cstheme="minorEastAsia"/>
                <w:sz w:val="18"/>
                <w:szCs w:val="18"/>
              </w:rPr>
            </w:pPr>
          </w:p>
        </w:tc>
        <w:tc>
          <w:tcPr>
            <w:tcW w:w="464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    购房补贴</w:t>
            </w:r>
          </w:p>
        </w:tc>
        <w:tc>
          <w:tcPr>
            <w:tcW w:w="1831"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11.30 </w:t>
            </w:r>
          </w:p>
        </w:tc>
      </w:tr>
      <w:tr>
        <w:tblPrEx>
          <w:tblLayout w:type="fixed"/>
          <w:tblCellMar>
            <w:top w:w="0" w:type="dxa"/>
            <w:left w:w="108" w:type="dxa"/>
            <w:bottom w:w="0" w:type="dxa"/>
            <w:right w:w="108" w:type="dxa"/>
          </w:tblCellMar>
        </w:tblPrEx>
        <w:trPr>
          <w:trHeight w:val="315" w:hRule="atLeast"/>
        </w:trPr>
        <w:tc>
          <w:tcPr>
            <w:tcW w:w="228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收  入  总  计</w:t>
            </w:r>
          </w:p>
        </w:tc>
        <w:tc>
          <w:tcPr>
            <w:tcW w:w="126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4595.93 </w:t>
            </w:r>
          </w:p>
        </w:tc>
        <w:tc>
          <w:tcPr>
            <w:tcW w:w="464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支  出  总  计</w:t>
            </w:r>
          </w:p>
        </w:tc>
        <w:tc>
          <w:tcPr>
            <w:tcW w:w="1831"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4595.93 </w:t>
            </w:r>
          </w:p>
        </w:tc>
      </w:tr>
    </w:tbl>
    <w:p>
      <w:pPr>
        <w:spacing w:line="580" w:lineRule="exact"/>
        <w:rPr>
          <w:rFonts w:hint="eastAsia" w:ascii="方正小标宋简体" w:hAnsi="方正小标宋简体" w:eastAsia="方正小标宋简体" w:cs="方正小标宋简体"/>
          <w:spacing w:val="15"/>
          <w:sz w:val="44"/>
          <w:szCs w:val="44"/>
        </w:rPr>
      </w:pPr>
    </w:p>
    <w:p>
      <w:pPr>
        <w:spacing w:line="580" w:lineRule="exact"/>
        <w:rPr>
          <w:rFonts w:hint="eastAsia" w:ascii="黑体" w:hAnsi="黑体" w:eastAsia="黑体" w:cs="黑体"/>
          <w:spacing w:val="15"/>
          <w:sz w:val="32"/>
          <w:szCs w:val="32"/>
        </w:rPr>
      </w:pPr>
    </w:p>
    <w:tbl>
      <w:tblPr>
        <w:tblStyle w:val="8"/>
        <w:tblW w:w="10000" w:type="dxa"/>
        <w:tblInd w:w="-622" w:type="dxa"/>
        <w:tblLayout w:type="fixed"/>
        <w:tblCellMar>
          <w:top w:w="0" w:type="dxa"/>
          <w:left w:w="108" w:type="dxa"/>
          <w:bottom w:w="0" w:type="dxa"/>
          <w:right w:w="108" w:type="dxa"/>
        </w:tblCellMar>
      </w:tblPr>
      <w:tblGrid>
        <w:gridCol w:w="2"/>
        <w:gridCol w:w="1404"/>
        <w:gridCol w:w="854"/>
        <w:gridCol w:w="3560"/>
        <w:gridCol w:w="249"/>
        <w:gridCol w:w="811"/>
        <w:gridCol w:w="468"/>
        <w:gridCol w:w="512"/>
        <w:gridCol w:w="470"/>
        <w:gridCol w:w="550"/>
        <w:gridCol w:w="398"/>
        <w:gridCol w:w="720"/>
        <w:gridCol w:w="2"/>
      </w:tblGrid>
      <w:tr>
        <w:tblPrEx>
          <w:tblLayout w:type="fixed"/>
          <w:tblCellMar>
            <w:top w:w="0" w:type="dxa"/>
            <w:left w:w="108" w:type="dxa"/>
            <w:bottom w:w="0" w:type="dxa"/>
            <w:right w:w="108" w:type="dxa"/>
          </w:tblCellMar>
        </w:tblPrEx>
        <w:trPr>
          <w:trHeight w:val="525" w:hRule="atLeast"/>
        </w:trPr>
        <w:tc>
          <w:tcPr>
            <w:tcW w:w="10000" w:type="dxa"/>
            <w:gridSpan w:val="13"/>
            <w:tcBorders>
              <w:top w:val="nil"/>
              <w:left w:val="nil"/>
              <w:bottom w:val="nil"/>
              <w:right w:val="nil"/>
            </w:tcBorders>
            <w:shd w:val="clear" w:color="auto" w:fill="auto"/>
            <w:vAlign w:val="center"/>
          </w:tcPr>
          <w:p>
            <w:pPr>
              <w:widowControl/>
              <w:rPr>
                <w:rFonts w:hint="eastAsia" w:ascii="方正小标宋简体" w:hAnsi="宋体" w:eastAsia="方正小标宋简体" w:cs="宋体"/>
                <w:kern w:val="0"/>
                <w:szCs w:val="21"/>
              </w:rPr>
            </w:pPr>
            <w:r>
              <w:rPr>
                <w:rFonts w:hint="eastAsia" w:asciiTheme="minorEastAsia" w:hAnsiTheme="minorEastAsia" w:eastAsiaTheme="minorEastAsia" w:cstheme="minorEastAsia"/>
                <w:kern w:val="0"/>
                <w:sz w:val="32"/>
                <w:szCs w:val="32"/>
              </w:rPr>
              <w:t xml:space="preserve">表3 </w:t>
            </w:r>
            <w:r>
              <w:rPr>
                <w:rFonts w:hint="eastAsia" w:ascii="方正小标宋简体" w:hAnsi="宋体" w:eastAsia="方正小标宋简体" w:cs="宋体"/>
                <w:kern w:val="0"/>
                <w:szCs w:val="21"/>
              </w:rPr>
              <w:t xml:space="preserve">      </w:t>
            </w:r>
          </w:p>
          <w:p>
            <w:pPr>
              <w:widowControl/>
              <w:jc w:val="center"/>
              <w:rPr>
                <w:rFonts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2018年市级部门一般公共预算支出表</w:t>
            </w:r>
          </w:p>
        </w:tc>
      </w:tr>
      <w:tr>
        <w:tblPrEx>
          <w:tblLayout w:type="fixed"/>
          <w:tblCellMar>
            <w:top w:w="0" w:type="dxa"/>
            <w:left w:w="108" w:type="dxa"/>
            <w:bottom w:w="0" w:type="dxa"/>
            <w:right w:w="108" w:type="dxa"/>
          </w:tblCellMar>
        </w:tblPrEx>
        <w:trPr>
          <w:trHeight w:val="402" w:hRule="atLeast"/>
        </w:trPr>
        <w:tc>
          <w:tcPr>
            <w:tcW w:w="2260" w:type="dxa"/>
            <w:gridSpan w:val="3"/>
            <w:tcBorders>
              <w:top w:val="nil"/>
              <w:left w:val="nil"/>
              <w:bottom w:val="single" w:color="auto" w:sz="4" w:space="0"/>
              <w:right w:val="nil"/>
            </w:tcBorders>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部门名称：</w:t>
            </w:r>
            <w:r>
              <w:rPr>
                <w:rFonts w:hint="eastAsia" w:asciiTheme="minorEastAsia" w:hAnsiTheme="minorEastAsia" w:eastAsiaTheme="minorEastAsia" w:cstheme="minorEastAsia"/>
                <w:kern w:val="0"/>
                <w:sz w:val="24"/>
                <w:szCs w:val="24"/>
                <w:lang w:eastAsia="zh-CN"/>
              </w:rPr>
              <w:t>温州市商务局</w:t>
            </w:r>
          </w:p>
        </w:tc>
        <w:tc>
          <w:tcPr>
            <w:tcW w:w="3560" w:type="dxa"/>
            <w:tcBorders>
              <w:top w:val="nil"/>
              <w:left w:val="nil"/>
              <w:bottom w:val="single" w:color="auto" w:sz="4" w:space="0"/>
              <w:right w:val="nil"/>
            </w:tcBorders>
            <w:shd w:val="clear" w:color="auto" w:fill="auto"/>
            <w:vAlign w:val="center"/>
          </w:tcPr>
          <w:p>
            <w:pPr>
              <w:widowControl/>
              <w:jc w:val="center"/>
              <w:rPr>
                <w:rFonts w:hint="eastAsia" w:asciiTheme="minorEastAsia" w:hAnsiTheme="minorEastAsia" w:eastAsiaTheme="minorEastAsia" w:cstheme="minorEastAsia"/>
                <w:kern w:val="0"/>
                <w:sz w:val="24"/>
                <w:szCs w:val="24"/>
              </w:rPr>
            </w:pPr>
          </w:p>
        </w:tc>
        <w:tc>
          <w:tcPr>
            <w:tcW w:w="1060" w:type="dxa"/>
            <w:gridSpan w:val="2"/>
            <w:tcBorders>
              <w:top w:val="nil"/>
              <w:left w:val="nil"/>
              <w:bottom w:val="single" w:color="auto" w:sz="4" w:space="0"/>
              <w:right w:val="nil"/>
            </w:tcBorders>
            <w:shd w:val="clear" w:color="auto" w:fill="auto"/>
            <w:vAlign w:val="center"/>
          </w:tcPr>
          <w:p>
            <w:pPr>
              <w:widowControl/>
              <w:jc w:val="center"/>
              <w:rPr>
                <w:rFonts w:hint="eastAsia" w:asciiTheme="minorEastAsia" w:hAnsiTheme="minorEastAsia" w:eastAsiaTheme="minorEastAsia" w:cstheme="minorEastAsia"/>
                <w:kern w:val="0"/>
                <w:sz w:val="24"/>
                <w:szCs w:val="24"/>
              </w:rPr>
            </w:pPr>
          </w:p>
        </w:tc>
        <w:tc>
          <w:tcPr>
            <w:tcW w:w="980" w:type="dxa"/>
            <w:gridSpan w:val="2"/>
            <w:tcBorders>
              <w:top w:val="nil"/>
              <w:left w:val="nil"/>
              <w:bottom w:val="single" w:color="auto" w:sz="4" w:space="0"/>
              <w:right w:val="nil"/>
            </w:tcBorders>
            <w:shd w:val="clear" w:color="auto" w:fill="auto"/>
            <w:vAlign w:val="center"/>
          </w:tcPr>
          <w:p>
            <w:pPr>
              <w:widowControl/>
              <w:jc w:val="center"/>
              <w:rPr>
                <w:rFonts w:hint="eastAsia" w:asciiTheme="minorEastAsia" w:hAnsiTheme="minorEastAsia" w:eastAsiaTheme="minorEastAsia" w:cstheme="minorEastAsia"/>
                <w:kern w:val="0"/>
                <w:sz w:val="24"/>
                <w:szCs w:val="24"/>
              </w:rPr>
            </w:pPr>
          </w:p>
        </w:tc>
        <w:tc>
          <w:tcPr>
            <w:tcW w:w="1020" w:type="dxa"/>
            <w:gridSpan w:val="2"/>
            <w:tcBorders>
              <w:top w:val="nil"/>
              <w:left w:val="nil"/>
              <w:bottom w:val="single" w:color="auto" w:sz="4" w:space="0"/>
              <w:right w:val="nil"/>
            </w:tcBorders>
            <w:shd w:val="clear" w:color="auto" w:fill="auto"/>
            <w:vAlign w:val="center"/>
          </w:tcPr>
          <w:p>
            <w:pPr>
              <w:widowControl/>
              <w:jc w:val="center"/>
              <w:rPr>
                <w:rFonts w:hint="eastAsia" w:asciiTheme="minorEastAsia" w:hAnsiTheme="minorEastAsia" w:eastAsiaTheme="minorEastAsia" w:cstheme="minorEastAsia"/>
                <w:kern w:val="0"/>
                <w:sz w:val="24"/>
                <w:szCs w:val="24"/>
              </w:rPr>
            </w:pPr>
          </w:p>
        </w:tc>
        <w:tc>
          <w:tcPr>
            <w:tcW w:w="1120" w:type="dxa"/>
            <w:gridSpan w:val="3"/>
            <w:tcBorders>
              <w:top w:val="nil"/>
              <w:left w:val="nil"/>
              <w:bottom w:val="single" w:color="auto" w:sz="4" w:space="0"/>
              <w:right w:val="nil"/>
            </w:tcBorders>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Before w:val="1"/>
          <w:gridAfter w:val="1"/>
          <w:wBefore w:w="2" w:type="dxa"/>
          <w:wAfter w:w="2" w:type="dxa"/>
          <w:trHeight w:val="340" w:hRule="exact"/>
        </w:trPr>
        <w:tc>
          <w:tcPr>
            <w:tcW w:w="14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科目编码</w:t>
            </w:r>
          </w:p>
        </w:tc>
        <w:tc>
          <w:tcPr>
            <w:tcW w:w="4663"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科目名称</w:t>
            </w:r>
          </w:p>
        </w:tc>
        <w:tc>
          <w:tcPr>
            <w:tcW w:w="127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总计</w:t>
            </w:r>
          </w:p>
        </w:tc>
        <w:tc>
          <w:tcPr>
            <w:tcW w:w="98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基本支出</w:t>
            </w:r>
          </w:p>
        </w:tc>
        <w:tc>
          <w:tcPr>
            <w:tcW w:w="94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项目支出</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Before w:val="1"/>
          <w:gridAfter w:val="1"/>
          <w:wBefore w:w="2" w:type="dxa"/>
          <w:wAfter w:w="2" w:type="dxa"/>
          <w:trHeight w:val="340" w:hRule="exact"/>
        </w:trPr>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4"/>
                <w:szCs w:val="24"/>
                <w:u w:val="none"/>
              </w:rPr>
            </w:pPr>
          </w:p>
        </w:tc>
        <w:tc>
          <w:tcPr>
            <w:tcW w:w="466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4"/>
                <w:szCs w:val="24"/>
                <w:u w:val="none"/>
              </w:rPr>
            </w:pPr>
          </w:p>
        </w:tc>
        <w:tc>
          <w:tcPr>
            <w:tcW w:w="12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4"/>
                <w:szCs w:val="24"/>
                <w:u w:val="none"/>
              </w:rPr>
            </w:pPr>
          </w:p>
        </w:tc>
        <w:tc>
          <w:tcPr>
            <w:tcW w:w="98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4"/>
                <w:szCs w:val="24"/>
                <w:u w:val="none"/>
              </w:rPr>
            </w:pPr>
          </w:p>
        </w:tc>
        <w:tc>
          <w:tcPr>
            <w:tcW w:w="9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4"/>
                <w:szCs w:val="24"/>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Before w:val="1"/>
          <w:gridAfter w:val="1"/>
          <w:wBefore w:w="2" w:type="dxa"/>
          <w:wAfter w:w="2" w:type="dxa"/>
          <w:trHeight w:val="340" w:hRule="exact"/>
        </w:trPr>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w:t>
            </w:r>
          </w:p>
        </w:tc>
        <w:tc>
          <w:tcPr>
            <w:tcW w:w="46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4"/>
                <w:szCs w:val="24"/>
                <w:u w:val="none"/>
              </w:rPr>
            </w:pPr>
          </w:p>
        </w:tc>
        <w:tc>
          <w:tcPr>
            <w:tcW w:w="12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1</w:t>
            </w:r>
          </w:p>
        </w:tc>
        <w:tc>
          <w:tcPr>
            <w:tcW w:w="9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2</w:t>
            </w:r>
          </w:p>
        </w:tc>
        <w:tc>
          <w:tcPr>
            <w:tcW w:w="9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6</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Before w:val="1"/>
          <w:gridAfter w:val="1"/>
          <w:wBefore w:w="2" w:type="dxa"/>
          <w:wAfter w:w="2" w:type="dxa"/>
          <w:trHeight w:val="419" w:hRule="exact"/>
        </w:trPr>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46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合计</w:t>
            </w:r>
          </w:p>
        </w:tc>
        <w:tc>
          <w:tcPr>
            <w:tcW w:w="12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4648.93</w:t>
            </w:r>
          </w:p>
        </w:tc>
        <w:tc>
          <w:tcPr>
            <w:tcW w:w="9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2217.15</w:t>
            </w:r>
          </w:p>
        </w:tc>
        <w:tc>
          <w:tcPr>
            <w:tcW w:w="9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2431.78</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Before w:val="1"/>
          <w:gridAfter w:val="1"/>
          <w:wBefore w:w="2" w:type="dxa"/>
          <w:wAfter w:w="2" w:type="dxa"/>
          <w:trHeight w:val="340" w:hRule="exact"/>
        </w:trPr>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201</w:t>
            </w:r>
          </w:p>
        </w:tc>
        <w:tc>
          <w:tcPr>
            <w:tcW w:w="46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一般公共服务支出</w:t>
            </w:r>
          </w:p>
        </w:tc>
        <w:tc>
          <w:tcPr>
            <w:tcW w:w="12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2176.86</w:t>
            </w:r>
          </w:p>
        </w:tc>
        <w:tc>
          <w:tcPr>
            <w:tcW w:w="9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1772.08</w:t>
            </w:r>
          </w:p>
        </w:tc>
        <w:tc>
          <w:tcPr>
            <w:tcW w:w="9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404.78</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Before w:val="1"/>
          <w:gridAfter w:val="1"/>
          <w:wBefore w:w="2" w:type="dxa"/>
          <w:wAfter w:w="2" w:type="dxa"/>
          <w:trHeight w:val="340" w:hRule="exact"/>
        </w:trPr>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20113</w:t>
            </w:r>
          </w:p>
        </w:tc>
        <w:tc>
          <w:tcPr>
            <w:tcW w:w="46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商贸事务</w:t>
            </w:r>
          </w:p>
        </w:tc>
        <w:tc>
          <w:tcPr>
            <w:tcW w:w="12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2176.86</w:t>
            </w:r>
          </w:p>
        </w:tc>
        <w:tc>
          <w:tcPr>
            <w:tcW w:w="9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1772.08</w:t>
            </w:r>
          </w:p>
        </w:tc>
        <w:tc>
          <w:tcPr>
            <w:tcW w:w="9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404.78</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Before w:val="1"/>
          <w:gridAfter w:val="1"/>
          <w:wBefore w:w="2" w:type="dxa"/>
          <w:wAfter w:w="2" w:type="dxa"/>
          <w:trHeight w:val="340" w:hRule="exact"/>
        </w:trPr>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2011301</w:t>
            </w:r>
          </w:p>
        </w:tc>
        <w:tc>
          <w:tcPr>
            <w:tcW w:w="46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行政运行</w:t>
            </w:r>
          </w:p>
        </w:tc>
        <w:tc>
          <w:tcPr>
            <w:tcW w:w="12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1478.57</w:t>
            </w:r>
          </w:p>
        </w:tc>
        <w:tc>
          <w:tcPr>
            <w:tcW w:w="9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1478.57</w:t>
            </w:r>
          </w:p>
        </w:tc>
        <w:tc>
          <w:tcPr>
            <w:tcW w:w="9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Before w:val="1"/>
          <w:gridAfter w:val="1"/>
          <w:wBefore w:w="2" w:type="dxa"/>
          <w:wAfter w:w="2" w:type="dxa"/>
          <w:trHeight w:val="340" w:hRule="exact"/>
        </w:trPr>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2011302</w:t>
            </w:r>
          </w:p>
        </w:tc>
        <w:tc>
          <w:tcPr>
            <w:tcW w:w="46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一般行政管理事务</w:t>
            </w:r>
          </w:p>
        </w:tc>
        <w:tc>
          <w:tcPr>
            <w:tcW w:w="12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388.36</w:t>
            </w:r>
          </w:p>
        </w:tc>
        <w:tc>
          <w:tcPr>
            <w:tcW w:w="9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c>
          <w:tcPr>
            <w:tcW w:w="9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388.36</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Before w:val="1"/>
          <w:gridAfter w:val="1"/>
          <w:wBefore w:w="2" w:type="dxa"/>
          <w:wAfter w:w="2" w:type="dxa"/>
          <w:trHeight w:val="340" w:hRule="exact"/>
        </w:trPr>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2011350</w:t>
            </w:r>
          </w:p>
        </w:tc>
        <w:tc>
          <w:tcPr>
            <w:tcW w:w="46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事业运行</w:t>
            </w:r>
          </w:p>
        </w:tc>
        <w:tc>
          <w:tcPr>
            <w:tcW w:w="12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213.09</w:t>
            </w:r>
          </w:p>
        </w:tc>
        <w:tc>
          <w:tcPr>
            <w:tcW w:w="9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213.09</w:t>
            </w:r>
          </w:p>
        </w:tc>
        <w:tc>
          <w:tcPr>
            <w:tcW w:w="9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Before w:val="1"/>
          <w:gridAfter w:val="1"/>
          <w:wBefore w:w="2" w:type="dxa"/>
          <w:wAfter w:w="2" w:type="dxa"/>
          <w:trHeight w:val="340" w:hRule="exact"/>
        </w:trPr>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2011399</w:t>
            </w:r>
          </w:p>
        </w:tc>
        <w:tc>
          <w:tcPr>
            <w:tcW w:w="46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其他商贸事务支出</w:t>
            </w:r>
          </w:p>
        </w:tc>
        <w:tc>
          <w:tcPr>
            <w:tcW w:w="12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96.84</w:t>
            </w:r>
          </w:p>
        </w:tc>
        <w:tc>
          <w:tcPr>
            <w:tcW w:w="9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80.42</w:t>
            </w:r>
          </w:p>
        </w:tc>
        <w:tc>
          <w:tcPr>
            <w:tcW w:w="9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16.42</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Before w:val="1"/>
          <w:gridAfter w:val="1"/>
          <w:wBefore w:w="2" w:type="dxa"/>
          <w:wAfter w:w="2" w:type="dxa"/>
          <w:trHeight w:val="340" w:hRule="exact"/>
        </w:trPr>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208</w:t>
            </w:r>
          </w:p>
        </w:tc>
        <w:tc>
          <w:tcPr>
            <w:tcW w:w="46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社会保障和就业支出</w:t>
            </w:r>
          </w:p>
        </w:tc>
        <w:tc>
          <w:tcPr>
            <w:tcW w:w="12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218.24</w:t>
            </w:r>
          </w:p>
        </w:tc>
        <w:tc>
          <w:tcPr>
            <w:tcW w:w="9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218.24</w:t>
            </w:r>
          </w:p>
        </w:tc>
        <w:tc>
          <w:tcPr>
            <w:tcW w:w="9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Before w:val="1"/>
          <w:gridAfter w:val="1"/>
          <w:wBefore w:w="2" w:type="dxa"/>
          <w:wAfter w:w="2" w:type="dxa"/>
          <w:trHeight w:val="340" w:hRule="exact"/>
        </w:trPr>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20805</w:t>
            </w:r>
          </w:p>
        </w:tc>
        <w:tc>
          <w:tcPr>
            <w:tcW w:w="46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行政事业单位离退休</w:t>
            </w:r>
          </w:p>
        </w:tc>
        <w:tc>
          <w:tcPr>
            <w:tcW w:w="12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218.24</w:t>
            </w:r>
          </w:p>
        </w:tc>
        <w:tc>
          <w:tcPr>
            <w:tcW w:w="9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218.24</w:t>
            </w:r>
          </w:p>
        </w:tc>
        <w:tc>
          <w:tcPr>
            <w:tcW w:w="9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Before w:val="1"/>
          <w:gridAfter w:val="1"/>
          <w:wBefore w:w="2" w:type="dxa"/>
          <w:wAfter w:w="2" w:type="dxa"/>
          <w:trHeight w:val="340" w:hRule="exact"/>
        </w:trPr>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2080505</w:t>
            </w:r>
          </w:p>
        </w:tc>
        <w:tc>
          <w:tcPr>
            <w:tcW w:w="46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机关事业单位基本养老保险缴费支出</w:t>
            </w:r>
          </w:p>
        </w:tc>
        <w:tc>
          <w:tcPr>
            <w:tcW w:w="12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155.85</w:t>
            </w:r>
          </w:p>
        </w:tc>
        <w:tc>
          <w:tcPr>
            <w:tcW w:w="9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155.85</w:t>
            </w:r>
          </w:p>
        </w:tc>
        <w:tc>
          <w:tcPr>
            <w:tcW w:w="9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Before w:val="1"/>
          <w:gridAfter w:val="1"/>
          <w:wBefore w:w="2" w:type="dxa"/>
          <w:wAfter w:w="2" w:type="dxa"/>
          <w:trHeight w:val="340" w:hRule="exact"/>
        </w:trPr>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2080506</w:t>
            </w:r>
          </w:p>
        </w:tc>
        <w:tc>
          <w:tcPr>
            <w:tcW w:w="46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机关事业单位职业年金缴费支出</w:t>
            </w:r>
          </w:p>
        </w:tc>
        <w:tc>
          <w:tcPr>
            <w:tcW w:w="12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62.39</w:t>
            </w:r>
          </w:p>
        </w:tc>
        <w:tc>
          <w:tcPr>
            <w:tcW w:w="9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62.39</w:t>
            </w:r>
          </w:p>
        </w:tc>
        <w:tc>
          <w:tcPr>
            <w:tcW w:w="9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Before w:val="1"/>
          <w:gridAfter w:val="1"/>
          <w:wBefore w:w="2" w:type="dxa"/>
          <w:wAfter w:w="2" w:type="dxa"/>
          <w:trHeight w:val="340" w:hRule="exact"/>
        </w:trPr>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210</w:t>
            </w:r>
          </w:p>
        </w:tc>
        <w:tc>
          <w:tcPr>
            <w:tcW w:w="46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医疗卫生与计划生育支出</w:t>
            </w:r>
          </w:p>
        </w:tc>
        <w:tc>
          <w:tcPr>
            <w:tcW w:w="12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117.30</w:t>
            </w:r>
          </w:p>
        </w:tc>
        <w:tc>
          <w:tcPr>
            <w:tcW w:w="9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117.30</w:t>
            </w:r>
          </w:p>
        </w:tc>
        <w:tc>
          <w:tcPr>
            <w:tcW w:w="9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Before w:val="1"/>
          <w:gridAfter w:val="1"/>
          <w:wBefore w:w="2" w:type="dxa"/>
          <w:wAfter w:w="2" w:type="dxa"/>
          <w:trHeight w:val="340" w:hRule="exact"/>
        </w:trPr>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21011</w:t>
            </w:r>
          </w:p>
        </w:tc>
        <w:tc>
          <w:tcPr>
            <w:tcW w:w="46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行政事业单位医疗</w:t>
            </w:r>
          </w:p>
        </w:tc>
        <w:tc>
          <w:tcPr>
            <w:tcW w:w="12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117.30</w:t>
            </w:r>
          </w:p>
        </w:tc>
        <w:tc>
          <w:tcPr>
            <w:tcW w:w="9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117.30</w:t>
            </w:r>
          </w:p>
        </w:tc>
        <w:tc>
          <w:tcPr>
            <w:tcW w:w="9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Before w:val="1"/>
          <w:gridAfter w:val="1"/>
          <w:wBefore w:w="2" w:type="dxa"/>
          <w:wAfter w:w="2" w:type="dxa"/>
          <w:trHeight w:val="340" w:hRule="exact"/>
        </w:trPr>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2101101</w:t>
            </w:r>
          </w:p>
        </w:tc>
        <w:tc>
          <w:tcPr>
            <w:tcW w:w="46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行政单位医疗</w:t>
            </w:r>
          </w:p>
        </w:tc>
        <w:tc>
          <w:tcPr>
            <w:tcW w:w="12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104.66</w:t>
            </w:r>
          </w:p>
        </w:tc>
        <w:tc>
          <w:tcPr>
            <w:tcW w:w="9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104.66</w:t>
            </w:r>
          </w:p>
        </w:tc>
        <w:tc>
          <w:tcPr>
            <w:tcW w:w="9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Before w:val="1"/>
          <w:gridAfter w:val="1"/>
          <w:wBefore w:w="2" w:type="dxa"/>
          <w:wAfter w:w="2" w:type="dxa"/>
          <w:trHeight w:val="340" w:hRule="exact"/>
        </w:trPr>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2101102</w:t>
            </w:r>
          </w:p>
        </w:tc>
        <w:tc>
          <w:tcPr>
            <w:tcW w:w="46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事业单位医疗</w:t>
            </w:r>
          </w:p>
        </w:tc>
        <w:tc>
          <w:tcPr>
            <w:tcW w:w="12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12.64</w:t>
            </w:r>
          </w:p>
        </w:tc>
        <w:tc>
          <w:tcPr>
            <w:tcW w:w="9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12.64</w:t>
            </w:r>
          </w:p>
        </w:tc>
        <w:tc>
          <w:tcPr>
            <w:tcW w:w="9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Before w:val="1"/>
          <w:gridAfter w:val="1"/>
          <w:wBefore w:w="2" w:type="dxa"/>
          <w:wAfter w:w="2" w:type="dxa"/>
          <w:trHeight w:val="340" w:hRule="exact"/>
        </w:trPr>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216</w:t>
            </w:r>
          </w:p>
        </w:tc>
        <w:tc>
          <w:tcPr>
            <w:tcW w:w="46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商业服务业等支出</w:t>
            </w:r>
          </w:p>
        </w:tc>
        <w:tc>
          <w:tcPr>
            <w:tcW w:w="12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2027.00</w:t>
            </w:r>
          </w:p>
        </w:tc>
        <w:tc>
          <w:tcPr>
            <w:tcW w:w="9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c>
          <w:tcPr>
            <w:tcW w:w="9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2027.00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Before w:val="1"/>
          <w:gridAfter w:val="1"/>
          <w:wBefore w:w="2" w:type="dxa"/>
          <w:wAfter w:w="2" w:type="dxa"/>
          <w:trHeight w:val="340" w:hRule="exact"/>
        </w:trPr>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21602</w:t>
            </w:r>
          </w:p>
        </w:tc>
        <w:tc>
          <w:tcPr>
            <w:tcW w:w="46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商业流通事务</w:t>
            </w:r>
          </w:p>
        </w:tc>
        <w:tc>
          <w:tcPr>
            <w:tcW w:w="12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966.00</w:t>
            </w:r>
          </w:p>
        </w:tc>
        <w:tc>
          <w:tcPr>
            <w:tcW w:w="9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c>
          <w:tcPr>
            <w:tcW w:w="9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966.00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Before w:val="1"/>
          <w:gridAfter w:val="1"/>
          <w:wBefore w:w="2" w:type="dxa"/>
          <w:wAfter w:w="2" w:type="dxa"/>
          <w:trHeight w:val="340" w:hRule="exact"/>
        </w:trPr>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2160299</w:t>
            </w:r>
          </w:p>
        </w:tc>
        <w:tc>
          <w:tcPr>
            <w:tcW w:w="46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其他商业流通事务支出</w:t>
            </w:r>
          </w:p>
        </w:tc>
        <w:tc>
          <w:tcPr>
            <w:tcW w:w="12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966.00</w:t>
            </w:r>
          </w:p>
        </w:tc>
        <w:tc>
          <w:tcPr>
            <w:tcW w:w="9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c>
          <w:tcPr>
            <w:tcW w:w="9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966.00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Before w:val="1"/>
          <w:gridAfter w:val="1"/>
          <w:wBefore w:w="2" w:type="dxa"/>
          <w:wAfter w:w="2" w:type="dxa"/>
          <w:trHeight w:val="340" w:hRule="exact"/>
        </w:trPr>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21606</w:t>
            </w:r>
          </w:p>
        </w:tc>
        <w:tc>
          <w:tcPr>
            <w:tcW w:w="46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涉外发展服务支出</w:t>
            </w:r>
          </w:p>
        </w:tc>
        <w:tc>
          <w:tcPr>
            <w:tcW w:w="12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1061.00</w:t>
            </w:r>
          </w:p>
        </w:tc>
        <w:tc>
          <w:tcPr>
            <w:tcW w:w="9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c>
          <w:tcPr>
            <w:tcW w:w="9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1061.00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Before w:val="1"/>
          <w:gridAfter w:val="1"/>
          <w:wBefore w:w="2" w:type="dxa"/>
          <w:wAfter w:w="2" w:type="dxa"/>
          <w:trHeight w:val="340" w:hRule="exact"/>
        </w:trPr>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2160699</w:t>
            </w:r>
          </w:p>
        </w:tc>
        <w:tc>
          <w:tcPr>
            <w:tcW w:w="46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其他涉外发展服务支出</w:t>
            </w:r>
          </w:p>
        </w:tc>
        <w:tc>
          <w:tcPr>
            <w:tcW w:w="12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1061.00</w:t>
            </w:r>
          </w:p>
        </w:tc>
        <w:tc>
          <w:tcPr>
            <w:tcW w:w="9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c>
          <w:tcPr>
            <w:tcW w:w="9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1061.00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Before w:val="1"/>
          <w:gridAfter w:val="1"/>
          <w:wBefore w:w="2" w:type="dxa"/>
          <w:wAfter w:w="2" w:type="dxa"/>
          <w:trHeight w:val="340" w:hRule="exact"/>
        </w:trPr>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221</w:t>
            </w:r>
          </w:p>
        </w:tc>
        <w:tc>
          <w:tcPr>
            <w:tcW w:w="46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住房保障支出</w:t>
            </w:r>
          </w:p>
        </w:tc>
        <w:tc>
          <w:tcPr>
            <w:tcW w:w="12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109.53</w:t>
            </w:r>
          </w:p>
        </w:tc>
        <w:tc>
          <w:tcPr>
            <w:tcW w:w="9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109.53</w:t>
            </w:r>
          </w:p>
        </w:tc>
        <w:tc>
          <w:tcPr>
            <w:tcW w:w="9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Before w:val="1"/>
          <w:gridAfter w:val="1"/>
          <w:wBefore w:w="2" w:type="dxa"/>
          <w:wAfter w:w="2" w:type="dxa"/>
          <w:trHeight w:val="340" w:hRule="exact"/>
        </w:trPr>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22102</w:t>
            </w:r>
          </w:p>
        </w:tc>
        <w:tc>
          <w:tcPr>
            <w:tcW w:w="46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住房改革支出</w:t>
            </w:r>
          </w:p>
        </w:tc>
        <w:tc>
          <w:tcPr>
            <w:tcW w:w="12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109.53</w:t>
            </w:r>
          </w:p>
        </w:tc>
        <w:tc>
          <w:tcPr>
            <w:tcW w:w="9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109.53</w:t>
            </w:r>
          </w:p>
        </w:tc>
        <w:tc>
          <w:tcPr>
            <w:tcW w:w="9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Before w:val="1"/>
          <w:gridAfter w:val="1"/>
          <w:wBefore w:w="2" w:type="dxa"/>
          <w:wAfter w:w="2" w:type="dxa"/>
          <w:trHeight w:val="340" w:hRule="exact"/>
        </w:trPr>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2210201</w:t>
            </w:r>
          </w:p>
        </w:tc>
        <w:tc>
          <w:tcPr>
            <w:tcW w:w="46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住房公积金</w:t>
            </w:r>
          </w:p>
        </w:tc>
        <w:tc>
          <w:tcPr>
            <w:tcW w:w="12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98.23</w:t>
            </w:r>
          </w:p>
        </w:tc>
        <w:tc>
          <w:tcPr>
            <w:tcW w:w="9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98.23</w:t>
            </w:r>
          </w:p>
        </w:tc>
        <w:tc>
          <w:tcPr>
            <w:tcW w:w="9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Before w:val="1"/>
          <w:gridAfter w:val="1"/>
          <w:wBefore w:w="2" w:type="dxa"/>
          <w:wAfter w:w="2" w:type="dxa"/>
          <w:trHeight w:val="340" w:hRule="exact"/>
        </w:trPr>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2210203</w:t>
            </w:r>
          </w:p>
        </w:tc>
        <w:tc>
          <w:tcPr>
            <w:tcW w:w="46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购房补贴</w:t>
            </w:r>
          </w:p>
        </w:tc>
        <w:tc>
          <w:tcPr>
            <w:tcW w:w="12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11.30</w:t>
            </w:r>
          </w:p>
        </w:tc>
        <w:tc>
          <w:tcPr>
            <w:tcW w:w="9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11.30</w:t>
            </w:r>
          </w:p>
        </w:tc>
        <w:tc>
          <w:tcPr>
            <w:tcW w:w="9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0.00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r>
    </w:tbl>
    <w:p>
      <w:pPr>
        <w:spacing w:line="580" w:lineRule="exact"/>
        <w:rPr>
          <w:rFonts w:hint="eastAsia" w:ascii="黑体" w:hAnsi="黑体" w:eastAsia="黑体" w:cs="黑体"/>
          <w:spacing w:val="15"/>
          <w:sz w:val="32"/>
          <w:szCs w:val="32"/>
        </w:rPr>
      </w:pPr>
    </w:p>
    <w:p>
      <w:pPr>
        <w:spacing w:line="580" w:lineRule="exact"/>
        <w:rPr>
          <w:rFonts w:hint="eastAsia" w:ascii="黑体" w:hAnsi="黑体" w:eastAsia="黑体" w:cs="黑体"/>
          <w:spacing w:val="15"/>
          <w:sz w:val="32"/>
          <w:szCs w:val="32"/>
        </w:rPr>
      </w:pPr>
    </w:p>
    <w:tbl>
      <w:tblPr>
        <w:tblStyle w:val="8"/>
        <w:tblW w:w="10080" w:type="dxa"/>
        <w:tblInd w:w="-667" w:type="dxa"/>
        <w:tblLayout w:type="fixed"/>
        <w:tblCellMar>
          <w:top w:w="0" w:type="dxa"/>
          <w:left w:w="108" w:type="dxa"/>
          <w:bottom w:w="0" w:type="dxa"/>
          <w:right w:w="108" w:type="dxa"/>
        </w:tblCellMar>
      </w:tblPr>
      <w:tblGrid>
        <w:gridCol w:w="2240"/>
        <w:gridCol w:w="3560"/>
        <w:gridCol w:w="1020"/>
        <w:gridCol w:w="1060"/>
        <w:gridCol w:w="980"/>
        <w:gridCol w:w="1220"/>
      </w:tblGrid>
      <w:tr>
        <w:tblPrEx>
          <w:tblLayout w:type="fixed"/>
          <w:tblCellMar>
            <w:top w:w="0" w:type="dxa"/>
            <w:left w:w="108" w:type="dxa"/>
            <w:bottom w:w="0" w:type="dxa"/>
            <w:right w:w="108" w:type="dxa"/>
          </w:tblCellMar>
        </w:tblPrEx>
        <w:trPr>
          <w:trHeight w:val="525" w:hRule="atLeast"/>
        </w:trPr>
        <w:tc>
          <w:tcPr>
            <w:tcW w:w="10080" w:type="dxa"/>
            <w:gridSpan w:val="6"/>
            <w:tcBorders>
              <w:top w:val="nil"/>
              <w:left w:val="nil"/>
              <w:bottom w:val="nil"/>
              <w:right w:val="nil"/>
            </w:tcBorders>
            <w:shd w:val="clear" w:color="auto" w:fill="auto"/>
            <w:vAlign w:val="center"/>
          </w:tcPr>
          <w:p>
            <w:pPr>
              <w:widowControl/>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rPr>
              <w:t>表4</w:t>
            </w:r>
          </w:p>
          <w:p>
            <w:pPr>
              <w:widowControl/>
              <w:rPr>
                <w:rFonts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 xml:space="preserve">    2018年市级部门政府性基金预算支出表</w:t>
            </w:r>
          </w:p>
        </w:tc>
      </w:tr>
      <w:tr>
        <w:tblPrEx>
          <w:tblLayout w:type="fixed"/>
          <w:tblCellMar>
            <w:top w:w="0" w:type="dxa"/>
            <w:left w:w="108" w:type="dxa"/>
            <w:bottom w:w="0" w:type="dxa"/>
            <w:right w:w="108" w:type="dxa"/>
          </w:tblCellMar>
        </w:tblPrEx>
        <w:trPr>
          <w:trHeight w:val="402" w:hRule="atLeast"/>
        </w:trPr>
        <w:tc>
          <w:tcPr>
            <w:tcW w:w="2240" w:type="dxa"/>
            <w:tcBorders>
              <w:top w:val="nil"/>
              <w:left w:val="nil"/>
              <w:bottom w:val="single" w:color="auto" w:sz="4" w:space="0"/>
              <w:right w:val="nil"/>
            </w:tcBorders>
            <w:shd w:val="clear" w:color="auto" w:fill="auto"/>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部门名称：</w:t>
            </w:r>
            <w:r>
              <w:rPr>
                <w:rFonts w:hint="eastAsia" w:asciiTheme="minorEastAsia" w:hAnsiTheme="minorEastAsia" w:eastAsiaTheme="minorEastAsia" w:cstheme="minorEastAsia"/>
                <w:kern w:val="0"/>
                <w:sz w:val="24"/>
                <w:szCs w:val="24"/>
                <w:lang w:eastAsia="zh-CN"/>
              </w:rPr>
              <w:t>温州市商务局</w:t>
            </w:r>
          </w:p>
        </w:tc>
        <w:tc>
          <w:tcPr>
            <w:tcW w:w="3560" w:type="dxa"/>
            <w:tcBorders>
              <w:top w:val="nil"/>
              <w:left w:val="nil"/>
              <w:bottom w:val="nil"/>
              <w:right w:val="nil"/>
            </w:tcBorders>
            <w:shd w:val="clear" w:color="auto" w:fill="auto"/>
            <w:vAlign w:val="center"/>
          </w:tcPr>
          <w:p>
            <w:pPr>
              <w:widowControl/>
              <w:jc w:val="left"/>
              <w:rPr>
                <w:rFonts w:hint="eastAsia" w:asciiTheme="minorEastAsia" w:hAnsiTheme="minorEastAsia" w:eastAsiaTheme="minorEastAsia" w:cstheme="minorEastAsia"/>
                <w:kern w:val="0"/>
                <w:sz w:val="24"/>
                <w:szCs w:val="24"/>
              </w:rPr>
            </w:pPr>
          </w:p>
        </w:tc>
        <w:tc>
          <w:tcPr>
            <w:tcW w:w="1020" w:type="dxa"/>
            <w:tcBorders>
              <w:top w:val="nil"/>
              <w:left w:val="nil"/>
              <w:bottom w:val="nil"/>
              <w:right w:val="nil"/>
            </w:tcBorders>
            <w:shd w:val="clear" w:color="auto" w:fill="auto"/>
            <w:vAlign w:val="center"/>
          </w:tcPr>
          <w:p>
            <w:pPr>
              <w:widowControl/>
              <w:jc w:val="left"/>
              <w:rPr>
                <w:rFonts w:hint="eastAsia" w:asciiTheme="minorEastAsia" w:hAnsiTheme="minorEastAsia" w:eastAsiaTheme="minorEastAsia" w:cstheme="minorEastAsia"/>
                <w:kern w:val="0"/>
                <w:sz w:val="24"/>
                <w:szCs w:val="24"/>
              </w:rPr>
            </w:pPr>
          </w:p>
        </w:tc>
        <w:tc>
          <w:tcPr>
            <w:tcW w:w="1060" w:type="dxa"/>
            <w:tcBorders>
              <w:top w:val="nil"/>
              <w:left w:val="nil"/>
              <w:bottom w:val="nil"/>
              <w:right w:val="nil"/>
            </w:tcBorders>
            <w:shd w:val="clear" w:color="auto" w:fill="auto"/>
            <w:vAlign w:val="center"/>
          </w:tcPr>
          <w:p>
            <w:pPr>
              <w:widowControl/>
              <w:jc w:val="left"/>
              <w:rPr>
                <w:rFonts w:hint="eastAsia" w:asciiTheme="minorEastAsia" w:hAnsiTheme="minorEastAsia" w:eastAsiaTheme="minorEastAsia" w:cstheme="minorEastAsia"/>
                <w:kern w:val="0"/>
                <w:sz w:val="24"/>
                <w:szCs w:val="24"/>
              </w:rPr>
            </w:pPr>
          </w:p>
        </w:tc>
        <w:tc>
          <w:tcPr>
            <w:tcW w:w="980" w:type="dxa"/>
            <w:tcBorders>
              <w:top w:val="nil"/>
              <w:left w:val="nil"/>
              <w:bottom w:val="nil"/>
              <w:right w:val="nil"/>
            </w:tcBorders>
            <w:shd w:val="clear" w:color="auto" w:fill="auto"/>
            <w:vAlign w:val="center"/>
          </w:tcPr>
          <w:p>
            <w:pPr>
              <w:widowControl/>
              <w:jc w:val="left"/>
              <w:rPr>
                <w:rFonts w:hint="eastAsia" w:asciiTheme="minorEastAsia" w:hAnsiTheme="minorEastAsia" w:eastAsiaTheme="minorEastAsia" w:cstheme="minorEastAsia"/>
                <w:kern w:val="0"/>
                <w:sz w:val="24"/>
                <w:szCs w:val="24"/>
              </w:rPr>
            </w:pPr>
          </w:p>
        </w:tc>
        <w:tc>
          <w:tcPr>
            <w:tcW w:w="1220" w:type="dxa"/>
            <w:tcBorders>
              <w:top w:val="nil"/>
              <w:left w:val="nil"/>
              <w:bottom w:val="nil"/>
              <w:right w:val="nil"/>
            </w:tcBorders>
            <w:shd w:val="clear" w:color="auto" w:fill="auto"/>
            <w:vAlign w:val="center"/>
          </w:tcPr>
          <w:p>
            <w:pPr>
              <w:widowControl/>
              <w:jc w:val="righ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单位：万元</w:t>
            </w:r>
          </w:p>
        </w:tc>
      </w:tr>
      <w:tr>
        <w:tblPrEx>
          <w:tblLayout w:type="fixed"/>
          <w:tblCellMar>
            <w:top w:w="0" w:type="dxa"/>
            <w:left w:w="108" w:type="dxa"/>
            <w:bottom w:w="0" w:type="dxa"/>
            <w:right w:w="108" w:type="dxa"/>
          </w:tblCellMar>
        </w:tblPrEx>
        <w:trPr>
          <w:trHeight w:val="360" w:hRule="atLeast"/>
        </w:trPr>
        <w:tc>
          <w:tcPr>
            <w:tcW w:w="22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科目编码</w:t>
            </w:r>
          </w:p>
        </w:tc>
        <w:tc>
          <w:tcPr>
            <w:tcW w:w="356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科目名称</w:t>
            </w:r>
          </w:p>
        </w:tc>
        <w:tc>
          <w:tcPr>
            <w:tcW w:w="10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总计</w:t>
            </w:r>
          </w:p>
        </w:tc>
        <w:tc>
          <w:tcPr>
            <w:tcW w:w="106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基本支出</w:t>
            </w:r>
          </w:p>
        </w:tc>
        <w:tc>
          <w:tcPr>
            <w:tcW w:w="9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项目支出</w:t>
            </w:r>
          </w:p>
        </w:tc>
        <w:tc>
          <w:tcPr>
            <w:tcW w:w="12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备注</w:t>
            </w:r>
          </w:p>
        </w:tc>
      </w:tr>
      <w:tr>
        <w:tblPrEx>
          <w:tblLayout w:type="fixed"/>
          <w:tblCellMar>
            <w:top w:w="0" w:type="dxa"/>
            <w:left w:w="108" w:type="dxa"/>
            <w:bottom w:w="0" w:type="dxa"/>
            <w:right w:w="108" w:type="dxa"/>
          </w:tblCellMar>
        </w:tblPrEx>
        <w:trPr>
          <w:trHeight w:val="600" w:hRule="atLeast"/>
        </w:trPr>
        <w:tc>
          <w:tcPr>
            <w:tcW w:w="224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4"/>
                <w:szCs w:val="24"/>
              </w:rPr>
            </w:pPr>
          </w:p>
        </w:tc>
        <w:tc>
          <w:tcPr>
            <w:tcW w:w="35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hint="eastAsia" w:asciiTheme="minorEastAsia" w:hAnsiTheme="minorEastAsia" w:eastAsiaTheme="minorEastAsia" w:cstheme="minorEastAsia"/>
                <w:kern w:val="0"/>
                <w:sz w:val="24"/>
                <w:szCs w:val="24"/>
              </w:rPr>
            </w:pPr>
          </w:p>
        </w:tc>
        <w:tc>
          <w:tcPr>
            <w:tcW w:w="10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4"/>
                <w:szCs w:val="24"/>
              </w:rPr>
            </w:pPr>
          </w:p>
        </w:tc>
        <w:tc>
          <w:tcPr>
            <w:tcW w:w="10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hint="eastAsia" w:asciiTheme="minorEastAsia" w:hAnsiTheme="minorEastAsia" w:eastAsiaTheme="minorEastAsia" w:cstheme="minorEastAsia"/>
                <w:kern w:val="0"/>
                <w:sz w:val="24"/>
                <w:szCs w:val="24"/>
              </w:rPr>
            </w:pPr>
          </w:p>
        </w:tc>
        <w:tc>
          <w:tcPr>
            <w:tcW w:w="9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4"/>
                <w:szCs w:val="24"/>
              </w:rPr>
            </w:pPr>
          </w:p>
        </w:tc>
        <w:tc>
          <w:tcPr>
            <w:tcW w:w="12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4"/>
                <w:szCs w:val="24"/>
              </w:rPr>
            </w:pPr>
          </w:p>
        </w:tc>
      </w:tr>
      <w:tr>
        <w:tblPrEx>
          <w:tblLayout w:type="fixed"/>
          <w:tblCellMar>
            <w:top w:w="0" w:type="dxa"/>
            <w:left w:w="108" w:type="dxa"/>
            <w:bottom w:w="0" w:type="dxa"/>
            <w:right w:w="108" w:type="dxa"/>
          </w:tblCellMar>
        </w:tblPrEx>
        <w:trPr>
          <w:trHeight w:val="402" w:hRule="atLeast"/>
        </w:trPr>
        <w:tc>
          <w:tcPr>
            <w:tcW w:w="22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w:t>
            </w:r>
          </w:p>
        </w:tc>
        <w:tc>
          <w:tcPr>
            <w:tcW w:w="3560"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w:t>
            </w:r>
          </w:p>
        </w:tc>
        <w:tc>
          <w:tcPr>
            <w:tcW w:w="980"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7</w:t>
            </w:r>
          </w:p>
        </w:tc>
      </w:tr>
      <w:tr>
        <w:tblPrEx>
          <w:tblLayout w:type="fixed"/>
          <w:tblCellMar>
            <w:top w:w="0" w:type="dxa"/>
            <w:left w:w="108" w:type="dxa"/>
            <w:bottom w:w="0" w:type="dxa"/>
            <w:right w:w="108" w:type="dxa"/>
          </w:tblCellMar>
        </w:tblPrEx>
        <w:trPr>
          <w:trHeight w:val="402" w:hRule="atLeast"/>
        </w:trPr>
        <w:tc>
          <w:tcPr>
            <w:tcW w:w="22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c>
          <w:tcPr>
            <w:tcW w:w="3560" w:type="dxa"/>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kern w:val="0"/>
                <w:sz w:val="24"/>
                <w:szCs w:val="24"/>
              </w:rPr>
            </w:pPr>
          </w:p>
        </w:tc>
        <w:tc>
          <w:tcPr>
            <w:tcW w:w="1020" w:type="dxa"/>
            <w:tcBorders>
              <w:top w:val="nil"/>
              <w:left w:val="nil"/>
              <w:bottom w:val="single" w:color="auto" w:sz="4" w:space="0"/>
              <w:right w:val="single" w:color="auto" w:sz="4" w:space="0"/>
            </w:tcBorders>
            <w:shd w:val="clear" w:color="auto" w:fill="auto"/>
            <w:vAlign w:val="center"/>
          </w:tcPr>
          <w:p>
            <w:pPr>
              <w:widowControl/>
              <w:jc w:val="righ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c>
          <w:tcPr>
            <w:tcW w:w="1060" w:type="dxa"/>
            <w:tcBorders>
              <w:top w:val="nil"/>
              <w:left w:val="nil"/>
              <w:bottom w:val="single" w:color="auto" w:sz="4" w:space="0"/>
              <w:right w:val="single" w:color="auto" w:sz="4" w:space="0"/>
            </w:tcBorders>
            <w:shd w:val="clear" w:color="auto" w:fill="auto"/>
            <w:vAlign w:val="center"/>
          </w:tcPr>
          <w:p>
            <w:pPr>
              <w:widowControl/>
              <w:jc w:val="righ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c>
          <w:tcPr>
            <w:tcW w:w="980" w:type="dxa"/>
            <w:tcBorders>
              <w:top w:val="nil"/>
              <w:left w:val="nil"/>
              <w:bottom w:val="single" w:color="auto" w:sz="4" w:space="0"/>
              <w:right w:val="single" w:color="auto" w:sz="4" w:space="0"/>
            </w:tcBorders>
            <w:shd w:val="clear" w:color="auto" w:fill="auto"/>
            <w:vAlign w:val="center"/>
          </w:tcPr>
          <w:p>
            <w:pPr>
              <w:widowControl/>
              <w:jc w:val="righ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c>
          <w:tcPr>
            <w:tcW w:w="1220" w:type="dxa"/>
            <w:tcBorders>
              <w:top w:val="nil"/>
              <w:left w:val="nil"/>
              <w:bottom w:val="single" w:color="auto" w:sz="4" w:space="0"/>
              <w:right w:val="single" w:color="auto" w:sz="4" w:space="0"/>
            </w:tcBorders>
            <w:shd w:val="clear" w:color="auto" w:fill="auto"/>
            <w:vAlign w:val="center"/>
          </w:tcPr>
          <w:p>
            <w:pPr>
              <w:widowControl/>
              <w:jc w:val="righ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r>
      <w:tr>
        <w:tblPrEx>
          <w:tblLayout w:type="fixed"/>
          <w:tblCellMar>
            <w:top w:w="0" w:type="dxa"/>
            <w:left w:w="108" w:type="dxa"/>
            <w:bottom w:w="0" w:type="dxa"/>
            <w:right w:w="108" w:type="dxa"/>
          </w:tblCellMar>
        </w:tblPrEx>
        <w:trPr>
          <w:trHeight w:val="402" w:hRule="atLeast"/>
        </w:trPr>
        <w:tc>
          <w:tcPr>
            <w:tcW w:w="22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kern w:val="0"/>
                <w:sz w:val="24"/>
                <w:szCs w:val="24"/>
              </w:rPr>
            </w:pPr>
          </w:p>
        </w:tc>
        <w:tc>
          <w:tcPr>
            <w:tcW w:w="3560" w:type="dxa"/>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kern w:val="0"/>
                <w:sz w:val="24"/>
                <w:szCs w:val="24"/>
              </w:rPr>
            </w:pPr>
          </w:p>
        </w:tc>
        <w:tc>
          <w:tcPr>
            <w:tcW w:w="1020" w:type="dxa"/>
            <w:tcBorders>
              <w:top w:val="nil"/>
              <w:left w:val="nil"/>
              <w:bottom w:val="single" w:color="auto" w:sz="4" w:space="0"/>
              <w:right w:val="single" w:color="auto" w:sz="4" w:space="0"/>
            </w:tcBorders>
            <w:shd w:val="clear" w:color="auto" w:fill="auto"/>
            <w:vAlign w:val="center"/>
          </w:tcPr>
          <w:p>
            <w:pPr>
              <w:widowControl/>
              <w:jc w:val="righ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c>
          <w:tcPr>
            <w:tcW w:w="1060" w:type="dxa"/>
            <w:tcBorders>
              <w:top w:val="nil"/>
              <w:left w:val="nil"/>
              <w:bottom w:val="single" w:color="auto" w:sz="4" w:space="0"/>
              <w:right w:val="single" w:color="auto" w:sz="4" w:space="0"/>
            </w:tcBorders>
            <w:shd w:val="clear" w:color="auto" w:fill="auto"/>
            <w:vAlign w:val="center"/>
          </w:tcPr>
          <w:p>
            <w:pPr>
              <w:widowControl/>
              <w:jc w:val="righ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c>
          <w:tcPr>
            <w:tcW w:w="980" w:type="dxa"/>
            <w:tcBorders>
              <w:top w:val="nil"/>
              <w:left w:val="nil"/>
              <w:bottom w:val="single" w:color="auto" w:sz="4" w:space="0"/>
              <w:right w:val="single" w:color="auto" w:sz="4" w:space="0"/>
            </w:tcBorders>
            <w:shd w:val="clear" w:color="auto" w:fill="auto"/>
            <w:vAlign w:val="center"/>
          </w:tcPr>
          <w:p>
            <w:pPr>
              <w:widowControl/>
              <w:jc w:val="righ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c>
          <w:tcPr>
            <w:tcW w:w="1220" w:type="dxa"/>
            <w:tcBorders>
              <w:top w:val="nil"/>
              <w:left w:val="nil"/>
              <w:bottom w:val="single" w:color="auto" w:sz="4" w:space="0"/>
              <w:right w:val="single" w:color="auto" w:sz="4" w:space="0"/>
            </w:tcBorders>
            <w:shd w:val="clear" w:color="auto" w:fill="auto"/>
            <w:vAlign w:val="center"/>
          </w:tcPr>
          <w:p>
            <w:pPr>
              <w:widowControl/>
              <w:jc w:val="righ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r>
      <w:tr>
        <w:tblPrEx>
          <w:tblLayout w:type="fixed"/>
          <w:tblCellMar>
            <w:top w:w="0" w:type="dxa"/>
            <w:left w:w="108" w:type="dxa"/>
            <w:bottom w:w="0" w:type="dxa"/>
            <w:right w:w="108" w:type="dxa"/>
          </w:tblCellMar>
        </w:tblPrEx>
        <w:trPr>
          <w:trHeight w:val="480" w:hRule="atLeast"/>
        </w:trPr>
        <w:tc>
          <w:tcPr>
            <w:tcW w:w="22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kern w:val="0"/>
                <w:sz w:val="24"/>
                <w:szCs w:val="24"/>
              </w:rPr>
            </w:pPr>
          </w:p>
        </w:tc>
        <w:tc>
          <w:tcPr>
            <w:tcW w:w="3560" w:type="dxa"/>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kern w:val="0"/>
                <w:sz w:val="24"/>
                <w:szCs w:val="24"/>
              </w:rPr>
            </w:pPr>
          </w:p>
        </w:tc>
        <w:tc>
          <w:tcPr>
            <w:tcW w:w="1020" w:type="dxa"/>
            <w:tcBorders>
              <w:top w:val="nil"/>
              <w:left w:val="nil"/>
              <w:bottom w:val="single" w:color="auto" w:sz="4" w:space="0"/>
              <w:right w:val="single" w:color="auto" w:sz="4" w:space="0"/>
            </w:tcBorders>
            <w:shd w:val="clear" w:color="auto" w:fill="auto"/>
            <w:vAlign w:val="center"/>
          </w:tcPr>
          <w:p>
            <w:pPr>
              <w:widowControl/>
              <w:jc w:val="righ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c>
          <w:tcPr>
            <w:tcW w:w="1060" w:type="dxa"/>
            <w:tcBorders>
              <w:top w:val="nil"/>
              <w:left w:val="nil"/>
              <w:bottom w:val="single" w:color="auto" w:sz="4" w:space="0"/>
              <w:right w:val="single" w:color="auto" w:sz="4" w:space="0"/>
            </w:tcBorders>
            <w:shd w:val="clear" w:color="auto" w:fill="auto"/>
            <w:vAlign w:val="center"/>
          </w:tcPr>
          <w:p>
            <w:pPr>
              <w:widowControl/>
              <w:jc w:val="righ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c>
          <w:tcPr>
            <w:tcW w:w="980" w:type="dxa"/>
            <w:tcBorders>
              <w:top w:val="nil"/>
              <w:left w:val="nil"/>
              <w:bottom w:val="single" w:color="auto" w:sz="4" w:space="0"/>
              <w:right w:val="single" w:color="auto" w:sz="4" w:space="0"/>
            </w:tcBorders>
            <w:shd w:val="clear" w:color="auto" w:fill="auto"/>
            <w:vAlign w:val="center"/>
          </w:tcPr>
          <w:p>
            <w:pPr>
              <w:widowControl/>
              <w:jc w:val="righ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c>
          <w:tcPr>
            <w:tcW w:w="1220" w:type="dxa"/>
            <w:tcBorders>
              <w:top w:val="nil"/>
              <w:left w:val="nil"/>
              <w:bottom w:val="single" w:color="auto" w:sz="4" w:space="0"/>
              <w:right w:val="single" w:color="auto" w:sz="4" w:space="0"/>
            </w:tcBorders>
            <w:shd w:val="clear" w:color="auto" w:fill="auto"/>
            <w:vAlign w:val="center"/>
          </w:tcPr>
          <w:p>
            <w:pPr>
              <w:widowControl/>
              <w:jc w:val="righ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r>
      <w:tr>
        <w:tblPrEx>
          <w:tblLayout w:type="fixed"/>
          <w:tblCellMar>
            <w:top w:w="0" w:type="dxa"/>
            <w:left w:w="108" w:type="dxa"/>
            <w:bottom w:w="0" w:type="dxa"/>
            <w:right w:w="108" w:type="dxa"/>
          </w:tblCellMar>
        </w:tblPrEx>
        <w:trPr>
          <w:trHeight w:val="480" w:hRule="atLeast"/>
        </w:trPr>
        <w:tc>
          <w:tcPr>
            <w:tcW w:w="22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kern w:val="0"/>
                <w:sz w:val="24"/>
                <w:szCs w:val="24"/>
              </w:rPr>
            </w:pPr>
          </w:p>
        </w:tc>
        <w:tc>
          <w:tcPr>
            <w:tcW w:w="3560" w:type="dxa"/>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kern w:val="0"/>
                <w:sz w:val="24"/>
                <w:szCs w:val="24"/>
              </w:rPr>
            </w:pPr>
          </w:p>
        </w:tc>
        <w:tc>
          <w:tcPr>
            <w:tcW w:w="1020" w:type="dxa"/>
            <w:tcBorders>
              <w:top w:val="nil"/>
              <w:left w:val="nil"/>
              <w:bottom w:val="single" w:color="auto" w:sz="4" w:space="0"/>
              <w:right w:val="single" w:color="auto" w:sz="4" w:space="0"/>
            </w:tcBorders>
            <w:shd w:val="clear" w:color="auto" w:fill="auto"/>
            <w:vAlign w:val="center"/>
          </w:tcPr>
          <w:p>
            <w:pPr>
              <w:widowControl/>
              <w:jc w:val="righ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c>
          <w:tcPr>
            <w:tcW w:w="1060" w:type="dxa"/>
            <w:tcBorders>
              <w:top w:val="nil"/>
              <w:left w:val="nil"/>
              <w:bottom w:val="single" w:color="auto" w:sz="4" w:space="0"/>
              <w:right w:val="single" w:color="auto" w:sz="4" w:space="0"/>
            </w:tcBorders>
            <w:shd w:val="clear" w:color="auto" w:fill="auto"/>
            <w:vAlign w:val="center"/>
          </w:tcPr>
          <w:p>
            <w:pPr>
              <w:widowControl/>
              <w:jc w:val="righ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c>
          <w:tcPr>
            <w:tcW w:w="980" w:type="dxa"/>
            <w:tcBorders>
              <w:top w:val="nil"/>
              <w:left w:val="nil"/>
              <w:bottom w:val="single" w:color="auto" w:sz="4" w:space="0"/>
              <w:right w:val="single" w:color="auto" w:sz="4" w:space="0"/>
            </w:tcBorders>
            <w:shd w:val="clear" w:color="auto" w:fill="auto"/>
            <w:vAlign w:val="center"/>
          </w:tcPr>
          <w:p>
            <w:pPr>
              <w:widowControl/>
              <w:jc w:val="righ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c>
          <w:tcPr>
            <w:tcW w:w="1220" w:type="dxa"/>
            <w:tcBorders>
              <w:top w:val="nil"/>
              <w:left w:val="nil"/>
              <w:bottom w:val="single" w:color="auto" w:sz="4" w:space="0"/>
              <w:right w:val="single" w:color="auto" w:sz="4" w:space="0"/>
            </w:tcBorders>
            <w:shd w:val="clear" w:color="auto" w:fill="auto"/>
            <w:vAlign w:val="center"/>
          </w:tcPr>
          <w:p>
            <w:pPr>
              <w:widowControl/>
              <w:jc w:val="righ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r>
      <w:tr>
        <w:tblPrEx>
          <w:tblLayout w:type="fixed"/>
          <w:tblCellMar>
            <w:top w:w="0" w:type="dxa"/>
            <w:left w:w="108" w:type="dxa"/>
            <w:bottom w:w="0" w:type="dxa"/>
            <w:right w:w="108" w:type="dxa"/>
          </w:tblCellMar>
        </w:tblPrEx>
        <w:trPr>
          <w:trHeight w:val="402" w:hRule="atLeast"/>
        </w:trPr>
        <w:tc>
          <w:tcPr>
            <w:tcW w:w="22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kern w:val="0"/>
                <w:sz w:val="24"/>
                <w:szCs w:val="24"/>
              </w:rPr>
            </w:pPr>
          </w:p>
        </w:tc>
        <w:tc>
          <w:tcPr>
            <w:tcW w:w="3560" w:type="dxa"/>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kern w:val="0"/>
                <w:sz w:val="24"/>
                <w:szCs w:val="24"/>
              </w:rPr>
            </w:pPr>
          </w:p>
        </w:tc>
        <w:tc>
          <w:tcPr>
            <w:tcW w:w="1020" w:type="dxa"/>
            <w:tcBorders>
              <w:top w:val="nil"/>
              <w:left w:val="nil"/>
              <w:bottom w:val="single" w:color="auto" w:sz="4" w:space="0"/>
              <w:right w:val="single" w:color="auto" w:sz="4" w:space="0"/>
            </w:tcBorders>
            <w:shd w:val="clear" w:color="auto" w:fill="auto"/>
            <w:vAlign w:val="center"/>
          </w:tcPr>
          <w:p>
            <w:pPr>
              <w:widowControl/>
              <w:jc w:val="righ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c>
          <w:tcPr>
            <w:tcW w:w="1060" w:type="dxa"/>
            <w:tcBorders>
              <w:top w:val="nil"/>
              <w:left w:val="nil"/>
              <w:bottom w:val="single" w:color="auto" w:sz="4" w:space="0"/>
              <w:right w:val="single" w:color="auto" w:sz="4" w:space="0"/>
            </w:tcBorders>
            <w:shd w:val="clear" w:color="auto" w:fill="auto"/>
            <w:vAlign w:val="center"/>
          </w:tcPr>
          <w:p>
            <w:pPr>
              <w:widowControl/>
              <w:jc w:val="righ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c>
          <w:tcPr>
            <w:tcW w:w="980" w:type="dxa"/>
            <w:tcBorders>
              <w:top w:val="nil"/>
              <w:left w:val="nil"/>
              <w:bottom w:val="single" w:color="auto" w:sz="4" w:space="0"/>
              <w:right w:val="single" w:color="auto" w:sz="4" w:space="0"/>
            </w:tcBorders>
            <w:shd w:val="clear" w:color="auto" w:fill="auto"/>
            <w:vAlign w:val="center"/>
          </w:tcPr>
          <w:p>
            <w:pPr>
              <w:widowControl/>
              <w:jc w:val="righ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c>
          <w:tcPr>
            <w:tcW w:w="1220" w:type="dxa"/>
            <w:tcBorders>
              <w:top w:val="nil"/>
              <w:left w:val="nil"/>
              <w:bottom w:val="single" w:color="auto" w:sz="4" w:space="0"/>
              <w:right w:val="single" w:color="auto" w:sz="4" w:space="0"/>
            </w:tcBorders>
            <w:shd w:val="clear" w:color="auto" w:fill="auto"/>
            <w:vAlign w:val="center"/>
          </w:tcPr>
          <w:p>
            <w:pPr>
              <w:widowControl/>
              <w:jc w:val="righ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r>
      <w:tr>
        <w:tblPrEx>
          <w:tblLayout w:type="fixed"/>
          <w:tblCellMar>
            <w:top w:w="0" w:type="dxa"/>
            <w:left w:w="108" w:type="dxa"/>
            <w:bottom w:w="0" w:type="dxa"/>
            <w:right w:w="108" w:type="dxa"/>
          </w:tblCellMar>
        </w:tblPrEx>
        <w:trPr>
          <w:trHeight w:val="480" w:hRule="atLeast"/>
        </w:trPr>
        <w:tc>
          <w:tcPr>
            <w:tcW w:w="22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w:t>
            </w:r>
          </w:p>
        </w:tc>
        <w:tc>
          <w:tcPr>
            <w:tcW w:w="3560" w:type="dxa"/>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w:t>
            </w:r>
          </w:p>
        </w:tc>
        <w:tc>
          <w:tcPr>
            <w:tcW w:w="1020" w:type="dxa"/>
            <w:tcBorders>
              <w:top w:val="nil"/>
              <w:left w:val="nil"/>
              <w:bottom w:val="single" w:color="auto" w:sz="4" w:space="0"/>
              <w:right w:val="single" w:color="auto" w:sz="4" w:space="0"/>
            </w:tcBorders>
            <w:shd w:val="clear" w:color="auto" w:fill="auto"/>
            <w:vAlign w:val="center"/>
          </w:tcPr>
          <w:p>
            <w:pPr>
              <w:widowControl/>
              <w:jc w:val="righ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c>
          <w:tcPr>
            <w:tcW w:w="1060" w:type="dxa"/>
            <w:tcBorders>
              <w:top w:val="nil"/>
              <w:left w:val="nil"/>
              <w:bottom w:val="single" w:color="auto" w:sz="4" w:space="0"/>
              <w:right w:val="single" w:color="auto" w:sz="4" w:space="0"/>
            </w:tcBorders>
            <w:shd w:val="clear" w:color="auto" w:fill="auto"/>
            <w:vAlign w:val="center"/>
          </w:tcPr>
          <w:p>
            <w:pPr>
              <w:widowControl/>
              <w:jc w:val="righ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c>
          <w:tcPr>
            <w:tcW w:w="980" w:type="dxa"/>
            <w:tcBorders>
              <w:top w:val="nil"/>
              <w:left w:val="nil"/>
              <w:bottom w:val="single" w:color="auto" w:sz="4" w:space="0"/>
              <w:right w:val="single" w:color="auto" w:sz="4" w:space="0"/>
            </w:tcBorders>
            <w:shd w:val="clear" w:color="auto" w:fill="auto"/>
            <w:vAlign w:val="center"/>
          </w:tcPr>
          <w:p>
            <w:pPr>
              <w:widowControl/>
              <w:jc w:val="righ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c>
          <w:tcPr>
            <w:tcW w:w="1220" w:type="dxa"/>
            <w:tcBorders>
              <w:top w:val="nil"/>
              <w:left w:val="nil"/>
              <w:bottom w:val="single" w:color="auto" w:sz="4" w:space="0"/>
              <w:right w:val="single" w:color="auto" w:sz="4" w:space="0"/>
            </w:tcBorders>
            <w:shd w:val="clear" w:color="auto" w:fill="auto"/>
            <w:vAlign w:val="center"/>
          </w:tcPr>
          <w:p>
            <w:pPr>
              <w:widowControl/>
              <w:jc w:val="righ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r>
      <w:tr>
        <w:tblPrEx>
          <w:tblLayout w:type="fixed"/>
          <w:tblCellMar>
            <w:top w:w="0" w:type="dxa"/>
            <w:left w:w="108" w:type="dxa"/>
            <w:bottom w:w="0" w:type="dxa"/>
            <w:right w:w="108" w:type="dxa"/>
          </w:tblCellMar>
        </w:tblPrEx>
        <w:trPr>
          <w:trHeight w:val="402" w:hRule="atLeast"/>
        </w:trPr>
        <w:tc>
          <w:tcPr>
            <w:tcW w:w="22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w:t>
            </w:r>
          </w:p>
        </w:tc>
        <w:tc>
          <w:tcPr>
            <w:tcW w:w="3560" w:type="dxa"/>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w:t>
            </w:r>
          </w:p>
        </w:tc>
        <w:tc>
          <w:tcPr>
            <w:tcW w:w="1020" w:type="dxa"/>
            <w:tcBorders>
              <w:top w:val="nil"/>
              <w:left w:val="nil"/>
              <w:bottom w:val="single" w:color="auto" w:sz="4" w:space="0"/>
              <w:right w:val="single" w:color="auto" w:sz="4" w:space="0"/>
            </w:tcBorders>
            <w:shd w:val="clear" w:color="auto" w:fill="auto"/>
            <w:vAlign w:val="center"/>
          </w:tcPr>
          <w:p>
            <w:pPr>
              <w:widowControl/>
              <w:jc w:val="righ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c>
          <w:tcPr>
            <w:tcW w:w="1060" w:type="dxa"/>
            <w:tcBorders>
              <w:top w:val="nil"/>
              <w:left w:val="nil"/>
              <w:bottom w:val="single" w:color="auto" w:sz="4" w:space="0"/>
              <w:right w:val="single" w:color="auto" w:sz="4" w:space="0"/>
            </w:tcBorders>
            <w:shd w:val="clear" w:color="auto" w:fill="auto"/>
            <w:vAlign w:val="center"/>
          </w:tcPr>
          <w:p>
            <w:pPr>
              <w:widowControl/>
              <w:jc w:val="righ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c>
          <w:tcPr>
            <w:tcW w:w="980" w:type="dxa"/>
            <w:tcBorders>
              <w:top w:val="nil"/>
              <w:left w:val="nil"/>
              <w:bottom w:val="single" w:color="auto" w:sz="4" w:space="0"/>
              <w:right w:val="single" w:color="auto" w:sz="4" w:space="0"/>
            </w:tcBorders>
            <w:shd w:val="clear" w:color="auto" w:fill="auto"/>
            <w:vAlign w:val="center"/>
          </w:tcPr>
          <w:p>
            <w:pPr>
              <w:widowControl/>
              <w:jc w:val="righ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c>
          <w:tcPr>
            <w:tcW w:w="1220" w:type="dxa"/>
            <w:tcBorders>
              <w:top w:val="nil"/>
              <w:left w:val="nil"/>
              <w:bottom w:val="single" w:color="auto" w:sz="4" w:space="0"/>
              <w:right w:val="single" w:color="auto" w:sz="4" w:space="0"/>
            </w:tcBorders>
            <w:shd w:val="clear" w:color="auto" w:fill="auto"/>
            <w:vAlign w:val="center"/>
          </w:tcPr>
          <w:p>
            <w:pPr>
              <w:widowControl/>
              <w:jc w:val="righ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r>
      <w:tr>
        <w:tblPrEx>
          <w:tblLayout w:type="fixed"/>
          <w:tblCellMar>
            <w:top w:w="0" w:type="dxa"/>
            <w:left w:w="108" w:type="dxa"/>
            <w:bottom w:w="0" w:type="dxa"/>
            <w:right w:w="108" w:type="dxa"/>
          </w:tblCellMar>
        </w:tblPrEx>
        <w:trPr>
          <w:trHeight w:val="480" w:hRule="atLeast"/>
        </w:trPr>
        <w:tc>
          <w:tcPr>
            <w:tcW w:w="22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w:t>
            </w:r>
          </w:p>
        </w:tc>
        <w:tc>
          <w:tcPr>
            <w:tcW w:w="3560" w:type="dxa"/>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w:t>
            </w:r>
          </w:p>
        </w:tc>
        <w:tc>
          <w:tcPr>
            <w:tcW w:w="1020" w:type="dxa"/>
            <w:tcBorders>
              <w:top w:val="nil"/>
              <w:left w:val="nil"/>
              <w:bottom w:val="single" w:color="auto" w:sz="4" w:space="0"/>
              <w:right w:val="single" w:color="auto" w:sz="4" w:space="0"/>
            </w:tcBorders>
            <w:shd w:val="clear" w:color="auto" w:fill="auto"/>
            <w:vAlign w:val="center"/>
          </w:tcPr>
          <w:p>
            <w:pPr>
              <w:widowControl/>
              <w:jc w:val="righ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c>
          <w:tcPr>
            <w:tcW w:w="1060" w:type="dxa"/>
            <w:tcBorders>
              <w:top w:val="nil"/>
              <w:left w:val="nil"/>
              <w:bottom w:val="single" w:color="auto" w:sz="4" w:space="0"/>
              <w:right w:val="single" w:color="auto" w:sz="4" w:space="0"/>
            </w:tcBorders>
            <w:shd w:val="clear" w:color="auto" w:fill="auto"/>
            <w:vAlign w:val="center"/>
          </w:tcPr>
          <w:p>
            <w:pPr>
              <w:widowControl/>
              <w:jc w:val="righ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c>
          <w:tcPr>
            <w:tcW w:w="980" w:type="dxa"/>
            <w:tcBorders>
              <w:top w:val="nil"/>
              <w:left w:val="nil"/>
              <w:bottom w:val="single" w:color="auto" w:sz="4" w:space="0"/>
              <w:right w:val="single" w:color="auto" w:sz="4" w:space="0"/>
            </w:tcBorders>
            <w:shd w:val="clear" w:color="auto" w:fill="auto"/>
            <w:vAlign w:val="center"/>
          </w:tcPr>
          <w:p>
            <w:pPr>
              <w:widowControl/>
              <w:jc w:val="righ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c>
          <w:tcPr>
            <w:tcW w:w="1220" w:type="dxa"/>
            <w:tcBorders>
              <w:top w:val="nil"/>
              <w:left w:val="nil"/>
              <w:bottom w:val="single" w:color="auto" w:sz="4" w:space="0"/>
              <w:right w:val="single" w:color="auto" w:sz="4" w:space="0"/>
            </w:tcBorders>
            <w:shd w:val="clear" w:color="auto" w:fill="auto"/>
            <w:vAlign w:val="center"/>
          </w:tcPr>
          <w:p>
            <w:pPr>
              <w:widowControl/>
              <w:jc w:val="righ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r>
    </w:tbl>
    <w:p>
      <w:pPr>
        <w:spacing w:line="580" w:lineRule="exact"/>
        <w:rPr>
          <w:rFonts w:hint="eastAsia" w:ascii="黑体" w:hAnsi="黑体" w:eastAsia="黑体" w:cs="黑体"/>
          <w:spacing w:val="15"/>
          <w:sz w:val="32"/>
          <w:szCs w:val="32"/>
        </w:rPr>
      </w:pPr>
    </w:p>
    <w:p>
      <w:pPr>
        <w:spacing w:line="580" w:lineRule="exact"/>
        <w:rPr>
          <w:rFonts w:hint="eastAsia" w:ascii="黑体" w:hAnsi="黑体" w:eastAsia="黑体" w:cs="黑体"/>
          <w:spacing w:val="15"/>
          <w:sz w:val="32"/>
          <w:szCs w:val="32"/>
        </w:rPr>
      </w:pPr>
    </w:p>
    <w:p>
      <w:pPr>
        <w:spacing w:line="580" w:lineRule="exact"/>
        <w:rPr>
          <w:rFonts w:hint="eastAsia" w:ascii="黑体" w:hAnsi="黑体" w:eastAsia="黑体" w:cs="黑体"/>
          <w:spacing w:val="15"/>
          <w:sz w:val="32"/>
          <w:szCs w:val="32"/>
        </w:rPr>
      </w:pPr>
    </w:p>
    <w:p>
      <w:pPr>
        <w:spacing w:line="580" w:lineRule="exact"/>
        <w:rPr>
          <w:rFonts w:hint="eastAsia" w:ascii="黑体" w:hAnsi="黑体" w:eastAsia="黑体" w:cs="黑体"/>
          <w:spacing w:val="15"/>
          <w:sz w:val="32"/>
          <w:szCs w:val="32"/>
        </w:rPr>
      </w:pPr>
    </w:p>
    <w:p>
      <w:pPr>
        <w:spacing w:line="580" w:lineRule="exact"/>
        <w:rPr>
          <w:rFonts w:hint="eastAsia" w:ascii="黑体" w:hAnsi="黑体" w:eastAsia="黑体" w:cs="黑体"/>
          <w:spacing w:val="15"/>
          <w:sz w:val="32"/>
          <w:szCs w:val="32"/>
        </w:rPr>
      </w:pPr>
    </w:p>
    <w:p>
      <w:pPr>
        <w:spacing w:line="580" w:lineRule="exact"/>
        <w:rPr>
          <w:rFonts w:hint="eastAsia" w:ascii="黑体" w:hAnsi="黑体" w:eastAsia="黑体" w:cs="黑体"/>
          <w:spacing w:val="15"/>
          <w:sz w:val="32"/>
          <w:szCs w:val="32"/>
        </w:rPr>
      </w:pPr>
    </w:p>
    <w:p>
      <w:pPr>
        <w:spacing w:line="580" w:lineRule="exact"/>
        <w:rPr>
          <w:rFonts w:hint="eastAsia" w:ascii="黑体" w:hAnsi="黑体" w:eastAsia="黑体" w:cs="黑体"/>
          <w:spacing w:val="15"/>
          <w:sz w:val="32"/>
          <w:szCs w:val="32"/>
        </w:rPr>
      </w:pPr>
    </w:p>
    <w:p>
      <w:pPr>
        <w:spacing w:line="580" w:lineRule="exact"/>
        <w:rPr>
          <w:rFonts w:hint="eastAsia" w:ascii="黑体" w:hAnsi="黑体" w:eastAsia="黑体" w:cs="黑体"/>
          <w:spacing w:val="15"/>
          <w:sz w:val="32"/>
          <w:szCs w:val="32"/>
        </w:rPr>
      </w:pPr>
    </w:p>
    <w:p>
      <w:pPr>
        <w:spacing w:line="580" w:lineRule="exact"/>
        <w:rPr>
          <w:rFonts w:hint="eastAsia" w:ascii="黑体" w:hAnsi="黑体" w:eastAsia="黑体" w:cs="黑体"/>
          <w:spacing w:val="15"/>
          <w:sz w:val="32"/>
          <w:szCs w:val="32"/>
        </w:rPr>
      </w:pPr>
    </w:p>
    <w:p>
      <w:pPr>
        <w:spacing w:line="580" w:lineRule="exact"/>
        <w:rPr>
          <w:rFonts w:hint="eastAsia" w:ascii="黑体" w:hAnsi="黑体" w:eastAsia="黑体" w:cs="黑体"/>
          <w:spacing w:val="15"/>
          <w:sz w:val="32"/>
          <w:szCs w:val="32"/>
        </w:rPr>
      </w:pPr>
    </w:p>
    <w:tbl>
      <w:tblPr>
        <w:tblStyle w:val="8"/>
        <w:tblW w:w="9060" w:type="dxa"/>
        <w:tblInd w:w="91" w:type="dxa"/>
        <w:tblLayout w:type="fixed"/>
        <w:tblCellMar>
          <w:top w:w="0" w:type="dxa"/>
          <w:left w:w="108" w:type="dxa"/>
          <w:bottom w:w="0" w:type="dxa"/>
          <w:right w:w="108" w:type="dxa"/>
        </w:tblCellMar>
      </w:tblPr>
      <w:tblGrid>
        <w:gridCol w:w="2230"/>
        <w:gridCol w:w="5045"/>
        <w:gridCol w:w="1785"/>
      </w:tblGrid>
      <w:tr>
        <w:tblPrEx>
          <w:tblLayout w:type="fixed"/>
          <w:tblCellMar>
            <w:top w:w="0" w:type="dxa"/>
            <w:left w:w="108" w:type="dxa"/>
            <w:bottom w:w="0" w:type="dxa"/>
            <w:right w:w="108" w:type="dxa"/>
          </w:tblCellMar>
        </w:tblPrEx>
        <w:trPr>
          <w:trHeight w:val="480" w:hRule="atLeast"/>
        </w:trPr>
        <w:tc>
          <w:tcPr>
            <w:tcW w:w="9060" w:type="dxa"/>
            <w:gridSpan w:val="3"/>
            <w:tcBorders>
              <w:top w:val="nil"/>
              <w:left w:val="nil"/>
              <w:bottom w:val="nil"/>
              <w:right w:val="nil"/>
            </w:tcBorders>
            <w:shd w:val="clear" w:color="auto" w:fill="auto"/>
            <w:vAlign w:val="center"/>
          </w:tcPr>
          <w:p>
            <w:pPr>
              <w:widowControl/>
              <w:rPr>
                <w:rFonts w:hint="eastAsia" w:ascii="方正小标宋简体" w:hAnsi="宋体" w:eastAsia="方正小标宋简体" w:cs="宋体"/>
                <w:kern w:val="0"/>
                <w:szCs w:val="21"/>
              </w:rPr>
            </w:pPr>
            <w:r>
              <w:rPr>
                <w:rFonts w:hint="eastAsia" w:asciiTheme="minorEastAsia" w:hAnsiTheme="minorEastAsia" w:eastAsiaTheme="minorEastAsia" w:cstheme="minorEastAsia"/>
                <w:kern w:val="0"/>
                <w:sz w:val="32"/>
                <w:szCs w:val="32"/>
              </w:rPr>
              <w:t>表5</w:t>
            </w:r>
            <w:r>
              <w:rPr>
                <w:rFonts w:hint="eastAsia" w:ascii="方正小标宋简体" w:hAnsi="宋体" w:eastAsia="方正小标宋简体" w:cs="宋体"/>
                <w:kern w:val="0"/>
                <w:sz w:val="40"/>
                <w:szCs w:val="40"/>
              </w:rPr>
              <w:t xml:space="preserve">  </w:t>
            </w:r>
            <w:r>
              <w:rPr>
                <w:rFonts w:hint="eastAsia" w:ascii="方正小标宋简体" w:hAnsi="宋体" w:eastAsia="方正小标宋简体" w:cs="宋体"/>
                <w:kern w:val="0"/>
                <w:szCs w:val="21"/>
              </w:rPr>
              <w:t xml:space="preserve">  </w:t>
            </w:r>
          </w:p>
          <w:p>
            <w:pPr>
              <w:widowControl/>
              <w:jc w:val="center"/>
              <w:rPr>
                <w:rFonts w:ascii="方正小标宋简体" w:hAnsi="宋体" w:eastAsia="方正小标宋简体" w:cs="宋体"/>
                <w:kern w:val="0"/>
                <w:sz w:val="40"/>
                <w:szCs w:val="40"/>
              </w:rPr>
            </w:pPr>
            <w:r>
              <w:rPr>
                <w:rFonts w:hint="eastAsia" w:ascii="方正小标宋简体" w:hAnsi="宋体" w:eastAsia="方正小标宋简体" w:cs="宋体"/>
                <w:kern w:val="0"/>
                <w:sz w:val="40"/>
                <w:szCs w:val="40"/>
              </w:rPr>
              <w:t>2018年市级部门一般公共预算基本支出表</w:t>
            </w:r>
          </w:p>
        </w:tc>
      </w:tr>
      <w:tr>
        <w:tblPrEx>
          <w:tblLayout w:type="fixed"/>
          <w:tblCellMar>
            <w:top w:w="0" w:type="dxa"/>
            <w:left w:w="108" w:type="dxa"/>
            <w:bottom w:w="0" w:type="dxa"/>
            <w:right w:w="108" w:type="dxa"/>
          </w:tblCellMar>
        </w:tblPrEx>
        <w:trPr>
          <w:trHeight w:val="402" w:hRule="atLeast"/>
        </w:trPr>
        <w:tc>
          <w:tcPr>
            <w:tcW w:w="2230" w:type="dxa"/>
            <w:tcBorders>
              <w:top w:val="nil"/>
              <w:left w:val="nil"/>
              <w:bottom w:val="single" w:color="auto" w:sz="4" w:space="0"/>
              <w:right w:val="nil"/>
            </w:tcBorders>
            <w:shd w:val="clear" w:color="auto" w:fill="auto"/>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部门名称：</w:t>
            </w:r>
            <w:r>
              <w:rPr>
                <w:rFonts w:hint="eastAsia" w:asciiTheme="minorEastAsia" w:hAnsiTheme="minorEastAsia" w:eastAsiaTheme="minorEastAsia" w:cstheme="minorEastAsia"/>
                <w:kern w:val="0"/>
                <w:sz w:val="24"/>
                <w:szCs w:val="24"/>
                <w:lang w:eastAsia="zh-CN"/>
              </w:rPr>
              <w:t>温州市商务局</w:t>
            </w:r>
          </w:p>
        </w:tc>
        <w:tc>
          <w:tcPr>
            <w:tcW w:w="5045" w:type="dxa"/>
            <w:tcBorders>
              <w:top w:val="nil"/>
              <w:left w:val="nil"/>
              <w:bottom w:val="nil"/>
              <w:right w:val="nil"/>
            </w:tcBorders>
            <w:shd w:val="clear" w:color="auto" w:fill="auto"/>
            <w:vAlign w:val="center"/>
          </w:tcPr>
          <w:p>
            <w:pPr>
              <w:widowControl/>
              <w:jc w:val="left"/>
              <w:rPr>
                <w:rFonts w:hint="eastAsia" w:asciiTheme="minorEastAsia" w:hAnsiTheme="minorEastAsia" w:eastAsiaTheme="minorEastAsia" w:cstheme="minorEastAsia"/>
                <w:kern w:val="0"/>
                <w:sz w:val="24"/>
                <w:szCs w:val="24"/>
              </w:rPr>
            </w:pPr>
          </w:p>
        </w:tc>
        <w:tc>
          <w:tcPr>
            <w:tcW w:w="1785" w:type="dxa"/>
            <w:tcBorders>
              <w:top w:val="nil"/>
              <w:left w:val="nil"/>
              <w:bottom w:val="nil"/>
              <w:right w:val="nil"/>
            </w:tcBorders>
            <w:shd w:val="clear" w:color="auto" w:fill="auto"/>
            <w:vAlign w:val="center"/>
          </w:tcPr>
          <w:p>
            <w:pPr>
              <w:widowControl/>
              <w:jc w:val="righ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单位：万元</w:t>
            </w:r>
          </w:p>
        </w:tc>
      </w:tr>
      <w:tr>
        <w:tblPrEx>
          <w:tblLayout w:type="fixed"/>
          <w:tblCellMar>
            <w:top w:w="0" w:type="dxa"/>
            <w:left w:w="108" w:type="dxa"/>
            <w:bottom w:w="0" w:type="dxa"/>
            <w:right w:w="108" w:type="dxa"/>
          </w:tblCellMar>
        </w:tblPrEx>
        <w:trPr>
          <w:trHeight w:val="402" w:hRule="atLeast"/>
        </w:trPr>
        <w:tc>
          <w:tcPr>
            <w:tcW w:w="72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经济分类科目</w:t>
            </w:r>
          </w:p>
        </w:tc>
        <w:tc>
          <w:tcPr>
            <w:tcW w:w="178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金额</w:t>
            </w:r>
          </w:p>
        </w:tc>
      </w:tr>
      <w:tr>
        <w:tblPrEx>
          <w:tblLayout w:type="fixed"/>
          <w:tblCellMar>
            <w:top w:w="0" w:type="dxa"/>
            <w:left w:w="108" w:type="dxa"/>
            <w:bottom w:w="0" w:type="dxa"/>
            <w:right w:w="108" w:type="dxa"/>
          </w:tblCellMar>
        </w:tblPrEx>
        <w:trPr>
          <w:trHeight w:val="840" w:hRule="atLeast"/>
        </w:trPr>
        <w:tc>
          <w:tcPr>
            <w:tcW w:w="223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科目编码</w:t>
            </w:r>
          </w:p>
        </w:tc>
        <w:tc>
          <w:tcPr>
            <w:tcW w:w="5045"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科目名称</w:t>
            </w:r>
          </w:p>
        </w:tc>
        <w:tc>
          <w:tcPr>
            <w:tcW w:w="17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4"/>
                <w:szCs w:val="24"/>
              </w:rPr>
            </w:pPr>
          </w:p>
        </w:tc>
      </w:tr>
      <w:tr>
        <w:tblPrEx>
          <w:tblLayout w:type="fixed"/>
          <w:tblCellMar>
            <w:top w:w="0" w:type="dxa"/>
            <w:left w:w="108" w:type="dxa"/>
            <w:bottom w:w="0" w:type="dxa"/>
            <w:right w:w="108" w:type="dxa"/>
          </w:tblCellMar>
        </w:tblPrEx>
        <w:trPr>
          <w:trHeight w:val="454" w:hRule="atLeast"/>
        </w:trPr>
        <w:tc>
          <w:tcPr>
            <w:tcW w:w="223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18"/>
                <w:szCs w:val="18"/>
              </w:rPr>
            </w:pPr>
            <w:bookmarkStart w:id="0" w:name="_GoBack" w:colFirst="0" w:colLast="2"/>
            <w:r>
              <w:rPr>
                <w:rFonts w:hint="eastAsia" w:asciiTheme="minorEastAsia" w:hAnsiTheme="minorEastAsia" w:eastAsiaTheme="minorEastAsia" w:cstheme="minorEastAsia"/>
                <w:i w:val="0"/>
                <w:color w:val="000000"/>
                <w:kern w:val="0"/>
                <w:sz w:val="18"/>
                <w:szCs w:val="18"/>
                <w:u w:val="none"/>
                <w:lang w:val="en-US" w:eastAsia="zh-CN" w:bidi="ar"/>
              </w:rPr>
              <w:t>301</w:t>
            </w:r>
          </w:p>
        </w:tc>
        <w:tc>
          <w:tcPr>
            <w:tcW w:w="504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工资福利支出</w:t>
            </w:r>
          </w:p>
        </w:tc>
        <w:tc>
          <w:tcPr>
            <w:tcW w:w="17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1,732.59 </w:t>
            </w:r>
          </w:p>
        </w:tc>
      </w:tr>
      <w:tr>
        <w:tblPrEx>
          <w:tblLayout w:type="fixed"/>
          <w:tblCellMar>
            <w:top w:w="0" w:type="dxa"/>
            <w:left w:w="108" w:type="dxa"/>
            <w:bottom w:w="0" w:type="dxa"/>
            <w:right w:w="108" w:type="dxa"/>
          </w:tblCellMar>
        </w:tblPrEx>
        <w:trPr>
          <w:trHeight w:val="454" w:hRule="atLeast"/>
        </w:trPr>
        <w:tc>
          <w:tcPr>
            <w:tcW w:w="223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  30101</w:t>
            </w:r>
          </w:p>
        </w:tc>
        <w:tc>
          <w:tcPr>
            <w:tcW w:w="504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  基本工资</w:t>
            </w:r>
          </w:p>
        </w:tc>
        <w:tc>
          <w:tcPr>
            <w:tcW w:w="17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285.04 </w:t>
            </w:r>
          </w:p>
        </w:tc>
      </w:tr>
      <w:tr>
        <w:tblPrEx>
          <w:tblLayout w:type="fixed"/>
          <w:tblCellMar>
            <w:top w:w="0" w:type="dxa"/>
            <w:left w:w="108" w:type="dxa"/>
            <w:bottom w:w="0" w:type="dxa"/>
            <w:right w:w="108" w:type="dxa"/>
          </w:tblCellMar>
        </w:tblPrEx>
        <w:trPr>
          <w:trHeight w:val="454" w:hRule="atLeast"/>
        </w:trPr>
        <w:tc>
          <w:tcPr>
            <w:tcW w:w="223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  30102</w:t>
            </w:r>
          </w:p>
        </w:tc>
        <w:tc>
          <w:tcPr>
            <w:tcW w:w="504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  津贴补贴</w:t>
            </w:r>
          </w:p>
        </w:tc>
        <w:tc>
          <w:tcPr>
            <w:tcW w:w="17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978.03 </w:t>
            </w:r>
          </w:p>
        </w:tc>
      </w:tr>
      <w:tr>
        <w:tblPrEx>
          <w:tblLayout w:type="fixed"/>
          <w:tblCellMar>
            <w:top w:w="0" w:type="dxa"/>
            <w:left w:w="108" w:type="dxa"/>
            <w:bottom w:w="0" w:type="dxa"/>
            <w:right w:w="108" w:type="dxa"/>
          </w:tblCellMar>
        </w:tblPrEx>
        <w:trPr>
          <w:trHeight w:val="454" w:hRule="atLeast"/>
        </w:trPr>
        <w:tc>
          <w:tcPr>
            <w:tcW w:w="223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  30106</w:t>
            </w:r>
          </w:p>
        </w:tc>
        <w:tc>
          <w:tcPr>
            <w:tcW w:w="504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  伙食补助费</w:t>
            </w:r>
          </w:p>
        </w:tc>
        <w:tc>
          <w:tcPr>
            <w:tcW w:w="17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24.12 </w:t>
            </w:r>
          </w:p>
        </w:tc>
      </w:tr>
      <w:tr>
        <w:tblPrEx>
          <w:tblLayout w:type="fixed"/>
          <w:tblCellMar>
            <w:top w:w="0" w:type="dxa"/>
            <w:left w:w="108" w:type="dxa"/>
            <w:bottom w:w="0" w:type="dxa"/>
            <w:right w:w="108" w:type="dxa"/>
          </w:tblCellMar>
        </w:tblPrEx>
        <w:trPr>
          <w:trHeight w:val="454" w:hRule="atLeast"/>
        </w:trPr>
        <w:tc>
          <w:tcPr>
            <w:tcW w:w="223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  30108</w:t>
            </w:r>
          </w:p>
        </w:tc>
        <w:tc>
          <w:tcPr>
            <w:tcW w:w="504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  机关事业单位基本养老保险费</w:t>
            </w:r>
          </w:p>
        </w:tc>
        <w:tc>
          <w:tcPr>
            <w:tcW w:w="17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155.85 </w:t>
            </w:r>
          </w:p>
        </w:tc>
      </w:tr>
      <w:tr>
        <w:tblPrEx>
          <w:tblLayout w:type="fixed"/>
          <w:tblCellMar>
            <w:top w:w="0" w:type="dxa"/>
            <w:left w:w="108" w:type="dxa"/>
            <w:bottom w:w="0" w:type="dxa"/>
            <w:right w:w="108" w:type="dxa"/>
          </w:tblCellMar>
        </w:tblPrEx>
        <w:trPr>
          <w:trHeight w:val="454" w:hRule="atLeast"/>
        </w:trPr>
        <w:tc>
          <w:tcPr>
            <w:tcW w:w="223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  30109</w:t>
            </w:r>
          </w:p>
        </w:tc>
        <w:tc>
          <w:tcPr>
            <w:tcW w:w="504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  职业年金缴费</w:t>
            </w:r>
          </w:p>
        </w:tc>
        <w:tc>
          <w:tcPr>
            <w:tcW w:w="17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62.39 </w:t>
            </w:r>
          </w:p>
        </w:tc>
      </w:tr>
      <w:tr>
        <w:tblPrEx>
          <w:tblLayout w:type="fixed"/>
          <w:tblCellMar>
            <w:top w:w="0" w:type="dxa"/>
            <w:left w:w="108" w:type="dxa"/>
            <w:bottom w:w="0" w:type="dxa"/>
            <w:right w:w="108" w:type="dxa"/>
          </w:tblCellMar>
        </w:tblPrEx>
        <w:trPr>
          <w:trHeight w:val="454" w:hRule="atLeast"/>
        </w:trPr>
        <w:tc>
          <w:tcPr>
            <w:tcW w:w="223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  30111</w:t>
            </w:r>
          </w:p>
        </w:tc>
        <w:tc>
          <w:tcPr>
            <w:tcW w:w="504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  公务员医疗补助缴费</w:t>
            </w:r>
          </w:p>
        </w:tc>
        <w:tc>
          <w:tcPr>
            <w:tcW w:w="17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117.30 </w:t>
            </w:r>
          </w:p>
        </w:tc>
      </w:tr>
      <w:tr>
        <w:tblPrEx>
          <w:tblLayout w:type="fixed"/>
          <w:tblCellMar>
            <w:top w:w="0" w:type="dxa"/>
            <w:left w:w="108" w:type="dxa"/>
            <w:bottom w:w="0" w:type="dxa"/>
            <w:right w:w="108" w:type="dxa"/>
          </w:tblCellMar>
        </w:tblPrEx>
        <w:trPr>
          <w:trHeight w:val="454" w:hRule="atLeast"/>
        </w:trPr>
        <w:tc>
          <w:tcPr>
            <w:tcW w:w="223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  30112</w:t>
            </w:r>
          </w:p>
        </w:tc>
        <w:tc>
          <w:tcPr>
            <w:tcW w:w="504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  其他社会保障缴费</w:t>
            </w:r>
          </w:p>
        </w:tc>
        <w:tc>
          <w:tcPr>
            <w:tcW w:w="17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11.63 </w:t>
            </w:r>
          </w:p>
        </w:tc>
      </w:tr>
      <w:tr>
        <w:tblPrEx>
          <w:tblLayout w:type="fixed"/>
          <w:tblCellMar>
            <w:top w:w="0" w:type="dxa"/>
            <w:left w:w="108" w:type="dxa"/>
            <w:bottom w:w="0" w:type="dxa"/>
            <w:right w:w="108" w:type="dxa"/>
          </w:tblCellMar>
        </w:tblPrEx>
        <w:trPr>
          <w:trHeight w:val="454" w:hRule="atLeast"/>
        </w:trPr>
        <w:tc>
          <w:tcPr>
            <w:tcW w:w="223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  30113</w:t>
            </w:r>
          </w:p>
        </w:tc>
        <w:tc>
          <w:tcPr>
            <w:tcW w:w="504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  住房公积金</w:t>
            </w:r>
          </w:p>
        </w:tc>
        <w:tc>
          <w:tcPr>
            <w:tcW w:w="17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98.23 </w:t>
            </w:r>
          </w:p>
        </w:tc>
      </w:tr>
      <w:tr>
        <w:tblPrEx>
          <w:tblLayout w:type="fixed"/>
          <w:tblCellMar>
            <w:top w:w="0" w:type="dxa"/>
            <w:left w:w="108" w:type="dxa"/>
            <w:bottom w:w="0" w:type="dxa"/>
            <w:right w:w="108" w:type="dxa"/>
          </w:tblCellMar>
        </w:tblPrEx>
        <w:trPr>
          <w:trHeight w:val="454" w:hRule="atLeast"/>
        </w:trPr>
        <w:tc>
          <w:tcPr>
            <w:tcW w:w="223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302</w:t>
            </w:r>
          </w:p>
        </w:tc>
        <w:tc>
          <w:tcPr>
            <w:tcW w:w="504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商品和服务支出</w:t>
            </w:r>
          </w:p>
        </w:tc>
        <w:tc>
          <w:tcPr>
            <w:tcW w:w="17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263.37 </w:t>
            </w:r>
          </w:p>
        </w:tc>
      </w:tr>
      <w:tr>
        <w:tblPrEx>
          <w:tblLayout w:type="fixed"/>
          <w:tblCellMar>
            <w:top w:w="0" w:type="dxa"/>
            <w:left w:w="108" w:type="dxa"/>
            <w:bottom w:w="0" w:type="dxa"/>
            <w:right w:w="108" w:type="dxa"/>
          </w:tblCellMar>
        </w:tblPrEx>
        <w:trPr>
          <w:trHeight w:val="454" w:hRule="atLeast"/>
        </w:trPr>
        <w:tc>
          <w:tcPr>
            <w:tcW w:w="223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  30201</w:t>
            </w:r>
          </w:p>
        </w:tc>
        <w:tc>
          <w:tcPr>
            <w:tcW w:w="504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  办公费</w:t>
            </w:r>
          </w:p>
        </w:tc>
        <w:tc>
          <w:tcPr>
            <w:tcW w:w="17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3.43 </w:t>
            </w:r>
          </w:p>
        </w:tc>
      </w:tr>
      <w:tr>
        <w:tblPrEx>
          <w:tblLayout w:type="fixed"/>
          <w:tblCellMar>
            <w:top w:w="0" w:type="dxa"/>
            <w:left w:w="108" w:type="dxa"/>
            <w:bottom w:w="0" w:type="dxa"/>
            <w:right w:w="108" w:type="dxa"/>
          </w:tblCellMar>
        </w:tblPrEx>
        <w:trPr>
          <w:trHeight w:val="454" w:hRule="atLeast"/>
        </w:trPr>
        <w:tc>
          <w:tcPr>
            <w:tcW w:w="223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  30202</w:t>
            </w:r>
          </w:p>
        </w:tc>
        <w:tc>
          <w:tcPr>
            <w:tcW w:w="504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  印刷费</w:t>
            </w:r>
          </w:p>
        </w:tc>
        <w:tc>
          <w:tcPr>
            <w:tcW w:w="17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1.00 </w:t>
            </w:r>
          </w:p>
        </w:tc>
      </w:tr>
      <w:tr>
        <w:tblPrEx>
          <w:tblLayout w:type="fixed"/>
          <w:tblCellMar>
            <w:top w:w="0" w:type="dxa"/>
            <w:left w:w="108" w:type="dxa"/>
            <w:bottom w:w="0" w:type="dxa"/>
            <w:right w:w="108" w:type="dxa"/>
          </w:tblCellMar>
        </w:tblPrEx>
        <w:trPr>
          <w:trHeight w:val="454" w:hRule="atLeast"/>
        </w:trPr>
        <w:tc>
          <w:tcPr>
            <w:tcW w:w="223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  30204</w:t>
            </w:r>
          </w:p>
        </w:tc>
        <w:tc>
          <w:tcPr>
            <w:tcW w:w="504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  手续费</w:t>
            </w:r>
          </w:p>
        </w:tc>
        <w:tc>
          <w:tcPr>
            <w:tcW w:w="17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0.20 </w:t>
            </w:r>
          </w:p>
        </w:tc>
      </w:tr>
      <w:tr>
        <w:tblPrEx>
          <w:tblLayout w:type="fixed"/>
          <w:tblCellMar>
            <w:top w:w="0" w:type="dxa"/>
            <w:left w:w="108" w:type="dxa"/>
            <w:bottom w:w="0" w:type="dxa"/>
            <w:right w:w="108" w:type="dxa"/>
          </w:tblCellMar>
        </w:tblPrEx>
        <w:trPr>
          <w:trHeight w:val="454" w:hRule="atLeast"/>
        </w:trPr>
        <w:tc>
          <w:tcPr>
            <w:tcW w:w="223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  30205</w:t>
            </w:r>
          </w:p>
        </w:tc>
        <w:tc>
          <w:tcPr>
            <w:tcW w:w="504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  水费</w:t>
            </w:r>
          </w:p>
        </w:tc>
        <w:tc>
          <w:tcPr>
            <w:tcW w:w="17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0.10 </w:t>
            </w:r>
          </w:p>
        </w:tc>
      </w:tr>
      <w:tr>
        <w:tblPrEx>
          <w:tblLayout w:type="fixed"/>
          <w:tblCellMar>
            <w:top w:w="0" w:type="dxa"/>
            <w:left w:w="108" w:type="dxa"/>
            <w:bottom w:w="0" w:type="dxa"/>
            <w:right w:w="108" w:type="dxa"/>
          </w:tblCellMar>
        </w:tblPrEx>
        <w:trPr>
          <w:trHeight w:val="454" w:hRule="atLeast"/>
        </w:trPr>
        <w:tc>
          <w:tcPr>
            <w:tcW w:w="223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  30206</w:t>
            </w:r>
          </w:p>
        </w:tc>
        <w:tc>
          <w:tcPr>
            <w:tcW w:w="504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  电费</w:t>
            </w:r>
          </w:p>
        </w:tc>
        <w:tc>
          <w:tcPr>
            <w:tcW w:w="17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1.20 </w:t>
            </w:r>
          </w:p>
        </w:tc>
      </w:tr>
      <w:tr>
        <w:tblPrEx>
          <w:tblLayout w:type="fixed"/>
          <w:tblCellMar>
            <w:top w:w="0" w:type="dxa"/>
            <w:left w:w="108" w:type="dxa"/>
            <w:bottom w:w="0" w:type="dxa"/>
            <w:right w:w="108" w:type="dxa"/>
          </w:tblCellMar>
        </w:tblPrEx>
        <w:trPr>
          <w:trHeight w:val="454" w:hRule="atLeast"/>
        </w:trPr>
        <w:tc>
          <w:tcPr>
            <w:tcW w:w="223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  30207</w:t>
            </w:r>
          </w:p>
        </w:tc>
        <w:tc>
          <w:tcPr>
            <w:tcW w:w="504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  邮电费</w:t>
            </w:r>
          </w:p>
        </w:tc>
        <w:tc>
          <w:tcPr>
            <w:tcW w:w="17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1.20 </w:t>
            </w:r>
          </w:p>
        </w:tc>
      </w:tr>
      <w:bookmarkEnd w:id="0"/>
    </w:tbl>
    <w:p>
      <w:pPr>
        <w:spacing w:line="580" w:lineRule="exact"/>
        <w:rPr>
          <w:rFonts w:ascii="黑体" w:hAnsi="黑体" w:eastAsia="黑体" w:cs="黑体"/>
          <w:spacing w:val="15"/>
          <w:sz w:val="32"/>
          <w:szCs w:val="32"/>
        </w:rPr>
        <w:sectPr>
          <w:headerReference r:id="rId3" w:type="first"/>
          <w:footerReference r:id="rId4" w:type="default"/>
          <w:pgSz w:w="11906" w:h="16838"/>
          <w:pgMar w:top="2098" w:right="1474" w:bottom="1984" w:left="1587" w:header="1474" w:footer="1587" w:gutter="0"/>
          <w:cols w:space="720" w:num="1"/>
          <w:titlePg/>
          <w:docGrid w:linePitch="602" w:charSpace="0"/>
        </w:sectPr>
      </w:pPr>
    </w:p>
    <w:tbl>
      <w:tblPr>
        <w:tblStyle w:val="8"/>
        <w:tblpPr w:leftFromText="180" w:rightFromText="180" w:horzAnchor="margin" w:tblpY="622"/>
        <w:tblW w:w="9880" w:type="dxa"/>
        <w:tblInd w:w="0" w:type="dxa"/>
        <w:tblLayout w:type="fixed"/>
        <w:tblCellMar>
          <w:top w:w="0" w:type="dxa"/>
          <w:left w:w="108" w:type="dxa"/>
          <w:bottom w:w="0" w:type="dxa"/>
          <w:right w:w="108" w:type="dxa"/>
        </w:tblCellMar>
      </w:tblPr>
      <w:tblGrid>
        <w:gridCol w:w="3271"/>
        <w:gridCol w:w="1130"/>
        <w:gridCol w:w="1246"/>
        <w:gridCol w:w="1128"/>
        <w:gridCol w:w="851"/>
        <w:gridCol w:w="985"/>
        <w:gridCol w:w="1269"/>
      </w:tblGrid>
      <w:tr>
        <w:tblPrEx>
          <w:tblLayout w:type="fixed"/>
          <w:tblCellMar>
            <w:top w:w="0" w:type="dxa"/>
            <w:left w:w="108" w:type="dxa"/>
            <w:bottom w:w="0" w:type="dxa"/>
            <w:right w:w="108" w:type="dxa"/>
          </w:tblCellMar>
        </w:tblPrEx>
        <w:trPr>
          <w:trHeight w:val="480" w:hRule="atLeast"/>
        </w:trPr>
        <w:tc>
          <w:tcPr>
            <w:tcW w:w="9880" w:type="dxa"/>
            <w:gridSpan w:val="7"/>
            <w:tcBorders>
              <w:top w:val="nil"/>
              <w:left w:val="nil"/>
              <w:bottom w:val="nil"/>
              <w:right w:val="nil"/>
            </w:tcBorders>
            <w:shd w:val="clear" w:color="auto" w:fill="auto"/>
            <w:vAlign w:val="center"/>
          </w:tcPr>
          <w:p>
            <w:pPr>
              <w:widowControl/>
              <w:rPr>
                <w:rFonts w:hint="eastAsia" w:ascii="方正小标宋简体" w:hAnsi="宋体" w:eastAsia="方正小标宋简体" w:cs="宋体"/>
                <w:kern w:val="0"/>
                <w:sz w:val="32"/>
                <w:szCs w:val="32"/>
              </w:rPr>
            </w:pPr>
            <w:r>
              <w:rPr>
                <w:rFonts w:hint="eastAsia" w:ascii="方正小标宋简体" w:hAnsi="宋体" w:eastAsia="方正小标宋简体" w:cs="宋体"/>
                <w:kern w:val="0"/>
                <w:sz w:val="32"/>
                <w:szCs w:val="32"/>
              </w:rPr>
              <w:t xml:space="preserve">表6 </w:t>
            </w:r>
          </w:p>
          <w:p>
            <w:pPr>
              <w:widowControl/>
              <w:jc w:val="center"/>
              <w:rPr>
                <w:rFonts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2018年市级部门收入预算总表</w:t>
            </w:r>
          </w:p>
        </w:tc>
      </w:tr>
      <w:tr>
        <w:tblPrEx>
          <w:tblLayout w:type="fixed"/>
          <w:tblCellMar>
            <w:top w:w="0" w:type="dxa"/>
            <w:left w:w="108" w:type="dxa"/>
            <w:bottom w:w="0" w:type="dxa"/>
            <w:right w:w="108" w:type="dxa"/>
          </w:tblCellMar>
        </w:tblPrEx>
        <w:trPr>
          <w:trHeight w:val="402" w:hRule="atLeast"/>
        </w:trPr>
        <w:tc>
          <w:tcPr>
            <w:tcW w:w="3271" w:type="dxa"/>
            <w:tcBorders>
              <w:top w:val="nil"/>
              <w:left w:val="nil"/>
              <w:bottom w:val="single" w:color="auto" w:sz="4" w:space="0"/>
              <w:right w:val="nil"/>
            </w:tcBorders>
            <w:shd w:val="clear" w:color="auto" w:fill="auto"/>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部门名称：</w:t>
            </w:r>
            <w:r>
              <w:rPr>
                <w:rFonts w:hint="eastAsia" w:asciiTheme="minorEastAsia" w:hAnsiTheme="minorEastAsia" w:eastAsiaTheme="minorEastAsia" w:cstheme="minorEastAsia"/>
                <w:kern w:val="0"/>
                <w:sz w:val="24"/>
                <w:szCs w:val="24"/>
                <w:lang w:eastAsia="zh-CN"/>
              </w:rPr>
              <w:t>温州市商务局</w:t>
            </w:r>
          </w:p>
        </w:tc>
        <w:tc>
          <w:tcPr>
            <w:tcW w:w="1130" w:type="dxa"/>
            <w:tcBorders>
              <w:top w:val="nil"/>
              <w:left w:val="nil"/>
              <w:bottom w:val="nil"/>
              <w:right w:val="nil"/>
            </w:tcBorders>
            <w:shd w:val="clear" w:color="auto" w:fill="auto"/>
            <w:vAlign w:val="center"/>
          </w:tcPr>
          <w:p>
            <w:pPr>
              <w:widowControl/>
              <w:jc w:val="left"/>
              <w:rPr>
                <w:rFonts w:hint="eastAsia" w:asciiTheme="minorEastAsia" w:hAnsiTheme="minorEastAsia" w:eastAsiaTheme="minorEastAsia" w:cstheme="minorEastAsia"/>
                <w:kern w:val="0"/>
                <w:sz w:val="24"/>
                <w:szCs w:val="24"/>
              </w:rPr>
            </w:pPr>
          </w:p>
        </w:tc>
        <w:tc>
          <w:tcPr>
            <w:tcW w:w="1246" w:type="dxa"/>
            <w:tcBorders>
              <w:top w:val="nil"/>
              <w:left w:val="nil"/>
              <w:bottom w:val="nil"/>
              <w:right w:val="nil"/>
            </w:tcBorders>
            <w:shd w:val="clear" w:color="auto" w:fill="auto"/>
            <w:vAlign w:val="center"/>
          </w:tcPr>
          <w:p>
            <w:pPr>
              <w:widowControl/>
              <w:jc w:val="left"/>
              <w:rPr>
                <w:rFonts w:hint="eastAsia" w:asciiTheme="minorEastAsia" w:hAnsiTheme="minorEastAsia" w:eastAsiaTheme="minorEastAsia" w:cstheme="minorEastAsia"/>
                <w:kern w:val="0"/>
                <w:sz w:val="24"/>
                <w:szCs w:val="24"/>
              </w:rPr>
            </w:pPr>
          </w:p>
        </w:tc>
        <w:tc>
          <w:tcPr>
            <w:tcW w:w="1128" w:type="dxa"/>
            <w:tcBorders>
              <w:top w:val="nil"/>
              <w:left w:val="nil"/>
              <w:bottom w:val="nil"/>
              <w:right w:val="nil"/>
            </w:tcBorders>
            <w:shd w:val="clear" w:color="auto" w:fill="auto"/>
            <w:vAlign w:val="center"/>
          </w:tcPr>
          <w:p>
            <w:pPr>
              <w:widowControl/>
              <w:jc w:val="left"/>
              <w:rPr>
                <w:rFonts w:hint="eastAsia" w:asciiTheme="minorEastAsia" w:hAnsiTheme="minorEastAsia" w:eastAsiaTheme="minorEastAsia" w:cstheme="minorEastAsia"/>
                <w:kern w:val="0"/>
                <w:sz w:val="24"/>
                <w:szCs w:val="24"/>
              </w:rPr>
            </w:pPr>
          </w:p>
        </w:tc>
        <w:tc>
          <w:tcPr>
            <w:tcW w:w="851" w:type="dxa"/>
            <w:tcBorders>
              <w:top w:val="nil"/>
              <w:left w:val="nil"/>
              <w:bottom w:val="nil"/>
              <w:right w:val="nil"/>
            </w:tcBorders>
            <w:shd w:val="clear" w:color="auto" w:fill="auto"/>
            <w:vAlign w:val="center"/>
          </w:tcPr>
          <w:p>
            <w:pPr>
              <w:widowControl/>
              <w:jc w:val="left"/>
              <w:rPr>
                <w:rFonts w:hint="eastAsia" w:asciiTheme="minorEastAsia" w:hAnsiTheme="minorEastAsia" w:eastAsiaTheme="minorEastAsia" w:cstheme="minorEastAsia"/>
                <w:kern w:val="0"/>
                <w:sz w:val="24"/>
                <w:szCs w:val="24"/>
              </w:rPr>
            </w:pPr>
          </w:p>
        </w:tc>
        <w:tc>
          <w:tcPr>
            <w:tcW w:w="985" w:type="dxa"/>
            <w:tcBorders>
              <w:top w:val="nil"/>
              <w:left w:val="nil"/>
              <w:bottom w:val="nil"/>
              <w:right w:val="nil"/>
            </w:tcBorders>
            <w:shd w:val="clear" w:color="auto" w:fill="auto"/>
            <w:vAlign w:val="bottom"/>
          </w:tcPr>
          <w:p>
            <w:pPr>
              <w:widowControl/>
              <w:jc w:val="left"/>
              <w:rPr>
                <w:rFonts w:hint="eastAsia" w:asciiTheme="minorEastAsia" w:hAnsiTheme="minorEastAsia" w:eastAsiaTheme="minorEastAsia" w:cstheme="minorEastAsia"/>
                <w:kern w:val="0"/>
                <w:sz w:val="24"/>
                <w:szCs w:val="24"/>
              </w:rPr>
            </w:pPr>
          </w:p>
        </w:tc>
        <w:tc>
          <w:tcPr>
            <w:tcW w:w="1269" w:type="dxa"/>
            <w:tcBorders>
              <w:top w:val="nil"/>
              <w:left w:val="nil"/>
              <w:bottom w:val="nil"/>
              <w:right w:val="nil"/>
            </w:tcBorders>
            <w:shd w:val="clear" w:color="auto" w:fill="auto"/>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单位：万元</w:t>
            </w:r>
          </w:p>
        </w:tc>
      </w:tr>
      <w:tr>
        <w:tblPrEx>
          <w:tblLayout w:type="fixed"/>
          <w:tblCellMar>
            <w:top w:w="0" w:type="dxa"/>
            <w:left w:w="108" w:type="dxa"/>
            <w:bottom w:w="0" w:type="dxa"/>
            <w:right w:w="108" w:type="dxa"/>
          </w:tblCellMar>
        </w:tblPrEx>
        <w:trPr>
          <w:trHeight w:val="402" w:hRule="atLeast"/>
        </w:trPr>
        <w:tc>
          <w:tcPr>
            <w:tcW w:w="327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单位名称</w:t>
            </w:r>
          </w:p>
        </w:tc>
        <w:tc>
          <w:tcPr>
            <w:tcW w:w="113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总   计</w:t>
            </w:r>
          </w:p>
        </w:tc>
        <w:tc>
          <w:tcPr>
            <w:tcW w:w="12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财政拨款</w:t>
            </w:r>
          </w:p>
        </w:tc>
        <w:tc>
          <w:tcPr>
            <w:tcW w:w="112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c>
          <w:tcPr>
            <w:tcW w:w="98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专户资金</w:t>
            </w:r>
          </w:p>
        </w:tc>
        <w:tc>
          <w:tcPr>
            <w:tcW w:w="126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单位结余</w:t>
            </w:r>
          </w:p>
        </w:tc>
      </w:tr>
      <w:tr>
        <w:tblPrEx>
          <w:tblLayout w:type="fixed"/>
          <w:tblCellMar>
            <w:top w:w="0" w:type="dxa"/>
            <w:left w:w="108" w:type="dxa"/>
            <w:bottom w:w="0" w:type="dxa"/>
            <w:right w:w="108" w:type="dxa"/>
          </w:tblCellMar>
        </w:tblPrEx>
        <w:trPr>
          <w:trHeight w:val="1062" w:hRule="atLeast"/>
        </w:trPr>
        <w:tc>
          <w:tcPr>
            <w:tcW w:w="3271"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kern w:val="0"/>
                <w:sz w:val="24"/>
                <w:szCs w:val="24"/>
              </w:rPr>
            </w:pPr>
          </w:p>
        </w:tc>
        <w:tc>
          <w:tcPr>
            <w:tcW w:w="11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kern w:val="0"/>
                <w:sz w:val="24"/>
                <w:szCs w:val="24"/>
              </w:rPr>
            </w:pPr>
          </w:p>
        </w:tc>
        <w:tc>
          <w:tcPr>
            <w:tcW w:w="1246"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合计</w:t>
            </w:r>
          </w:p>
        </w:tc>
        <w:tc>
          <w:tcPr>
            <w:tcW w:w="1128"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一般公共预算</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政府性基金预算</w:t>
            </w:r>
          </w:p>
        </w:tc>
        <w:tc>
          <w:tcPr>
            <w:tcW w:w="9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4"/>
                <w:szCs w:val="24"/>
              </w:rPr>
            </w:pPr>
          </w:p>
        </w:tc>
        <w:tc>
          <w:tcPr>
            <w:tcW w:w="12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4"/>
                <w:szCs w:val="24"/>
              </w:rPr>
            </w:pPr>
          </w:p>
        </w:tc>
      </w:tr>
      <w:tr>
        <w:tblPrEx>
          <w:tblLayout w:type="fixed"/>
          <w:tblCellMar>
            <w:top w:w="0" w:type="dxa"/>
            <w:left w:w="108" w:type="dxa"/>
            <w:bottom w:w="0" w:type="dxa"/>
            <w:right w:w="108" w:type="dxa"/>
          </w:tblCellMar>
        </w:tblPrEx>
        <w:trPr>
          <w:trHeight w:val="360" w:hRule="atLeast"/>
        </w:trPr>
        <w:tc>
          <w:tcPr>
            <w:tcW w:w="327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合计</w:t>
            </w:r>
          </w:p>
        </w:tc>
        <w:tc>
          <w:tcPr>
            <w:tcW w:w="113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4648.93 </w:t>
            </w:r>
          </w:p>
        </w:tc>
        <w:tc>
          <w:tcPr>
            <w:tcW w:w="12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4595.93 </w:t>
            </w:r>
          </w:p>
        </w:tc>
        <w:tc>
          <w:tcPr>
            <w:tcW w:w="112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4595.93 </w:t>
            </w:r>
          </w:p>
        </w:tc>
        <w:tc>
          <w:tcPr>
            <w:tcW w:w="85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0.00 </w:t>
            </w:r>
          </w:p>
        </w:tc>
        <w:tc>
          <w:tcPr>
            <w:tcW w:w="9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0.00 </w:t>
            </w:r>
          </w:p>
        </w:tc>
        <w:tc>
          <w:tcPr>
            <w:tcW w:w="126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53.00 </w:t>
            </w:r>
          </w:p>
        </w:tc>
      </w:tr>
      <w:tr>
        <w:tblPrEx>
          <w:tblLayout w:type="fixed"/>
          <w:tblCellMar>
            <w:top w:w="0" w:type="dxa"/>
            <w:left w:w="108" w:type="dxa"/>
            <w:bottom w:w="0" w:type="dxa"/>
            <w:right w:w="108" w:type="dxa"/>
          </w:tblCellMar>
        </w:tblPrEx>
        <w:trPr>
          <w:trHeight w:val="360" w:hRule="atLeast"/>
        </w:trPr>
        <w:tc>
          <w:tcPr>
            <w:tcW w:w="3271" w:type="dxa"/>
            <w:tcBorders>
              <w:top w:val="nil"/>
              <w:left w:val="single" w:color="auto" w:sz="4" w:space="0"/>
              <w:bottom w:val="nil"/>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温州市商务局</w:t>
            </w:r>
          </w:p>
        </w:tc>
        <w:tc>
          <w:tcPr>
            <w:tcW w:w="113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4345.09 </w:t>
            </w:r>
          </w:p>
        </w:tc>
        <w:tc>
          <w:tcPr>
            <w:tcW w:w="12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4292.09 </w:t>
            </w:r>
          </w:p>
        </w:tc>
        <w:tc>
          <w:tcPr>
            <w:tcW w:w="112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4292.09 </w:t>
            </w:r>
          </w:p>
        </w:tc>
        <w:tc>
          <w:tcPr>
            <w:tcW w:w="85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0.00 </w:t>
            </w:r>
          </w:p>
        </w:tc>
        <w:tc>
          <w:tcPr>
            <w:tcW w:w="9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0.00 </w:t>
            </w:r>
          </w:p>
        </w:tc>
        <w:tc>
          <w:tcPr>
            <w:tcW w:w="126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53.00 </w:t>
            </w:r>
          </w:p>
        </w:tc>
      </w:tr>
      <w:tr>
        <w:tblPrEx>
          <w:tblLayout w:type="fixed"/>
          <w:tblCellMar>
            <w:top w:w="0" w:type="dxa"/>
            <w:left w:w="108" w:type="dxa"/>
            <w:bottom w:w="0" w:type="dxa"/>
            <w:right w:w="108" w:type="dxa"/>
          </w:tblCellMar>
        </w:tblPrEx>
        <w:trPr>
          <w:trHeight w:val="402" w:hRule="atLeast"/>
        </w:trPr>
        <w:tc>
          <w:tcPr>
            <w:tcW w:w="32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温州市商务发展促进中心</w:t>
            </w:r>
          </w:p>
        </w:tc>
        <w:tc>
          <w:tcPr>
            <w:tcW w:w="113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303.84 </w:t>
            </w:r>
          </w:p>
        </w:tc>
        <w:tc>
          <w:tcPr>
            <w:tcW w:w="12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303.84 </w:t>
            </w:r>
          </w:p>
        </w:tc>
        <w:tc>
          <w:tcPr>
            <w:tcW w:w="112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303.84 </w:t>
            </w:r>
          </w:p>
        </w:tc>
        <w:tc>
          <w:tcPr>
            <w:tcW w:w="85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0.00 </w:t>
            </w:r>
          </w:p>
        </w:tc>
        <w:tc>
          <w:tcPr>
            <w:tcW w:w="9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0.00 </w:t>
            </w:r>
          </w:p>
        </w:tc>
        <w:tc>
          <w:tcPr>
            <w:tcW w:w="126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0.00 </w:t>
            </w:r>
          </w:p>
        </w:tc>
      </w:tr>
    </w:tbl>
    <w:p>
      <w:pPr>
        <w:spacing w:line="580" w:lineRule="exact"/>
        <w:rPr>
          <w:rFonts w:ascii="黑体" w:hAnsi="黑体" w:eastAsia="黑体" w:cs="黑体"/>
          <w:spacing w:val="15"/>
          <w:sz w:val="32"/>
          <w:szCs w:val="32"/>
        </w:rPr>
      </w:pPr>
      <w:r>
        <w:rPr>
          <w:rFonts w:ascii="黑体" w:hAnsi="黑体" w:eastAsia="黑体" w:cs="黑体"/>
          <w:spacing w:val="15"/>
          <w:sz w:val="32"/>
          <w:szCs w:val="32"/>
        </w:rPr>
        <w:br w:type="page"/>
      </w:r>
    </w:p>
    <w:tbl>
      <w:tblPr>
        <w:tblStyle w:val="8"/>
        <w:tblW w:w="9640" w:type="dxa"/>
        <w:tblInd w:w="93" w:type="dxa"/>
        <w:tblLayout w:type="fixed"/>
        <w:tblCellMar>
          <w:top w:w="0" w:type="dxa"/>
          <w:left w:w="108" w:type="dxa"/>
          <w:bottom w:w="0" w:type="dxa"/>
          <w:right w:w="108" w:type="dxa"/>
        </w:tblCellMar>
      </w:tblPr>
      <w:tblGrid>
        <w:gridCol w:w="3180"/>
        <w:gridCol w:w="1420"/>
        <w:gridCol w:w="848"/>
        <w:gridCol w:w="752"/>
        <w:gridCol w:w="1720"/>
        <w:gridCol w:w="860"/>
        <w:gridCol w:w="860"/>
      </w:tblGrid>
      <w:tr>
        <w:tblPrEx>
          <w:tblLayout w:type="fixed"/>
          <w:tblCellMar>
            <w:top w:w="0" w:type="dxa"/>
            <w:left w:w="108" w:type="dxa"/>
            <w:bottom w:w="0" w:type="dxa"/>
            <w:right w:w="108" w:type="dxa"/>
          </w:tblCellMar>
        </w:tblPrEx>
        <w:trPr>
          <w:gridAfter w:val="1"/>
          <w:wAfter w:w="860" w:type="dxa"/>
          <w:trHeight w:val="615" w:hRule="atLeast"/>
        </w:trPr>
        <w:tc>
          <w:tcPr>
            <w:tcW w:w="8780" w:type="dxa"/>
            <w:gridSpan w:val="6"/>
            <w:tcBorders>
              <w:top w:val="nil"/>
              <w:left w:val="nil"/>
              <w:bottom w:val="nil"/>
              <w:right w:val="nil"/>
            </w:tcBorders>
            <w:shd w:val="clear" w:color="auto" w:fill="auto"/>
            <w:vAlign w:val="bottom"/>
          </w:tcPr>
          <w:p>
            <w:pPr>
              <w:widowControl/>
              <w:rPr>
                <w:rFonts w:hint="eastAsia" w:ascii="方正小标宋简体" w:hAnsi="宋体" w:eastAsia="方正小标宋简体" w:cs="宋体"/>
                <w:kern w:val="0"/>
                <w:szCs w:val="21"/>
              </w:rPr>
            </w:pPr>
            <w:r>
              <w:rPr>
                <w:rFonts w:hint="eastAsia" w:ascii="方正小标宋简体" w:hAnsi="宋体" w:eastAsia="方正小标宋简体" w:cs="宋体"/>
                <w:kern w:val="0"/>
                <w:sz w:val="32"/>
                <w:szCs w:val="32"/>
              </w:rPr>
              <w:t>表7</w:t>
            </w:r>
            <w:r>
              <w:rPr>
                <w:rFonts w:hint="eastAsia" w:ascii="方正小标宋简体" w:hAnsi="宋体" w:eastAsia="方正小标宋简体" w:cs="宋体"/>
                <w:kern w:val="0"/>
                <w:sz w:val="44"/>
                <w:szCs w:val="44"/>
              </w:rPr>
              <w:t xml:space="preserve"> </w:t>
            </w:r>
            <w:r>
              <w:rPr>
                <w:rFonts w:hint="eastAsia" w:ascii="方正小标宋简体" w:hAnsi="宋体" w:eastAsia="方正小标宋简体" w:cs="宋体"/>
                <w:kern w:val="0"/>
                <w:szCs w:val="21"/>
              </w:rPr>
              <w:t xml:space="preserve">         </w:t>
            </w:r>
          </w:p>
          <w:p>
            <w:pPr>
              <w:widowControl/>
              <w:jc w:val="center"/>
              <w:rPr>
                <w:rFonts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2018年市级部门支出预算总表</w:t>
            </w:r>
          </w:p>
        </w:tc>
      </w:tr>
      <w:tr>
        <w:tblPrEx>
          <w:tblLayout w:type="fixed"/>
          <w:tblCellMar>
            <w:top w:w="0" w:type="dxa"/>
            <w:left w:w="108" w:type="dxa"/>
            <w:bottom w:w="0" w:type="dxa"/>
            <w:right w:w="108" w:type="dxa"/>
          </w:tblCellMar>
        </w:tblPrEx>
        <w:trPr>
          <w:trHeight w:val="402" w:hRule="atLeast"/>
        </w:trPr>
        <w:tc>
          <w:tcPr>
            <w:tcW w:w="3180" w:type="dxa"/>
            <w:tcBorders>
              <w:top w:val="nil"/>
              <w:left w:val="nil"/>
              <w:bottom w:val="nil"/>
              <w:right w:val="nil"/>
            </w:tcBorders>
            <w:shd w:val="clear" w:color="auto" w:fill="auto"/>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部门名称：</w:t>
            </w:r>
            <w:r>
              <w:rPr>
                <w:rFonts w:hint="eastAsia" w:asciiTheme="minorEastAsia" w:hAnsiTheme="minorEastAsia" w:eastAsiaTheme="minorEastAsia" w:cstheme="minorEastAsia"/>
                <w:kern w:val="0"/>
                <w:sz w:val="24"/>
                <w:szCs w:val="24"/>
                <w:lang w:eastAsia="zh-CN"/>
              </w:rPr>
              <w:t>温州市商务局</w:t>
            </w:r>
          </w:p>
        </w:tc>
        <w:tc>
          <w:tcPr>
            <w:tcW w:w="1420" w:type="dxa"/>
            <w:tcBorders>
              <w:top w:val="nil"/>
              <w:left w:val="nil"/>
              <w:bottom w:val="nil"/>
              <w:right w:val="nil"/>
            </w:tcBorders>
            <w:shd w:val="clear" w:color="auto" w:fill="auto"/>
            <w:vAlign w:val="center"/>
          </w:tcPr>
          <w:p>
            <w:pPr>
              <w:widowControl/>
              <w:jc w:val="left"/>
              <w:rPr>
                <w:rFonts w:hint="eastAsia" w:asciiTheme="minorEastAsia" w:hAnsiTheme="minorEastAsia" w:eastAsiaTheme="minorEastAsia" w:cstheme="minorEastAsia"/>
                <w:kern w:val="0"/>
                <w:sz w:val="24"/>
                <w:szCs w:val="24"/>
              </w:rPr>
            </w:pPr>
          </w:p>
        </w:tc>
        <w:tc>
          <w:tcPr>
            <w:tcW w:w="1600" w:type="dxa"/>
            <w:gridSpan w:val="2"/>
            <w:tcBorders>
              <w:top w:val="nil"/>
              <w:left w:val="nil"/>
              <w:bottom w:val="nil"/>
              <w:right w:val="nil"/>
            </w:tcBorders>
            <w:shd w:val="clear" w:color="auto" w:fill="auto"/>
            <w:vAlign w:val="center"/>
          </w:tcPr>
          <w:p>
            <w:pPr>
              <w:widowControl/>
              <w:jc w:val="left"/>
              <w:rPr>
                <w:rFonts w:hint="eastAsia" w:asciiTheme="minorEastAsia" w:hAnsiTheme="minorEastAsia" w:eastAsiaTheme="minorEastAsia" w:cstheme="minorEastAsia"/>
                <w:kern w:val="0"/>
                <w:sz w:val="24"/>
                <w:szCs w:val="24"/>
              </w:rPr>
            </w:pPr>
          </w:p>
        </w:tc>
        <w:tc>
          <w:tcPr>
            <w:tcW w:w="1720" w:type="dxa"/>
            <w:tcBorders>
              <w:top w:val="nil"/>
              <w:left w:val="nil"/>
              <w:bottom w:val="nil"/>
              <w:right w:val="nil"/>
            </w:tcBorders>
            <w:shd w:val="clear" w:color="auto" w:fill="auto"/>
            <w:vAlign w:val="center"/>
          </w:tcPr>
          <w:p>
            <w:pPr>
              <w:widowControl/>
              <w:jc w:val="left"/>
              <w:rPr>
                <w:rFonts w:hint="eastAsia" w:asciiTheme="minorEastAsia" w:hAnsiTheme="minorEastAsia" w:eastAsiaTheme="minorEastAsia" w:cstheme="minorEastAsia"/>
                <w:kern w:val="0"/>
                <w:sz w:val="24"/>
                <w:szCs w:val="24"/>
              </w:rPr>
            </w:pPr>
          </w:p>
        </w:tc>
        <w:tc>
          <w:tcPr>
            <w:tcW w:w="1720" w:type="dxa"/>
            <w:gridSpan w:val="2"/>
            <w:tcBorders>
              <w:top w:val="nil"/>
              <w:left w:val="nil"/>
              <w:bottom w:val="nil"/>
              <w:right w:val="nil"/>
            </w:tcBorders>
            <w:shd w:val="clear" w:color="auto" w:fill="auto"/>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单位：万元</w:t>
            </w:r>
          </w:p>
        </w:tc>
      </w:tr>
      <w:tr>
        <w:tblPrEx>
          <w:tblLayout w:type="fixed"/>
          <w:tblCellMar>
            <w:top w:w="0" w:type="dxa"/>
            <w:left w:w="108" w:type="dxa"/>
            <w:bottom w:w="0" w:type="dxa"/>
            <w:right w:w="108" w:type="dxa"/>
          </w:tblCellMar>
        </w:tblPrEx>
        <w:trPr>
          <w:trHeight w:val="402" w:hRule="atLeast"/>
        </w:trPr>
        <w:tc>
          <w:tcPr>
            <w:tcW w:w="31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单位名称</w:t>
            </w:r>
          </w:p>
        </w:tc>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总   计</w:t>
            </w:r>
          </w:p>
        </w:tc>
        <w:tc>
          <w:tcPr>
            <w:tcW w:w="332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基本支出</w:t>
            </w:r>
          </w:p>
        </w:tc>
        <w:tc>
          <w:tcPr>
            <w:tcW w:w="172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项目支出</w:t>
            </w:r>
          </w:p>
        </w:tc>
      </w:tr>
      <w:tr>
        <w:tblPrEx>
          <w:tblLayout w:type="fixed"/>
          <w:tblCellMar>
            <w:top w:w="0" w:type="dxa"/>
            <w:left w:w="108" w:type="dxa"/>
            <w:bottom w:w="0" w:type="dxa"/>
            <w:right w:w="108" w:type="dxa"/>
          </w:tblCellMar>
        </w:tblPrEx>
        <w:trPr>
          <w:trHeight w:val="402" w:hRule="atLeast"/>
        </w:trPr>
        <w:tc>
          <w:tcPr>
            <w:tcW w:w="31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kern w:val="0"/>
                <w:sz w:val="24"/>
                <w:szCs w:val="24"/>
              </w:rPr>
            </w:pPr>
          </w:p>
        </w:tc>
        <w:tc>
          <w:tcPr>
            <w:tcW w:w="14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kern w:val="0"/>
                <w:sz w:val="24"/>
                <w:szCs w:val="24"/>
              </w:rPr>
            </w:pPr>
          </w:p>
        </w:tc>
        <w:tc>
          <w:tcPr>
            <w:tcW w:w="1600"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人员支出</w:t>
            </w:r>
          </w:p>
        </w:tc>
        <w:tc>
          <w:tcPr>
            <w:tcW w:w="1720"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日常公用支出</w:t>
            </w:r>
          </w:p>
        </w:tc>
        <w:tc>
          <w:tcPr>
            <w:tcW w:w="17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4"/>
                <w:szCs w:val="24"/>
              </w:rPr>
            </w:pPr>
          </w:p>
        </w:tc>
      </w:tr>
      <w:tr>
        <w:tblPrEx>
          <w:tblLayout w:type="fixed"/>
          <w:tblCellMar>
            <w:top w:w="0" w:type="dxa"/>
            <w:left w:w="108" w:type="dxa"/>
            <w:bottom w:w="0" w:type="dxa"/>
            <w:right w:w="108" w:type="dxa"/>
          </w:tblCellMar>
        </w:tblPrEx>
        <w:trPr>
          <w:trHeight w:val="645" w:hRule="atLeast"/>
        </w:trPr>
        <w:tc>
          <w:tcPr>
            <w:tcW w:w="318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合计</w:t>
            </w:r>
          </w:p>
        </w:tc>
        <w:tc>
          <w:tcPr>
            <w:tcW w:w="14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4,648.93 </w:t>
            </w:r>
          </w:p>
        </w:tc>
        <w:tc>
          <w:tcPr>
            <w:tcW w:w="160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1953.78 </w:t>
            </w:r>
          </w:p>
        </w:tc>
        <w:tc>
          <w:tcPr>
            <w:tcW w:w="17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263.37</w:t>
            </w:r>
          </w:p>
        </w:tc>
        <w:tc>
          <w:tcPr>
            <w:tcW w:w="172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2,431.78 </w:t>
            </w:r>
          </w:p>
        </w:tc>
      </w:tr>
      <w:tr>
        <w:tblPrEx>
          <w:tblLayout w:type="fixed"/>
          <w:tblCellMar>
            <w:top w:w="0" w:type="dxa"/>
            <w:left w:w="108" w:type="dxa"/>
            <w:bottom w:w="0" w:type="dxa"/>
            <w:right w:w="108" w:type="dxa"/>
          </w:tblCellMar>
        </w:tblPrEx>
        <w:trPr>
          <w:trHeight w:val="645" w:hRule="atLeast"/>
        </w:trPr>
        <w:tc>
          <w:tcPr>
            <w:tcW w:w="318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温州市商务局</w:t>
            </w:r>
          </w:p>
        </w:tc>
        <w:tc>
          <w:tcPr>
            <w:tcW w:w="14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4,345.09 </w:t>
            </w:r>
          </w:p>
        </w:tc>
        <w:tc>
          <w:tcPr>
            <w:tcW w:w="160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1700.32 </w:t>
            </w:r>
          </w:p>
        </w:tc>
        <w:tc>
          <w:tcPr>
            <w:tcW w:w="17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229.41</w:t>
            </w:r>
          </w:p>
        </w:tc>
        <w:tc>
          <w:tcPr>
            <w:tcW w:w="172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2,415.36 </w:t>
            </w:r>
          </w:p>
        </w:tc>
      </w:tr>
      <w:tr>
        <w:tblPrEx>
          <w:tblLayout w:type="fixed"/>
          <w:tblCellMar>
            <w:top w:w="0" w:type="dxa"/>
            <w:left w:w="108" w:type="dxa"/>
            <w:bottom w:w="0" w:type="dxa"/>
            <w:right w:w="108" w:type="dxa"/>
          </w:tblCellMar>
        </w:tblPrEx>
        <w:trPr>
          <w:trHeight w:val="645" w:hRule="atLeast"/>
        </w:trPr>
        <w:tc>
          <w:tcPr>
            <w:tcW w:w="318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温州市商务发展促进中心</w:t>
            </w:r>
          </w:p>
        </w:tc>
        <w:tc>
          <w:tcPr>
            <w:tcW w:w="14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303.84 </w:t>
            </w:r>
          </w:p>
        </w:tc>
        <w:tc>
          <w:tcPr>
            <w:tcW w:w="160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253.46 </w:t>
            </w:r>
          </w:p>
        </w:tc>
        <w:tc>
          <w:tcPr>
            <w:tcW w:w="17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33.96</w:t>
            </w:r>
          </w:p>
        </w:tc>
        <w:tc>
          <w:tcPr>
            <w:tcW w:w="172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16.42 </w:t>
            </w:r>
          </w:p>
        </w:tc>
      </w:tr>
      <w:tr>
        <w:tblPrEx>
          <w:tblLayout w:type="fixed"/>
          <w:tblCellMar>
            <w:top w:w="0" w:type="dxa"/>
            <w:left w:w="108" w:type="dxa"/>
            <w:bottom w:w="0" w:type="dxa"/>
            <w:right w:w="108" w:type="dxa"/>
          </w:tblCellMar>
        </w:tblPrEx>
        <w:trPr>
          <w:gridAfter w:val="1"/>
          <w:wAfter w:w="860" w:type="dxa"/>
          <w:trHeight w:val="615" w:hRule="atLeast"/>
        </w:trPr>
        <w:tc>
          <w:tcPr>
            <w:tcW w:w="8780" w:type="dxa"/>
            <w:gridSpan w:val="6"/>
            <w:tcBorders>
              <w:top w:val="nil"/>
              <w:left w:val="nil"/>
              <w:bottom w:val="nil"/>
              <w:right w:val="nil"/>
            </w:tcBorders>
            <w:shd w:val="clear" w:color="auto" w:fill="auto"/>
            <w:vAlign w:val="bottom"/>
          </w:tcPr>
          <w:p>
            <w:pPr>
              <w:widowControl/>
              <w:jc w:val="center"/>
              <w:rPr>
                <w:rFonts w:hint="eastAsia" w:ascii="宋体" w:hAnsi="宋体" w:cs="宋体"/>
                <w:kern w:val="0"/>
                <w:sz w:val="40"/>
                <w:szCs w:val="40"/>
              </w:rPr>
            </w:pPr>
          </w:p>
          <w:p>
            <w:pPr>
              <w:widowControl/>
              <w:jc w:val="center"/>
              <w:rPr>
                <w:rFonts w:hint="eastAsia" w:ascii="宋体" w:hAnsi="宋体" w:cs="宋体"/>
                <w:kern w:val="0"/>
                <w:sz w:val="40"/>
                <w:szCs w:val="40"/>
              </w:rPr>
            </w:pPr>
          </w:p>
          <w:p>
            <w:pPr>
              <w:widowControl/>
              <w:jc w:val="center"/>
              <w:rPr>
                <w:rFonts w:hint="eastAsia" w:ascii="宋体" w:hAnsi="宋体" w:cs="宋体"/>
                <w:kern w:val="0"/>
                <w:sz w:val="40"/>
                <w:szCs w:val="40"/>
              </w:rPr>
            </w:pPr>
          </w:p>
          <w:p>
            <w:pPr>
              <w:widowControl/>
              <w:jc w:val="center"/>
              <w:rPr>
                <w:rFonts w:hint="eastAsia" w:ascii="宋体" w:hAnsi="宋体" w:cs="宋体"/>
                <w:kern w:val="0"/>
                <w:sz w:val="40"/>
                <w:szCs w:val="40"/>
              </w:rPr>
            </w:pPr>
          </w:p>
          <w:p>
            <w:pPr>
              <w:widowControl/>
              <w:jc w:val="center"/>
              <w:rPr>
                <w:rFonts w:hint="eastAsia" w:ascii="宋体" w:hAnsi="宋体" w:cs="宋体"/>
                <w:kern w:val="0"/>
                <w:sz w:val="40"/>
                <w:szCs w:val="40"/>
              </w:rPr>
            </w:pPr>
          </w:p>
          <w:p>
            <w:pPr>
              <w:widowControl/>
              <w:jc w:val="center"/>
              <w:rPr>
                <w:rFonts w:hint="eastAsia" w:ascii="宋体" w:hAnsi="宋体" w:cs="宋体"/>
                <w:kern w:val="0"/>
                <w:sz w:val="40"/>
                <w:szCs w:val="40"/>
              </w:rPr>
            </w:pPr>
          </w:p>
          <w:p>
            <w:pPr>
              <w:widowControl/>
              <w:jc w:val="center"/>
              <w:rPr>
                <w:rFonts w:hint="eastAsia" w:ascii="宋体" w:hAnsi="宋体" w:cs="宋体"/>
                <w:kern w:val="0"/>
                <w:sz w:val="40"/>
                <w:szCs w:val="40"/>
              </w:rPr>
            </w:pPr>
          </w:p>
          <w:p>
            <w:pPr>
              <w:widowControl/>
              <w:jc w:val="center"/>
              <w:rPr>
                <w:rFonts w:hint="eastAsia" w:ascii="宋体" w:hAnsi="宋体" w:cs="宋体"/>
                <w:kern w:val="0"/>
                <w:sz w:val="40"/>
                <w:szCs w:val="40"/>
              </w:rPr>
            </w:pPr>
          </w:p>
          <w:p>
            <w:pPr>
              <w:widowControl/>
              <w:jc w:val="center"/>
              <w:rPr>
                <w:rFonts w:hint="eastAsia" w:ascii="宋体" w:hAnsi="宋体" w:cs="宋体"/>
                <w:kern w:val="0"/>
                <w:sz w:val="40"/>
                <w:szCs w:val="40"/>
              </w:rPr>
            </w:pPr>
          </w:p>
          <w:p>
            <w:pPr>
              <w:widowControl/>
              <w:jc w:val="center"/>
              <w:rPr>
                <w:rFonts w:hint="eastAsia" w:ascii="宋体" w:hAnsi="宋体" w:cs="宋体"/>
                <w:kern w:val="0"/>
                <w:sz w:val="40"/>
                <w:szCs w:val="40"/>
              </w:rPr>
            </w:pPr>
          </w:p>
          <w:p>
            <w:pPr>
              <w:widowControl/>
              <w:jc w:val="center"/>
              <w:rPr>
                <w:rFonts w:hint="eastAsia" w:ascii="宋体" w:hAnsi="宋体" w:cs="宋体"/>
                <w:kern w:val="0"/>
                <w:sz w:val="40"/>
                <w:szCs w:val="40"/>
              </w:rPr>
            </w:pPr>
          </w:p>
          <w:p>
            <w:pPr>
              <w:widowControl/>
              <w:jc w:val="center"/>
              <w:rPr>
                <w:rFonts w:hint="eastAsia" w:ascii="宋体" w:hAnsi="宋体" w:cs="宋体"/>
                <w:kern w:val="0"/>
                <w:sz w:val="40"/>
                <w:szCs w:val="40"/>
              </w:rPr>
            </w:pPr>
          </w:p>
          <w:p>
            <w:pPr>
              <w:widowControl/>
              <w:jc w:val="center"/>
              <w:rPr>
                <w:rFonts w:hint="eastAsia" w:ascii="宋体" w:hAnsi="宋体" w:cs="宋体"/>
                <w:kern w:val="0"/>
                <w:sz w:val="40"/>
                <w:szCs w:val="40"/>
              </w:rPr>
            </w:pPr>
          </w:p>
          <w:p>
            <w:pPr>
              <w:widowControl/>
              <w:jc w:val="center"/>
              <w:rPr>
                <w:rFonts w:hint="eastAsia" w:ascii="宋体" w:hAnsi="宋体" w:cs="宋体"/>
                <w:kern w:val="0"/>
                <w:sz w:val="40"/>
                <w:szCs w:val="40"/>
              </w:rPr>
            </w:pPr>
          </w:p>
          <w:p>
            <w:pPr>
              <w:widowControl/>
              <w:jc w:val="center"/>
              <w:rPr>
                <w:rFonts w:hint="eastAsia" w:ascii="宋体" w:hAnsi="宋体" w:cs="宋体"/>
                <w:kern w:val="0"/>
                <w:sz w:val="40"/>
                <w:szCs w:val="40"/>
              </w:rPr>
            </w:pPr>
          </w:p>
          <w:p>
            <w:pPr>
              <w:widowControl/>
              <w:jc w:val="center"/>
              <w:rPr>
                <w:rFonts w:hint="eastAsia" w:ascii="宋体" w:hAnsi="宋体" w:cs="宋体"/>
                <w:kern w:val="0"/>
                <w:sz w:val="40"/>
                <w:szCs w:val="40"/>
              </w:rPr>
            </w:pPr>
          </w:p>
          <w:p>
            <w:pPr>
              <w:widowControl/>
              <w:rPr>
                <w:rFonts w:hint="eastAsia" w:ascii="宋体" w:hAnsi="宋体" w:cs="宋体"/>
                <w:b/>
                <w:kern w:val="0"/>
                <w:szCs w:val="21"/>
              </w:rPr>
            </w:pPr>
            <w:r>
              <w:rPr>
                <w:rFonts w:hint="eastAsia" w:asciiTheme="minorEastAsia" w:hAnsiTheme="minorEastAsia" w:eastAsiaTheme="minorEastAsia" w:cstheme="minorEastAsia"/>
                <w:b/>
                <w:kern w:val="0"/>
                <w:sz w:val="32"/>
                <w:szCs w:val="32"/>
              </w:rPr>
              <w:t xml:space="preserve">表8 </w:t>
            </w:r>
            <w:r>
              <w:rPr>
                <w:rFonts w:hint="eastAsia" w:ascii="宋体" w:hAnsi="宋体" w:cs="宋体"/>
                <w:b/>
                <w:kern w:val="0"/>
                <w:szCs w:val="21"/>
              </w:rPr>
              <w:t xml:space="preserve"> </w:t>
            </w:r>
          </w:p>
          <w:p>
            <w:pPr>
              <w:widowControl/>
              <w:jc w:val="center"/>
              <w:rPr>
                <w:rFonts w:ascii="宋体" w:hAnsi="宋体" w:cs="宋体"/>
                <w:b/>
                <w:kern w:val="0"/>
                <w:sz w:val="40"/>
                <w:szCs w:val="40"/>
              </w:rPr>
            </w:pPr>
            <w:r>
              <w:rPr>
                <w:rFonts w:hint="eastAsia" w:ascii="宋体" w:hAnsi="宋体" w:cs="宋体"/>
                <w:b/>
                <w:kern w:val="0"/>
                <w:sz w:val="40"/>
                <w:szCs w:val="40"/>
              </w:rPr>
              <w:t>2018年一般公共预算“三公”经费表</w:t>
            </w:r>
          </w:p>
        </w:tc>
      </w:tr>
      <w:tr>
        <w:tblPrEx>
          <w:tblLayout w:type="fixed"/>
          <w:tblCellMar>
            <w:top w:w="0" w:type="dxa"/>
            <w:left w:w="108" w:type="dxa"/>
            <w:bottom w:w="0" w:type="dxa"/>
            <w:right w:w="108" w:type="dxa"/>
          </w:tblCellMar>
        </w:tblPrEx>
        <w:trPr>
          <w:gridAfter w:val="1"/>
          <w:wAfter w:w="860" w:type="dxa"/>
          <w:trHeight w:val="360" w:hRule="atLeast"/>
        </w:trPr>
        <w:tc>
          <w:tcPr>
            <w:tcW w:w="5448" w:type="dxa"/>
            <w:gridSpan w:val="3"/>
            <w:tcBorders>
              <w:top w:val="nil"/>
              <w:left w:val="nil"/>
              <w:bottom w:val="nil"/>
              <w:right w:val="nil"/>
            </w:tcBorders>
            <w:shd w:val="clear" w:color="auto" w:fill="auto"/>
            <w:vAlign w:val="bottom"/>
          </w:tcPr>
          <w:p>
            <w:pPr>
              <w:widowControl/>
              <w:jc w:val="left"/>
              <w:rPr>
                <w:rFonts w:ascii="宋体" w:hAnsi="宋体" w:cs="宋体"/>
                <w:kern w:val="0"/>
                <w:sz w:val="18"/>
                <w:szCs w:val="18"/>
              </w:rPr>
            </w:pPr>
            <w:r>
              <w:rPr>
                <w:rFonts w:hint="eastAsia" w:ascii="宋体" w:hAnsi="宋体" w:cs="宋体"/>
                <w:kern w:val="0"/>
                <w:sz w:val="18"/>
                <w:szCs w:val="18"/>
              </w:rPr>
              <w:t>部门名称：</w:t>
            </w:r>
            <w:r>
              <w:rPr>
                <w:rFonts w:hint="eastAsia" w:ascii="宋体" w:hAnsi="宋体" w:cs="宋体"/>
                <w:kern w:val="0"/>
                <w:sz w:val="18"/>
                <w:szCs w:val="18"/>
                <w:lang w:eastAsia="zh-CN"/>
              </w:rPr>
              <w:t>温州市商务局</w:t>
            </w:r>
          </w:p>
        </w:tc>
        <w:tc>
          <w:tcPr>
            <w:tcW w:w="3332" w:type="dxa"/>
            <w:gridSpan w:val="3"/>
            <w:tcBorders>
              <w:top w:val="nil"/>
              <w:left w:val="nil"/>
              <w:bottom w:val="nil"/>
              <w:right w:val="nil"/>
            </w:tcBorders>
            <w:shd w:val="clear" w:color="auto" w:fill="auto"/>
            <w:vAlign w:val="bottom"/>
          </w:tcPr>
          <w:p>
            <w:pPr>
              <w:widowControl/>
              <w:jc w:val="right"/>
              <w:rPr>
                <w:rFonts w:ascii="宋体" w:hAnsi="宋体" w:cs="宋体"/>
                <w:kern w:val="0"/>
                <w:sz w:val="18"/>
                <w:szCs w:val="18"/>
              </w:rPr>
            </w:pPr>
            <w:r>
              <w:rPr>
                <w:rFonts w:hint="eastAsia" w:ascii="宋体" w:hAnsi="宋体" w:cs="宋体"/>
                <w:kern w:val="0"/>
                <w:sz w:val="18"/>
                <w:szCs w:val="18"/>
              </w:rPr>
              <w:t>单位：万元</w:t>
            </w:r>
          </w:p>
        </w:tc>
      </w:tr>
      <w:tr>
        <w:tblPrEx>
          <w:tblLayout w:type="fixed"/>
          <w:tblCellMar>
            <w:top w:w="0" w:type="dxa"/>
            <w:left w:w="108" w:type="dxa"/>
            <w:bottom w:w="0" w:type="dxa"/>
            <w:right w:w="108" w:type="dxa"/>
          </w:tblCellMar>
        </w:tblPrEx>
        <w:trPr>
          <w:gridAfter w:val="1"/>
          <w:wAfter w:w="860" w:type="dxa"/>
          <w:trHeight w:val="855" w:hRule="atLeast"/>
        </w:trPr>
        <w:tc>
          <w:tcPr>
            <w:tcW w:w="544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项目</w:t>
            </w:r>
          </w:p>
        </w:tc>
        <w:tc>
          <w:tcPr>
            <w:tcW w:w="3332" w:type="dxa"/>
            <w:gridSpan w:val="3"/>
            <w:tcBorders>
              <w:top w:val="single" w:color="auto" w:sz="4" w:space="0"/>
              <w:left w:val="nil"/>
              <w:bottom w:val="nil"/>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2018年预算数</w:t>
            </w:r>
          </w:p>
        </w:tc>
      </w:tr>
      <w:tr>
        <w:tblPrEx>
          <w:tblLayout w:type="fixed"/>
          <w:tblCellMar>
            <w:top w:w="0" w:type="dxa"/>
            <w:left w:w="108" w:type="dxa"/>
            <w:bottom w:w="0" w:type="dxa"/>
            <w:right w:w="108" w:type="dxa"/>
          </w:tblCellMar>
        </w:tblPrEx>
        <w:trPr>
          <w:gridAfter w:val="1"/>
          <w:wAfter w:w="860" w:type="dxa"/>
          <w:trHeight w:val="855" w:hRule="atLeast"/>
        </w:trPr>
        <w:tc>
          <w:tcPr>
            <w:tcW w:w="5448" w:type="dxa"/>
            <w:gridSpan w:val="3"/>
            <w:tcBorders>
              <w:top w:val="nil"/>
              <w:left w:val="single" w:color="auto" w:sz="4" w:space="0"/>
              <w:bottom w:val="single" w:color="auto" w:sz="4" w:space="0"/>
              <w:right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合计</w:t>
            </w:r>
          </w:p>
        </w:tc>
        <w:tc>
          <w:tcPr>
            <w:tcW w:w="3332" w:type="dxa"/>
            <w:gridSpan w:val="3"/>
            <w:tcBorders>
              <w:top w:val="single" w:color="auto" w:sz="4" w:space="0"/>
              <w:left w:val="single" w:color="auto" w:sz="4" w:space="0"/>
              <w:bottom w:val="nil"/>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9.07</w:t>
            </w:r>
          </w:p>
        </w:tc>
      </w:tr>
      <w:tr>
        <w:tblPrEx>
          <w:tblLayout w:type="fixed"/>
          <w:tblCellMar>
            <w:top w:w="0" w:type="dxa"/>
            <w:left w:w="108" w:type="dxa"/>
            <w:bottom w:w="0" w:type="dxa"/>
            <w:right w:w="108" w:type="dxa"/>
          </w:tblCellMar>
        </w:tblPrEx>
        <w:trPr>
          <w:gridAfter w:val="1"/>
          <w:wAfter w:w="860" w:type="dxa"/>
          <w:trHeight w:val="1395" w:hRule="atLeast"/>
        </w:trPr>
        <w:tc>
          <w:tcPr>
            <w:tcW w:w="5448" w:type="dxa"/>
            <w:gridSpan w:val="3"/>
            <w:tcBorders>
              <w:top w:val="nil"/>
              <w:left w:val="single" w:color="auto" w:sz="4" w:space="0"/>
              <w:bottom w:val="single" w:color="auto" w:sz="4" w:space="0"/>
              <w:right w:val="nil"/>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  1.因公出国(境)费用</w:t>
            </w:r>
          </w:p>
        </w:tc>
        <w:tc>
          <w:tcPr>
            <w:tcW w:w="3332" w:type="dxa"/>
            <w:gridSpan w:val="3"/>
            <w:tcBorders>
              <w:top w:val="single" w:color="auto" w:sz="4" w:space="0"/>
              <w:left w:val="single" w:color="auto" w:sz="4" w:space="0"/>
              <w:bottom w:val="nil"/>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根据《温州市财政局关于明确因公出国（境）经费审批意见的通知》（温财外[2018]17号）文件精神，2018年因公出国（境）经费实行归口管理，由市财政统筹安排，不再单独安排预算进行公开。</w:t>
            </w:r>
          </w:p>
        </w:tc>
      </w:tr>
      <w:tr>
        <w:tblPrEx>
          <w:tblLayout w:type="fixed"/>
          <w:tblCellMar>
            <w:top w:w="0" w:type="dxa"/>
            <w:left w:w="108" w:type="dxa"/>
            <w:bottom w:w="0" w:type="dxa"/>
            <w:right w:w="108" w:type="dxa"/>
          </w:tblCellMar>
        </w:tblPrEx>
        <w:trPr>
          <w:gridAfter w:val="1"/>
          <w:wAfter w:w="860" w:type="dxa"/>
          <w:trHeight w:val="855" w:hRule="atLeast"/>
        </w:trPr>
        <w:tc>
          <w:tcPr>
            <w:tcW w:w="5448" w:type="dxa"/>
            <w:gridSpan w:val="3"/>
            <w:tcBorders>
              <w:top w:val="nil"/>
              <w:left w:val="single" w:color="auto" w:sz="4" w:space="0"/>
              <w:bottom w:val="single" w:color="auto" w:sz="4" w:space="0"/>
              <w:right w:val="nil"/>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  2.公务接待费</w:t>
            </w:r>
          </w:p>
        </w:tc>
        <w:tc>
          <w:tcPr>
            <w:tcW w:w="333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9.07 </w:t>
            </w:r>
          </w:p>
        </w:tc>
      </w:tr>
      <w:tr>
        <w:tblPrEx>
          <w:tblLayout w:type="fixed"/>
          <w:tblCellMar>
            <w:top w:w="0" w:type="dxa"/>
            <w:left w:w="108" w:type="dxa"/>
            <w:bottom w:w="0" w:type="dxa"/>
            <w:right w:w="108" w:type="dxa"/>
          </w:tblCellMar>
        </w:tblPrEx>
        <w:trPr>
          <w:gridAfter w:val="1"/>
          <w:wAfter w:w="860" w:type="dxa"/>
          <w:trHeight w:val="855" w:hRule="atLeast"/>
        </w:trPr>
        <w:tc>
          <w:tcPr>
            <w:tcW w:w="5448" w:type="dxa"/>
            <w:gridSpan w:val="3"/>
            <w:tcBorders>
              <w:top w:val="nil"/>
              <w:left w:val="single" w:color="auto" w:sz="4" w:space="0"/>
              <w:bottom w:val="single" w:color="auto" w:sz="4" w:space="0"/>
              <w:right w:val="nil"/>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  3.公务用车购置及运行维护费</w:t>
            </w:r>
          </w:p>
        </w:tc>
        <w:tc>
          <w:tcPr>
            <w:tcW w:w="3332" w:type="dxa"/>
            <w:gridSpan w:val="3"/>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0.00 </w:t>
            </w:r>
          </w:p>
        </w:tc>
      </w:tr>
      <w:tr>
        <w:tblPrEx>
          <w:tblLayout w:type="fixed"/>
          <w:tblCellMar>
            <w:top w:w="0" w:type="dxa"/>
            <w:left w:w="108" w:type="dxa"/>
            <w:bottom w:w="0" w:type="dxa"/>
            <w:right w:w="108" w:type="dxa"/>
          </w:tblCellMar>
        </w:tblPrEx>
        <w:trPr>
          <w:gridAfter w:val="1"/>
          <w:wAfter w:w="860" w:type="dxa"/>
          <w:trHeight w:val="855" w:hRule="atLeast"/>
        </w:trPr>
        <w:tc>
          <w:tcPr>
            <w:tcW w:w="5448" w:type="dxa"/>
            <w:gridSpan w:val="3"/>
            <w:tcBorders>
              <w:top w:val="nil"/>
              <w:left w:val="single" w:color="auto" w:sz="4" w:space="0"/>
              <w:bottom w:val="single" w:color="auto" w:sz="4" w:space="0"/>
              <w:right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   其中：公务用车购置费</w:t>
            </w:r>
          </w:p>
        </w:tc>
        <w:tc>
          <w:tcPr>
            <w:tcW w:w="3332" w:type="dxa"/>
            <w:gridSpan w:val="3"/>
            <w:tcBorders>
              <w:top w:val="nil"/>
              <w:left w:val="single" w:color="auto" w:sz="4" w:space="0"/>
              <w:bottom w:val="nil"/>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0.00 </w:t>
            </w:r>
          </w:p>
        </w:tc>
      </w:tr>
      <w:tr>
        <w:tblPrEx>
          <w:tblLayout w:type="fixed"/>
          <w:tblCellMar>
            <w:top w:w="0" w:type="dxa"/>
            <w:left w:w="108" w:type="dxa"/>
            <w:bottom w:w="0" w:type="dxa"/>
            <w:right w:w="108" w:type="dxa"/>
          </w:tblCellMar>
        </w:tblPrEx>
        <w:trPr>
          <w:gridAfter w:val="1"/>
          <w:wAfter w:w="860" w:type="dxa"/>
          <w:trHeight w:val="855" w:hRule="atLeast"/>
        </w:trPr>
        <w:tc>
          <w:tcPr>
            <w:tcW w:w="5448" w:type="dxa"/>
            <w:gridSpan w:val="3"/>
            <w:tcBorders>
              <w:top w:val="nil"/>
              <w:left w:val="single" w:color="auto" w:sz="4" w:space="0"/>
              <w:bottom w:val="single" w:color="auto" w:sz="4" w:space="0"/>
              <w:right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            公务用车运行维护费</w:t>
            </w:r>
          </w:p>
        </w:tc>
        <w:tc>
          <w:tcPr>
            <w:tcW w:w="333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0.00</w:t>
            </w:r>
          </w:p>
        </w:tc>
      </w:tr>
    </w:tbl>
    <w:p>
      <w:pPr>
        <w:spacing w:line="580" w:lineRule="exact"/>
        <w:rPr>
          <w:rFonts w:hint="eastAsia" w:ascii="黑体" w:hAnsi="黑体" w:eastAsia="黑体" w:cs="黑体"/>
          <w:spacing w:val="15"/>
          <w:sz w:val="32"/>
          <w:szCs w:val="32"/>
        </w:rPr>
      </w:pPr>
    </w:p>
    <w:p>
      <w:pPr>
        <w:spacing w:line="580" w:lineRule="exact"/>
        <w:rPr>
          <w:rFonts w:hint="eastAsia" w:ascii="黑体" w:hAnsi="黑体" w:eastAsia="黑体" w:cs="黑体"/>
          <w:spacing w:val="15"/>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Fonts w:hint="eastAsia" w:ascii="宋体" w:hAnsi="宋体" w:eastAsia="宋体"/>
        <w:sz w:val="28"/>
        <w:szCs w:val="28"/>
      </w:rPr>
    </w:pPr>
    <w:r>
      <w:rPr>
        <w:rStyle w:val="7"/>
        <w:rFonts w:hint="eastAsia" w:ascii="宋体" w:hAnsi="宋体" w:eastAsia="宋体"/>
        <w:sz w:val="28"/>
        <w:szCs w:val="28"/>
      </w:rPr>
      <w:t xml:space="preserve">— </w:t>
    </w:r>
    <w:r>
      <w:rPr>
        <w:rFonts w:ascii="宋体" w:hAnsi="宋体" w:eastAsia="宋体"/>
        <w:sz w:val="28"/>
        <w:szCs w:val="28"/>
      </w:rPr>
      <w:fldChar w:fldCharType="begin"/>
    </w:r>
    <w:r>
      <w:rPr>
        <w:rStyle w:val="7"/>
        <w:rFonts w:ascii="宋体" w:hAnsi="宋体" w:eastAsia="宋体"/>
        <w:sz w:val="28"/>
        <w:szCs w:val="28"/>
      </w:rPr>
      <w:instrText xml:space="preserve">PAGE  </w:instrText>
    </w:r>
    <w:r>
      <w:rPr>
        <w:rFonts w:ascii="宋体" w:hAnsi="宋体" w:eastAsia="宋体"/>
        <w:sz w:val="28"/>
        <w:szCs w:val="28"/>
      </w:rPr>
      <w:fldChar w:fldCharType="separate"/>
    </w:r>
    <w:r>
      <w:rPr>
        <w:rStyle w:val="7"/>
        <w:rFonts w:ascii="宋体" w:hAnsi="宋体" w:eastAsia="宋体"/>
        <w:sz w:val="28"/>
        <w:szCs w:val="28"/>
      </w:rPr>
      <w:t>14</w:t>
    </w:r>
    <w:r>
      <w:rPr>
        <w:rFonts w:ascii="宋体" w:hAnsi="宋体" w:eastAsia="宋体"/>
        <w:sz w:val="28"/>
        <w:szCs w:val="28"/>
      </w:rPr>
      <w:fldChar w:fldCharType="end"/>
    </w:r>
    <w:r>
      <w:rPr>
        <w:rStyle w:val="7"/>
        <w:rFonts w:hint="eastAsia" w:ascii="宋体" w:hAnsi="宋体" w:eastAsia="宋体"/>
        <w:sz w:val="28"/>
        <w:szCs w:val="28"/>
      </w:rPr>
      <w:t xml:space="preserve"> —</w:t>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1"/>
        <w:left w:val="none" w:color="auto" w:sz="0" w:space="4"/>
        <w:bottom w:val="none" w:color="auto" w:sz="0" w:space="1"/>
        <w:right w:val="none" w:color="auto" w:sz="0" w:space="4"/>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21A30D9"/>
    <w:multiLevelType w:val="singleLevel"/>
    <w:tmpl w:val="A21A30D9"/>
    <w:lvl w:ilvl="0" w:tentative="0">
      <w:start w:val="1"/>
      <w:numFmt w:val="decimal"/>
      <w:lvlText w:val="(%1)"/>
      <w:lvlJc w:val="left"/>
      <w:pPr>
        <w:ind w:left="425" w:hanging="425"/>
      </w:pPr>
      <w:rPr>
        <w:rFonts w:hint="default"/>
      </w:rPr>
    </w:lvl>
  </w:abstractNum>
  <w:abstractNum w:abstractNumId="1">
    <w:nsid w:val="5893F62F"/>
    <w:multiLevelType w:val="singleLevel"/>
    <w:tmpl w:val="5893F62F"/>
    <w:lvl w:ilvl="0" w:tentative="0">
      <w:start w:val="2"/>
      <w:numFmt w:val="decimal"/>
      <w:suff w:val="nothing"/>
      <w:lvlText w:val="%1."/>
      <w:lvlJc w:val="left"/>
    </w:lvl>
  </w:abstractNum>
  <w:abstractNum w:abstractNumId="2">
    <w:nsid w:val="5895A99C"/>
    <w:multiLevelType w:val="singleLevel"/>
    <w:tmpl w:val="5895A99C"/>
    <w:lvl w:ilvl="0" w:tentative="0">
      <w:start w:val="5"/>
      <w:numFmt w:val="chineseCounting"/>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EB4735"/>
    <w:rsid w:val="07CE23F6"/>
    <w:rsid w:val="0FF85EB6"/>
    <w:rsid w:val="30E80B37"/>
    <w:rsid w:val="32AE52B1"/>
    <w:rsid w:val="3358710D"/>
    <w:rsid w:val="37C14C0B"/>
    <w:rsid w:val="3C3F27DE"/>
    <w:rsid w:val="42D8500B"/>
    <w:rsid w:val="4F455A47"/>
    <w:rsid w:val="529B75BC"/>
    <w:rsid w:val="60194032"/>
    <w:rsid w:val="60EB4735"/>
    <w:rsid w:val="63142636"/>
    <w:rsid w:val="632A2459"/>
    <w:rsid w:val="641B3B70"/>
    <w:rsid w:val="66C31BC6"/>
    <w:rsid w:val="6D535020"/>
    <w:rsid w:val="703E02BF"/>
    <w:rsid w:val="76CE597B"/>
    <w:rsid w:val="7AF4606D"/>
    <w:rsid w:val="7B1805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link w:val="5"/>
    <w:semiHidden/>
    <w:qFormat/>
    <w:uiPriority w:val="0"/>
    <w:rPr>
      <w:szCs w:val="24"/>
    </w:rPr>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eastAsia="黑体"/>
      <w:snapToGrid w:val="0"/>
      <w:kern w:val="0"/>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5">
    <w:name w:val=" Char"/>
    <w:basedOn w:val="1"/>
    <w:link w:val="4"/>
    <w:qFormat/>
    <w:uiPriority w:val="0"/>
    <w:rPr>
      <w:szCs w:val="24"/>
    </w:rPr>
  </w:style>
  <w:style w:type="character" w:styleId="6">
    <w:name w:val="Strong"/>
    <w:basedOn w:val="4"/>
    <w:qFormat/>
    <w:uiPriority w:val="0"/>
    <w:rPr>
      <w:b/>
      <w:bCs/>
      <w:szCs w:val="24"/>
    </w:rPr>
  </w:style>
  <w:style w:type="character" w:styleId="7">
    <w:name w:val="page number"/>
    <w:basedOn w:val="4"/>
    <w:qFormat/>
    <w:uiPriority w:val="0"/>
  </w:style>
  <w:style w:type="paragraph" w:customStyle="1" w:styleId="9">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tonben\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146</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2018-04-12T09:01:00Z</dcterms:created>
  <dc:creator>金色阳光</dc:creator>
  <cp:lastModifiedBy>陈洁</cp:lastModifiedBy>
  <cp:lastPrinted>2018-05-03T08:32:11Z</cp:lastPrinted>
  <dcterms:modified xsi:type="dcterms:W3CDTF">2018-05-03T09:30:48Z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