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77" w:rsidRDefault="003C1177" w:rsidP="003D567B">
      <w:pPr>
        <w:pStyle w:val="a6"/>
        <w:spacing w:line="560" w:lineRule="exact"/>
        <w:rPr>
          <w:rFonts w:hint="eastAsia"/>
          <w:sz w:val="44"/>
          <w:szCs w:val="44"/>
          <w:lang w:val="zh-CN"/>
        </w:rPr>
      </w:pPr>
    </w:p>
    <w:p w:rsidR="003C1177" w:rsidRDefault="003C1177" w:rsidP="003D567B">
      <w:pPr>
        <w:pStyle w:val="a6"/>
        <w:spacing w:line="560" w:lineRule="exact"/>
        <w:rPr>
          <w:rFonts w:hint="eastAsia"/>
          <w:sz w:val="44"/>
          <w:szCs w:val="44"/>
          <w:lang w:val="zh-CN"/>
        </w:rPr>
      </w:pPr>
    </w:p>
    <w:p w:rsidR="003D567B" w:rsidRPr="00177629" w:rsidRDefault="003D567B" w:rsidP="003D567B">
      <w:pPr>
        <w:pStyle w:val="a6"/>
        <w:spacing w:line="560" w:lineRule="exact"/>
        <w:rPr>
          <w:sz w:val="44"/>
          <w:szCs w:val="44"/>
          <w:lang w:val="zh-CN"/>
        </w:rPr>
      </w:pPr>
      <w:r w:rsidRPr="00177629">
        <w:rPr>
          <w:rFonts w:hint="eastAsia"/>
          <w:sz w:val="44"/>
          <w:szCs w:val="44"/>
          <w:lang w:val="zh-CN"/>
        </w:rPr>
        <w:t>温州市人民政府</w:t>
      </w:r>
    </w:p>
    <w:p w:rsidR="003D567B" w:rsidRPr="00177629" w:rsidRDefault="003D567B" w:rsidP="003D567B">
      <w:pPr>
        <w:pStyle w:val="a6"/>
        <w:spacing w:line="560" w:lineRule="exact"/>
        <w:rPr>
          <w:sz w:val="44"/>
          <w:szCs w:val="44"/>
          <w:lang w:val="zh-CN"/>
        </w:rPr>
      </w:pPr>
      <w:r w:rsidRPr="00177629">
        <w:rPr>
          <w:rFonts w:hint="eastAsia"/>
          <w:sz w:val="44"/>
          <w:szCs w:val="44"/>
          <w:lang w:val="zh-CN"/>
        </w:rPr>
        <w:t>关于扩大市区高污染燃料禁燃区范围的通告</w:t>
      </w:r>
    </w:p>
    <w:p w:rsidR="003D567B" w:rsidRPr="009F343D" w:rsidRDefault="003D567B" w:rsidP="003D567B">
      <w:pPr>
        <w:pStyle w:val="a6"/>
        <w:spacing w:line="560" w:lineRule="exact"/>
        <w:rPr>
          <w:rFonts w:ascii="楷体_GB2312" w:eastAsia="楷体_GB2312"/>
          <w:sz w:val="44"/>
          <w:szCs w:val="44"/>
          <w:lang w:val="zh-CN"/>
        </w:rPr>
      </w:pPr>
      <w:r w:rsidRPr="009F343D">
        <w:rPr>
          <w:rFonts w:ascii="楷体_GB2312" w:eastAsia="楷体_GB2312" w:hint="eastAsia"/>
          <w:sz w:val="44"/>
          <w:szCs w:val="44"/>
          <w:lang w:val="zh-CN"/>
        </w:rPr>
        <w:t>（</w:t>
      </w:r>
      <w:r w:rsidR="00D76A1E">
        <w:rPr>
          <w:rFonts w:ascii="楷体_GB2312" w:eastAsia="楷体_GB2312" w:hint="eastAsia"/>
          <w:sz w:val="44"/>
          <w:szCs w:val="44"/>
          <w:lang w:val="zh-CN"/>
        </w:rPr>
        <w:t>征求意见</w:t>
      </w:r>
      <w:r w:rsidRPr="009F343D">
        <w:rPr>
          <w:rFonts w:ascii="楷体_GB2312" w:eastAsia="楷体_GB2312" w:hint="eastAsia"/>
          <w:sz w:val="44"/>
          <w:szCs w:val="44"/>
          <w:lang w:val="zh-CN"/>
        </w:rPr>
        <w:t>稿）</w:t>
      </w:r>
    </w:p>
    <w:p w:rsidR="003D567B" w:rsidRPr="002D6483" w:rsidRDefault="003D567B" w:rsidP="003D567B">
      <w:pPr>
        <w:pStyle w:val="01"/>
        <w:ind w:firstLine="640"/>
        <w:jc w:val="right"/>
        <w:rPr>
          <w:rFonts w:ascii="仿宋" w:eastAsia="仿宋" w:hAnsi="仿宋"/>
          <w:szCs w:val="32"/>
        </w:rPr>
      </w:pPr>
    </w:p>
    <w:p w:rsidR="003D567B" w:rsidRPr="009F343D" w:rsidRDefault="003D567B" w:rsidP="003D567B">
      <w:pPr>
        <w:pStyle w:val="01"/>
        <w:ind w:firstLine="640"/>
        <w:rPr>
          <w:rFonts w:ascii="仿宋_GB2312" w:hAnsi="仿宋"/>
        </w:rPr>
      </w:pPr>
      <w:r w:rsidRPr="009F343D">
        <w:rPr>
          <w:rFonts w:ascii="仿宋_GB2312" w:hAnsi="仿宋" w:hint="eastAsia"/>
        </w:rPr>
        <w:t>为改善空气环境质量，保障群众身体健康，根据《中华人民共和国大气污染防治法》、《浙江省大气污染防治条例》、环保部《关于发布〈高污染燃料目录〉的通知》（国环规大气〔2017〕2号）等法律法规要求，经研究，决定扩大市区禁止销售、使用高污染燃料区域(以下简称禁燃区)。现就有关事项通告如下 ：</w:t>
      </w:r>
    </w:p>
    <w:p w:rsidR="003D567B" w:rsidRPr="009F69CD" w:rsidRDefault="003D567B" w:rsidP="003D567B">
      <w:pPr>
        <w:pStyle w:val="01"/>
        <w:ind w:firstLine="640"/>
        <w:rPr>
          <w:rFonts w:ascii="黑体" w:eastAsia="黑体" w:hAnsi="黑体"/>
          <w:bCs/>
        </w:rPr>
      </w:pPr>
      <w:r w:rsidRPr="009F69CD">
        <w:rPr>
          <w:rFonts w:ascii="黑体" w:eastAsia="黑体" w:hAnsi="黑体" w:hint="eastAsia"/>
          <w:bCs/>
          <w:kern w:val="0"/>
          <w:szCs w:val="30"/>
        </w:rPr>
        <w:t>一</w:t>
      </w:r>
      <w:r w:rsidRPr="009F69CD">
        <w:rPr>
          <w:rFonts w:ascii="黑体" w:eastAsia="黑体" w:hAnsi="黑体" w:hint="eastAsia"/>
          <w:bCs/>
        </w:rPr>
        <w:t>、禁燃区范围</w:t>
      </w:r>
    </w:p>
    <w:p w:rsidR="003D567B" w:rsidRPr="009F343D" w:rsidRDefault="003D567B" w:rsidP="003D567B">
      <w:pPr>
        <w:pStyle w:val="01"/>
        <w:ind w:firstLine="640"/>
        <w:rPr>
          <w:rFonts w:ascii="仿宋_GB2312" w:hAnsi="仿宋"/>
        </w:rPr>
      </w:pPr>
      <w:r w:rsidRPr="009F343D">
        <w:rPr>
          <w:rFonts w:ascii="仿宋_GB2312" w:hAnsi="仿宋" w:hint="eastAsia"/>
        </w:rPr>
        <w:t>（一）鹿城区：除藤桥镇和山福镇以外的区域。</w:t>
      </w:r>
    </w:p>
    <w:p w:rsidR="003D567B" w:rsidRPr="009F343D" w:rsidRDefault="003D567B" w:rsidP="003D567B">
      <w:pPr>
        <w:pStyle w:val="01"/>
        <w:ind w:firstLine="640"/>
        <w:rPr>
          <w:rFonts w:ascii="仿宋_GB2312" w:hAnsi="仿宋"/>
        </w:rPr>
      </w:pPr>
      <w:r w:rsidRPr="009F343D">
        <w:rPr>
          <w:rFonts w:ascii="仿宋_GB2312" w:hAnsi="仿宋" w:hint="eastAsia"/>
        </w:rPr>
        <w:t>（二）龙湾区：全区域。</w:t>
      </w:r>
    </w:p>
    <w:p w:rsidR="003D567B" w:rsidRPr="009F343D" w:rsidRDefault="003D567B" w:rsidP="003D567B">
      <w:pPr>
        <w:pStyle w:val="01"/>
        <w:ind w:firstLine="640"/>
        <w:rPr>
          <w:rFonts w:ascii="仿宋_GB2312" w:hAnsi="仿宋"/>
        </w:rPr>
      </w:pPr>
      <w:r w:rsidRPr="009F343D">
        <w:rPr>
          <w:rFonts w:ascii="仿宋_GB2312" w:hAnsi="仿宋" w:hint="eastAsia"/>
        </w:rPr>
        <w:t>（三）瓯海区：全区域（包括生态园）。</w:t>
      </w:r>
    </w:p>
    <w:p w:rsidR="003D567B" w:rsidRPr="009F343D" w:rsidRDefault="003D567B" w:rsidP="003D567B">
      <w:pPr>
        <w:pStyle w:val="01"/>
        <w:ind w:firstLine="640"/>
        <w:rPr>
          <w:rFonts w:ascii="仿宋_GB2312" w:hAnsi="仿宋"/>
        </w:rPr>
      </w:pPr>
      <w:r w:rsidRPr="009F343D">
        <w:rPr>
          <w:rFonts w:ascii="仿宋_GB2312" w:hAnsi="仿宋" w:hint="eastAsia"/>
        </w:rPr>
        <w:t>（四）洞头区：北岙街道、灵昆街道、瓯江口产业集聚区核心区。</w:t>
      </w:r>
    </w:p>
    <w:p w:rsidR="003D567B" w:rsidRPr="009F343D" w:rsidRDefault="003D567B" w:rsidP="003D567B">
      <w:pPr>
        <w:pStyle w:val="01"/>
        <w:ind w:firstLine="640"/>
        <w:rPr>
          <w:rFonts w:ascii="仿宋_GB2312" w:hAnsi="仿宋"/>
        </w:rPr>
      </w:pPr>
      <w:r w:rsidRPr="009F343D">
        <w:rPr>
          <w:rFonts w:ascii="仿宋_GB2312" w:hAnsi="仿宋" w:hint="eastAsia"/>
        </w:rPr>
        <w:t>（五）浙南产业集聚区：全区域。</w:t>
      </w:r>
    </w:p>
    <w:p w:rsidR="003D567B" w:rsidRPr="009F69CD" w:rsidRDefault="003D567B" w:rsidP="003D567B">
      <w:pPr>
        <w:pStyle w:val="01"/>
        <w:ind w:firstLine="640"/>
        <w:rPr>
          <w:rFonts w:ascii="黑体" w:eastAsia="黑体" w:hAnsi="黑体"/>
        </w:rPr>
      </w:pPr>
      <w:r w:rsidRPr="009F69CD">
        <w:rPr>
          <w:rFonts w:ascii="黑体" w:eastAsia="黑体" w:hAnsi="黑体" w:hint="eastAsia"/>
          <w:bCs/>
          <w:kern w:val="0"/>
          <w:szCs w:val="30"/>
        </w:rPr>
        <w:t>二、</w:t>
      </w:r>
      <w:r w:rsidRPr="009F69CD">
        <w:rPr>
          <w:rFonts w:ascii="黑体" w:eastAsia="黑体" w:hAnsi="黑体" w:hint="eastAsia"/>
        </w:rPr>
        <w:t>禁燃区内禁止燃用的燃料组合</w:t>
      </w:r>
    </w:p>
    <w:p w:rsidR="003D567B" w:rsidRPr="009F343D" w:rsidRDefault="003D567B" w:rsidP="003D567B">
      <w:pPr>
        <w:pStyle w:val="01"/>
        <w:ind w:firstLine="640"/>
        <w:rPr>
          <w:rFonts w:ascii="仿宋_GB2312" w:hAnsi="仿宋"/>
        </w:rPr>
      </w:pPr>
      <w:r w:rsidRPr="009F343D">
        <w:rPr>
          <w:rFonts w:ascii="仿宋_GB2312" w:hAnsi="仿宋" w:hint="eastAsia"/>
        </w:rPr>
        <w:t>（一）煤炭及其制品。</w:t>
      </w:r>
    </w:p>
    <w:p w:rsidR="003D567B" w:rsidRPr="009F343D" w:rsidRDefault="003D567B" w:rsidP="003D567B">
      <w:pPr>
        <w:pStyle w:val="01"/>
        <w:ind w:firstLine="640"/>
        <w:rPr>
          <w:rFonts w:ascii="仿宋_GB2312" w:hAnsi="仿宋"/>
        </w:rPr>
      </w:pPr>
      <w:r w:rsidRPr="009F343D">
        <w:rPr>
          <w:rFonts w:ascii="仿宋_GB2312" w:hAnsi="仿宋" w:hint="eastAsia"/>
        </w:rPr>
        <w:t>（二）石油焦、油页岩、原油、重油、渣油、煤焦油。</w:t>
      </w:r>
    </w:p>
    <w:p w:rsidR="003D567B" w:rsidRPr="009F343D" w:rsidRDefault="003D567B" w:rsidP="003D567B">
      <w:pPr>
        <w:pStyle w:val="01"/>
        <w:ind w:firstLine="640"/>
        <w:rPr>
          <w:rFonts w:ascii="仿宋_GB2312" w:hAnsi="仿宋"/>
        </w:rPr>
      </w:pPr>
      <w:r w:rsidRPr="009F343D">
        <w:rPr>
          <w:rFonts w:ascii="仿宋_GB2312" w:hAnsi="仿宋" w:hint="eastAsia"/>
        </w:rPr>
        <w:t>（三）非专用锅炉或未配置高效除尘设施的专用锅炉燃</w:t>
      </w:r>
      <w:r w:rsidRPr="009F343D">
        <w:rPr>
          <w:rFonts w:ascii="仿宋_GB2312" w:hAnsi="仿宋" w:hint="eastAsia"/>
        </w:rPr>
        <w:lastRenderedPageBreak/>
        <w:t>用的生物质成型燃料。</w:t>
      </w:r>
    </w:p>
    <w:p w:rsidR="003D567B" w:rsidRPr="009F343D" w:rsidRDefault="003D567B" w:rsidP="003D567B">
      <w:pPr>
        <w:pStyle w:val="01"/>
        <w:ind w:firstLine="640"/>
        <w:rPr>
          <w:rFonts w:ascii="仿宋_GB2312" w:hAnsi="仿宋"/>
          <w:szCs w:val="32"/>
        </w:rPr>
      </w:pPr>
      <w:r w:rsidRPr="009F343D">
        <w:rPr>
          <w:rFonts w:ascii="仿宋_GB2312" w:hAnsi="仿宋" w:hint="eastAsia"/>
        </w:rPr>
        <w:t>三、禁燃区内现有高污染燃料设施（集中供热、热电联产机组、城镇生活污水处理厂污泥干化焚烧项目除外）应于2018年底前自行淘汰改造，改用管道天然气、液化石油气、电、生物柴油或其他清洁能源。逾</w:t>
      </w:r>
      <w:r w:rsidRPr="009F343D">
        <w:rPr>
          <w:rFonts w:ascii="仿宋_GB2312" w:hAnsi="仿宋" w:hint="eastAsia"/>
          <w:szCs w:val="32"/>
        </w:rPr>
        <w:t>期继续使用高污染燃料的，由环保、综合行政执法等主管部门依法没收或者组织拆除燃用高污染燃料的设施（其中饮食服务业违法使用高污染燃料的，由综合行政执法部门负责依法查处）。</w:t>
      </w:r>
    </w:p>
    <w:p w:rsidR="003D567B" w:rsidRPr="009F343D" w:rsidRDefault="003D567B" w:rsidP="003D567B">
      <w:pPr>
        <w:pStyle w:val="01"/>
        <w:ind w:firstLine="640"/>
        <w:rPr>
          <w:rFonts w:ascii="仿宋_GB2312" w:hAnsi="仿宋"/>
          <w:szCs w:val="32"/>
        </w:rPr>
      </w:pPr>
      <w:r w:rsidRPr="009F343D">
        <w:rPr>
          <w:rFonts w:ascii="仿宋_GB2312" w:hAnsi="仿宋" w:hint="eastAsia"/>
          <w:szCs w:val="32"/>
        </w:rPr>
        <w:t>四、自本通告实施之日起，禁燃区内不得新建、扩建、改建高污染燃料设施。高污染燃料设施改造期限到期后，禁燃区内禁止销售、燃用相应类型的高污染燃料。</w:t>
      </w:r>
    </w:p>
    <w:p w:rsidR="003D567B" w:rsidRPr="009F343D" w:rsidRDefault="003D567B" w:rsidP="003D567B">
      <w:pPr>
        <w:pStyle w:val="01"/>
        <w:ind w:firstLine="640"/>
        <w:rPr>
          <w:rFonts w:ascii="仿宋_GB2312" w:hAnsi="仿宋"/>
          <w:szCs w:val="32"/>
        </w:rPr>
      </w:pPr>
      <w:r w:rsidRPr="009F343D">
        <w:rPr>
          <w:rFonts w:ascii="仿宋_GB2312" w:hAnsi="仿宋" w:hint="eastAsia"/>
          <w:szCs w:val="32"/>
        </w:rPr>
        <w:t>五、高污染燃料设施拆除或者改用清洁能源之前，有关单位和个人应当采取有效措施，确保污染物排放达到国家规定的排放标准，不得发生冒黑烟和烟尘扰民等影响居民正常生活的现象。</w:t>
      </w:r>
    </w:p>
    <w:p w:rsidR="003D567B" w:rsidRPr="009F343D" w:rsidRDefault="003D567B" w:rsidP="003D567B">
      <w:pPr>
        <w:pStyle w:val="01"/>
        <w:ind w:firstLine="640"/>
        <w:rPr>
          <w:rFonts w:ascii="仿宋_GB2312" w:hAnsi="仿宋"/>
        </w:rPr>
      </w:pPr>
      <w:r w:rsidRPr="009F343D">
        <w:rPr>
          <w:rFonts w:ascii="仿宋_GB2312" w:hAnsi="仿宋" w:hint="eastAsia"/>
          <w:bCs/>
          <w:kern w:val="0"/>
        </w:rPr>
        <w:t>六、</w:t>
      </w:r>
      <w:r w:rsidRPr="009F343D">
        <w:rPr>
          <w:rFonts w:ascii="仿宋_GB2312" w:hAnsi="仿宋" w:hint="eastAsia"/>
        </w:rPr>
        <w:t>各区政府（管委会），各级发改、经信、公安、综合行政执法、商务、卫计、环保、市场监管、质监等部门要按照各自职责，加大清洁能源的应用推广力度，加快天然气、集中供热等相关基础设施的规划和建设，严肃查处各类违法销售、使用高污染燃料行为，积极鼓励、引导辖区内单位和个人自行淘汰高污染燃料，共同做好禁燃区实施工作。</w:t>
      </w:r>
    </w:p>
    <w:p w:rsidR="003D567B" w:rsidRPr="002D6483" w:rsidRDefault="003D567B" w:rsidP="003D567B">
      <w:pPr>
        <w:pStyle w:val="01"/>
        <w:ind w:firstLine="640"/>
        <w:rPr>
          <w:rFonts w:ascii="仿宋" w:eastAsia="仿宋" w:hAnsi="仿宋"/>
        </w:rPr>
      </w:pPr>
      <w:r w:rsidRPr="009F343D">
        <w:rPr>
          <w:rFonts w:ascii="仿宋_GB2312" w:hAnsi="仿宋" w:hint="eastAsia"/>
        </w:rPr>
        <w:t>七、本通告自发布之日起实施。原《温州市人民政府关于扩大市区高污染燃料禁燃区范围的通告》（〔2015〕4号）同时废止。</w:t>
      </w:r>
    </w:p>
    <w:p w:rsidR="003D567B" w:rsidRPr="002D6483" w:rsidRDefault="003D567B" w:rsidP="003D567B">
      <w:pPr>
        <w:spacing w:line="560" w:lineRule="exact"/>
        <w:jc w:val="left"/>
        <w:rPr>
          <w:rFonts w:ascii="仿宋" w:eastAsia="仿宋" w:hAnsi="仿宋"/>
          <w:kern w:val="0"/>
          <w:sz w:val="32"/>
          <w:szCs w:val="32"/>
        </w:rPr>
      </w:pPr>
    </w:p>
    <w:p w:rsidR="003D567B" w:rsidRPr="002D6483" w:rsidRDefault="003D567B" w:rsidP="003D567B">
      <w:pPr>
        <w:spacing w:line="560" w:lineRule="exact"/>
        <w:jc w:val="right"/>
        <w:rPr>
          <w:rFonts w:ascii="仿宋" w:eastAsia="仿宋" w:hAnsi="仿宋"/>
          <w:kern w:val="0"/>
          <w:sz w:val="32"/>
          <w:szCs w:val="32"/>
        </w:rPr>
      </w:pPr>
    </w:p>
    <w:p w:rsidR="003D567B" w:rsidRPr="002D6483" w:rsidRDefault="003D567B" w:rsidP="003D567B">
      <w:pPr>
        <w:wordWrap w:val="0"/>
        <w:spacing w:line="560" w:lineRule="exact"/>
        <w:jc w:val="right"/>
        <w:rPr>
          <w:rFonts w:ascii="仿宋" w:eastAsia="仿宋" w:hAnsi="仿宋"/>
          <w:kern w:val="0"/>
          <w:sz w:val="32"/>
          <w:szCs w:val="32"/>
        </w:rPr>
      </w:pPr>
      <w:r>
        <w:rPr>
          <w:rFonts w:ascii="仿宋" w:eastAsia="仿宋" w:hAnsi="仿宋" w:hint="eastAsia"/>
          <w:kern w:val="0"/>
          <w:sz w:val="32"/>
          <w:szCs w:val="32"/>
        </w:rPr>
        <w:t xml:space="preserve">    </w:t>
      </w:r>
    </w:p>
    <w:p w:rsidR="003D567B" w:rsidRPr="009F343D" w:rsidRDefault="003D567B" w:rsidP="003D567B">
      <w:pPr>
        <w:wordWrap w:val="0"/>
        <w:spacing w:line="500" w:lineRule="exact"/>
        <w:jc w:val="right"/>
        <w:rPr>
          <w:rFonts w:ascii="仿宋_GB2312" w:eastAsia="仿宋_GB2312"/>
          <w:sz w:val="32"/>
          <w:szCs w:val="32"/>
        </w:rPr>
      </w:pPr>
      <w:r w:rsidRPr="009F343D">
        <w:rPr>
          <w:rFonts w:ascii="仿宋_GB2312" w:eastAsia="仿宋_GB2312" w:hAnsi="仿宋" w:hint="eastAsia"/>
          <w:sz w:val="32"/>
          <w:szCs w:val="32"/>
        </w:rPr>
        <w:t>温州市人民政府</w:t>
      </w:r>
      <w:r w:rsidRPr="009F343D">
        <w:rPr>
          <w:rFonts w:ascii="仿宋_GB2312" w:eastAsia="仿宋_GB2312" w:hint="eastAsia"/>
          <w:sz w:val="32"/>
          <w:szCs w:val="32"/>
        </w:rPr>
        <w:t xml:space="preserve">       </w:t>
      </w:r>
    </w:p>
    <w:p w:rsidR="003D567B" w:rsidRPr="009F343D" w:rsidRDefault="003D567B" w:rsidP="003D567B">
      <w:pPr>
        <w:wordWrap w:val="0"/>
        <w:spacing w:line="500" w:lineRule="exact"/>
        <w:jc w:val="right"/>
        <w:rPr>
          <w:rFonts w:ascii="仿宋_GB2312" w:eastAsia="仿宋_GB2312"/>
          <w:sz w:val="32"/>
          <w:szCs w:val="32"/>
        </w:rPr>
      </w:pPr>
      <w:r>
        <w:rPr>
          <w:rFonts w:ascii="仿宋_GB2312" w:eastAsia="仿宋_GB2312" w:hint="eastAsia"/>
          <w:sz w:val="32"/>
          <w:szCs w:val="32"/>
        </w:rPr>
        <w:t>2018</w:t>
      </w:r>
      <w:r w:rsidRPr="009F343D">
        <w:rPr>
          <w:rFonts w:ascii="仿宋_GB2312" w:eastAsia="仿宋_GB2312" w:hint="eastAsia"/>
          <w:sz w:val="32"/>
          <w:szCs w:val="32"/>
        </w:rPr>
        <w:t>年</w:t>
      </w:r>
      <w:r>
        <w:rPr>
          <w:rFonts w:ascii="仿宋_GB2312" w:eastAsia="仿宋_GB2312" w:hint="eastAsia"/>
          <w:sz w:val="32"/>
          <w:szCs w:val="32"/>
        </w:rPr>
        <w:t>9</w:t>
      </w:r>
      <w:r w:rsidRPr="009F343D">
        <w:rPr>
          <w:rFonts w:ascii="仿宋_GB2312" w:eastAsia="仿宋_GB2312" w:hint="eastAsia"/>
          <w:sz w:val="32"/>
          <w:szCs w:val="32"/>
        </w:rPr>
        <w:t xml:space="preserve">月XX日       </w:t>
      </w:r>
    </w:p>
    <w:p w:rsidR="00425C82" w:rsidRPr="003D567B" w:rsidRDefault="00425C82" w:rsidP="00425C82">
      <w:pPr>
        <w:ind w:firstLine="420"/>
      </w:pPr>
    </w:p>
    <w:sectPr w:rsidR="00425C82" w:rsidRPr="003D567B" w:rsidSect="00CB5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FF" w:rsidRDefault="00D628FF" w:rsidP="00425C82">
      <w:r>
        <w:separator/>
      </w:r>
    </w:p>
  </w:endnote>
  <w:endnote w:type="continuationSeparator" w:id="1">
    <w:p w:rsidR="00D628FF" w:rsidRDefault="00D628FF" w:rsidP="00425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FF" w:rsidRDefault="00D628FF" w:rsidP="00425C82">
      <w:r>
        <w:separator/>
      </w:r>
    </w:p>
  </w:footnote>
  <w:footnote w:type="continuationSeparator" w:id="1">
    <w:p w:rsidR="00D628FF" w:rsidRDefault="00D628FF" w:rsidP="00425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C82"/>
    <w:rsid w:val="000F7000"/>
    <w:rsid w:val="00171935"/>
    <w:rsid w:val="001C18CE"/>
    <w:rsid w:val="002C4574"/>
    <w:rsid w:val="003B27B7"/>
    <w:rsid w:val="003C1177"/>
    <w:rsid w:val="003D567B"/>
    <w:rsid w:val="00422F69"/>
    <w:rsid w:val="00425C82"/>
    <w:rsid w:val="004559E4"/>
    <w:rsid w:val="00466305"/>
    <w:rsid w:val="00522A91"/>
    <w:rsid w:val="005E34E3"/>
    <w:rsid w:val="00694688"/>
    <w:rsid w:val="006D04A4"/>
    <w:rsid w:val="0073178B"/>
    <w:rsid w:val="007A7B36"/>
    <w:rsid w:val="008A3C6D"/>
    <w:rsid w:val="00911523"/>
    <w:rsid w:val="009E1804"/>
    <w:rsid w:val="00AB2179"/>
    <w:rsid w:val="00AE004A"/>
    <w:rsid w:val="00B523F6"/>
    <w:rsid w:val="00C02F4F"/>
    <w:rsid w:val="00C22BC8"/>
    <w:rsid w:val="00C84837"/>
    <w:rsid w:val="00CB5B8C"/>
    <w:rsid w:val="00D616C3"/>
    <w:rsid w:val="00D628FF"/>
    <w:rsid w:val="00D76A1E"/>
    <w:rsid w:val="00E91188"/>
    <w:rsid w:val="00EC6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C82"/>
    <w:rPr>
      <w:sz w:val="18"/>
      <w:szCs w:val="18"/>
    </w:rPr>
  </w:style>
  <w:style w:type="paragraph" w:styleId="a4">
    <w:name w:val="footer"/>
    <w:basedOn w:val="a"/>
    <w:link w:val="Char0"/>
    <w:uiPriority w:val="99"/>
    <w:semiHidden/>
    <w:unhideWhenUsed/>
    <w:rsid w:val="00425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C82"/>
    <w:rPr>
      <w:sz w:val="18"/>
      <w:szCs w:val="18"/>
    </w:rPr>
  </w:style>
  <w:style w:type="character" w:styleId="a5">
    <w:name w:val="Hyperlink"/>
    <w:basedOn w:val="a0"/>
    <w:uiPriority w:val="99"/>
    <w:unhideWhenUsed/>
    <w:rsid w:val="00425C82"/>
    <w:rPr>
      <w:color w:val="0000FF" w:themeColor="hyperlink"/>
      <w:u w:val="single"/>
    </w:rPr>
  </w:style>
  <w:style w:type="paragraph" w:customStyle="1" w:styleId="a6">
    <w:name w:val="一级标题"/>
    <w:basedOn w:val="a"/>
    <w:link w:val="Char1"/>
    <w:rsid w:val="003D567B"/>
    <w:pPr>
      <w:adjustRightInd w:val="0"/>
      <w:snapToGrid w:val="0"/>
      <w:jc w:val="center"/>
      <w:outlineLvl w:val="0"/>
    </w:pPr>
    <w:rPr>
      <w:rFonts w:ascii="Times New Roman" w:eastAsia="方正小标宋简体" w:hAnsi="Times New Roman" w:cs="Times New Roman"/>
      <w:bCs/>
      <w:snapToGrid w:val="0"/>
      <w:sz w:val="36"/>
      <w:szCs w:val="24"/>
    </w:rPr>
  </w:style>
  <w:style w:type="paragraph" w:customStyle="1" w:styleId="01">
    <w:name w:val="正文01"/>
    <w:basedOn w:val="a"/>
    <w:link w:val="01Char1"/>
    <w:rsid w:val="003D567B"/>
    <w:pPr>
      <w:spacing w:line="560" w:lineRule="exact"/>
      <w:ind w:firstLineChars="200" w:firstLine="200"/>
    </w:pPr>
    <w:rPr>
      <w:rFonts w:ascii="Times New Roman" w:eastAsia="仿宋_GB2312" w:hAnsi="Times New Roman" w:cs="Times New Roman"/>
      <w:color w:val="000000"/>
      <w:sz w:val="32"/>
      <w:szCs w:val="24"/>
    </w:rPr>
  </w:style>
  <w:style w:type="character" w:customStyle="1" w:styleId="Char1">
    <w:name w:val="一级标题 Char"/>
    <w:link w:val="a6"/>
    <w:locked/>
    <w:rsid w:val="003D567B"/>
    <w:rPr>
      <w:rFonts w:ascii="Times New Roman" w:eastAsia="方正小标宋简体" w:hAnsi="Times New Roman" w:cs="Times New Roman"/>
      <w:bCs/>
      <w:snapToGrid w:val="0"/>
      <w:sz w:val="36"/>
      <w:szCs w:val="24"/>
    </w:rPr>
  </w:style>
  <w:style w:type="character" w:customStyle="1" w:styleId="01Char1">
    <w:name w:val="正文01 Char1"/>
    <w:link w:val="01"/>
    <w:rsid w:val="003D567B"/>
    <w:rPr>
      <w:rFonts w:ascii="Times New Roman" w:eastAsia="仿宋_GB2312" w:hAnsi="Times New Roman" w:cs="Times New Roman"/>
      <w:color w:val="000000"/>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叶芙蓉</cp:lastModifiedBy>
  <cp:revision>2</cp:revision>
  <dcterms:created xsi:type="dcterms:W3CDTF">2018-09-17T01:33:00Z</dcterms:created>
  <dcterms:modified xsi:type="dcterms:W3CDTF">2018-09-17T01:33:00Z</dcterms:modified>
</cp:coreProperties>
</file>