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eastAsia="黑体" w:cs="黑体"/>
          <w:spacing w:val="15"/>
          <w:sz w:val="28"/>
          <w:szCs w:val="28"/>
        </w:rPr>
      </w:pPr>
    </w:p>
    <w:p>
      <w:pPr>
        <w:spacing w:line="600" w:lineRule="exact"/>
        <w:jc w:val="center"/>
        <w:rPr>
          <w:rFonts w:ascii="黑体" w:eastAsia="黑体"/>
          <w:bCs/>
          <w:sz w:val="36"/>
          <w:szCs w:val="36"/>
        </w:rPr>
      </w:pPr>
      <w:r>
        <w:rPr>
          <w:rStyle w:val="8"/>
          <w:rFonts w:hint="eastAsia" w:ascii="黑体" w:eastAsia="黑体"/>
          <w:sz w:val="36"/>
          <w:szCs w:val="36"/>
        </w:rPr>
        <w:t>温州市妇女联合会</w:t>
      </w:r>
      <w:r>
        <w:rPr>
          <w:rFonts w:ascii="黑体" w:eastAsia="黑体" w:cs="黑体"/>
          <w:spacing w:val="15"/>
          <w:sz w:val="36"/>
          <w:szCs w:val="36"/>
        </w:rPr>
        <w:t>2016</w:t>
      </w:r>
      <w:r>
        <w:rPr>
          <w:rFonts w:hint="eastAsia" w:ascii="黑体" w:eastAsia="黑体" w:cs="黑体"/>
          <w:spacing w:val="15"/>
          <w:sz w:val="36"/>
          <w:szCs w:val="36"/>
        </w:rPr>
        <w:t>年度部门决算</w:t>
      </w:r>
    </w:p>
    <w:p>
      <w:pPr>
        <w:autoSpaceDE w:val="0"/>
        <w:autoSpaceDN w:val="0"/>
        <w:adjustRightInd w:val="0"/>
        <w:spacing w:line="560" w:lineRule="exact"/>
        <w:ind w:firstLine="590"/>
        <w:rPr>
          <w:rFonts w:ascii="Times New Roman" w:hAnsi="Times New Roman" w:eastAsia="黑体"/>
          <w:b/>
          <w:bCs/>
          <w:sz w:val="30"/>
          <w:szCs w:val="30"/>
        </w:rPr>
      </w:pPr>
    </w:p>
    <w:p>
      <w:pPr>
        <w:spacing w:line="600" w:lineRule="exact"/>
        <w:ind w:firstLine="627" w:firstLineChars="196"/>
        <w:rPr>
          <w:rStyle w:val="8"/>
          <w:rFonts w:ascii="黑体" w:eastAsia="黑体"/>
          <w:b w:val="0"/>
          <w:bCs/>
          <w:sz w:val="32"/>
          <w:szCs w:val="32"/>
        </w:rPr>
      </w:pPr>
      <w:r>
        <w:rPr>
          <w:rStyle w:val="8"/>
          <w:rFonts w:hint="eastAsia" w:ascii="黑体" w:eastAsia="黑体"/>
          <w:b w:val="0"/>
          <w:bCs/>
          <w:sz w:val="32"/>
          <w:szCs w:val="32"/>
        </w:rPr>
        <w:t>一、温州市妇女联合会</w:t>
      </w:r>
      <w:r>
        <w:rPr>
          <w:rStyle w:val="8"/>
          <w:rFonts w:ascii="黑体" w:eastAsia="黑体"/>
          <w:b w:val="0"/>
          <w:bCs/>
          <w:sz w:val="32"/>
          <w:szCs w:val="32"/>
        </w:rPr>
        <w:t>2016</w:t>
      </w:r>
      <w:r>
        <w:rPr>
          <w:rStyle w:val="8"/>
          <w:rFonts w:hint="eastAsia" w:ascii="黑体" w:eastAsia="黑体"/>
          <w:b w:val="0"/>
          <w:bCs/>
          <w:sz w:val="32"/>
          <w:szCs w:val="32"/>
        </w:rPr>
        <w:t>年度部门决算概况</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（一）主要职能</w:t>
      </w:r>
    </w:p>
    <w:p>
      <w:pPr>
        <w:snapToGrid w:val="0"/>
        <w:spacing w:line="572" w:lineRule="exact"/>
        <w:ind w:firstLine="640" w:firstLineChars="200"/>
        <w:rPr>
          <w:rFonts w:ascii="仿宋_GB2312" w:hAnsi="仿宋_GB2312" w:eastAsia="仿宋_GB2312"/>
          <w:sz w:val="32"/>
        </w:rPr>
      </w:pPr>
      <w:r>
        <w:rPr>
          <w:rFonts w:hint="eastAsia" w:ascii="仿宋_GB2312" w:hAnsi="仿宋_GB2312" w:eastAsia="仿宋_GB2312"/>
          <w:sz w:val="32"/>
        </w:rPr>
        <w:t>温州市妇女联合会（简称市妇联）是温州市各族各界妇女在中共温州市委领导下，为争取进一步解放而联合起来的社会群众团体，是党和政府联合妇女群众的桥梁和纽带，是国家政权的重要社会支柱。市妇联的基本职能是：代表和维护妇女权益，促进男女平等。主要任务是：</w:t>
      </w:r>
    </w:p>
    <w:p>
      <w:pPr>
        <w:snapToGrid w:val="0"/>
        <w:spacing w:line="572" w:lineRule="exact"/>
        <w:ind w:firstLine="640" w:firstLineChars="200"/>
        <w:rPr>
          <w:rFonts w:ascii="仿宋_GB2312" w:hAnsi="仿宋_GB2312" w:eastAsia="仿宋_GB2312"/>
          <w:sz w:val="32"/>
        </w:rPr>
      </w:pPr>
      <w:r>
        <w:rPr>
          <w:rFonts w:ascii="仿宋_GB2312" w:hAnsi="仿宋_GB2312" w:eastAsia="仿宋_GB2312"/>
          <w:sz w:val="32"/>
        </w:rPr>
        <w:t>1.</w:t>
      </w:r>
      <w:r>
        <w:rPr>
          <w:rFonts w:hint="eastAsia" w:ascii="仿宋_GB2312" w:hAnsi="仿宋_GB2312" w:eastAsia="仿宋_GB2312"/>
          <w:sz w:val="32"/>
        </w:rPr>
        <w:t>根据党的路线、方针、政策和各个时期的中心任务以及市委和上级妇联的指示、决定，团结、动员、组织全市妇女投身改革开放和现代化建设，积极促进经济发展和社会全面进步；</w:t>
      </w:r>
    </w:p>
    <w:p>
      <w:pPr>
        <w:snapToGrid w:val="0"/>
        <w:spacing w:line="572" w:lineRule="exact"/>
        <w:ind w:firstLine="640" w:firstLineChars="200"/>
        <w:rPr>
          <w:rFonts w:ascii="仿宋_GB2312" w:hAnsi="仿宋_GB2312" w:eastAsia="仿宋_GB2312"/>
          <w:sz w:val="32"/>
        </w:rPr>
      </w:pPr>
      <w:r>
        <w:rPr>
          <w:rFonts w:ascii="仿宋_GB2312" w:hAnsi="仿宋_GB2312" w:eastAsia="仿宋_GB2312"/>
          <w:sz w:val="32"/>
        </w:rPr>
        <w:t>2.</w:t>
      </w:r>
      <w:r>
        <w:rPr>
          <w:rFonts w:hint="eastAsia" w:ascii="仿宋_GB2312" w:hAnsi="仿宋_GB2312" w:eastAsia="仿宋_GB2312"/>
          <w:sz w:val="32"/>
        </w:rPr>
        <w:t>指导全市各级妇联依据《中华全国妇女联合会章程》和妇女代表大会的决议，开展妇女儿童工作；联系团体会员，并给予业务指导；</w:t>
      </w:r>
    </w:p>
    <w:p>
      <w:pPr>
        <w:snapToGrid w:val="0"/>
        <w:spacing w:line="572" w:lineRule="exact"/>
        <w:ind w:firstLine="640" w:firstLineChars="200"/>
        <w:rPr>
          <w:rFonts w:ascii="仿宋_GB2312" w:hAnsi="仿宋_GB2312" w:eastAsia="仿宋_GB2312"/>
          <w:sz w:val="32"/>
        </w:rPr>
      </w:pPr>
      <w:r>
        <w:rPr>
          <w:rFonts w:ascii="仿宋_GB2312" w:hAnsi="仿宋_GB2312" w:eastAsia="仿宋_GB2312"/>
          <w:sz w:val="32"/>
        </w:rPr>
        <w:t>3.</w:t>
      </w:r>
      <w:r>
        <w:rPr>
          <w:rFonts w:hint="eastAsia" w:ascii="仿宋_GB2312" w:hAnsi="仿宋_GB2312" w:eastAsia="仿宋_GB2312"/>
          <w:sz w:val="32"/>
        </w:rPr>
        <w:t>调查研究全市妇女儿童的情况和问题，及时向市委、市政府和上级妇联反映，提出建议；</w:t>
      </w:r>
    </w:p>
    <w:p>
      <w:pPr>
        <w:snapToGrid w:val="0"/>
        <w:spacing w:line="572" w:lineRule="exact"/>
        <w:ind w:firstLine="640" w:firstLineChars="200"/>
        <w:rPr>
          <w:rFonts w:ascii="仿宋_GB2312" w:hAnsi="仿宋_GB2312" w:eastAsia="仿宋_GB2312"/>
          <w:sz w:val="32"/>
        </w:rPr>
      </w:pPr>
      <w:r>
        <w:rPr>
          <w:rFonts w:ascii="仿宋_GB2312" w:hAnsi="仿宋_GB2312" w:eastAsia="仿宋_GB2312"/>
          <w:sz w:val="32"/>
        </w:rPr>
        <w:t>4.</w:t>
      </w:r>
      <w:r>
        <w:rPr>
          <w:rFonts w:hint="eastAsia" w:ascii="仿宋_GB2312" w:hAnsi="仿宋_GB2312" w:eastAsia="仿宋_GB2312"/>
          <w:sz w:val="32"/>
        </w:rPr>
        <w:t>宣传马克思主义妇女观，教育、引导妇女树立正确的世界观、人生观、价值观，弘扬“自尊、自信、自立、自强”的精神，积极推动和发展对妇女的科学文化及生产劳动技能教育培训，提高妇女综合素质，促进全面发展；</w:t>
      </w:r>
    </w:p>
    <w:p>
      <w:pPr>
        <w:snapToGrid w:val="0"/>
        <w:spacing w:line="572" w:lineRule="exact"/>
        <w:ind w:firstLine="640" w:firstLineChars="200"/>
        <w:rPr>
          <w:rFonts w:ascii="仿宋_GB2312" w:hAnsi="仿宋_GB2312" w:eastAsia="仿宋_GB2312"/>
          <w:sz w:val="32"/>
        </w:rPr>
      </w:pPr>
      <w:r>
        <w:rPr>
          <w:rFonts w:ascii="仿宋_GB2312" w:hAnsi="仿宋_GB2312" w:eastAsia="仿宋_GB2312"/>
          <w:sz w:val="32"/>
        </w:rPr>
        <w:t>5.</w:t>
      </w:r>
      <w:r>
        <w:rPr>
          <w:rFonts w:hint="eastAsia" w:ascii="仿宋_GB2312" w:hAnsi="仿宋_GB2312" w:eastAsia="仿宋_GB2312"/>
          <w:sz w:val="32"/>
        </w:rPr>
        <w:t>代表妇女参与国家和社会事务的民主管理、民主监督，参与有关妇女儿童政策的制定，维护妇女儿童合法权益；推荐、输送妇女人才，促进妇女参政；</w:t>
      </w:r>
    </w:p>
    <w:p>
      <w:pPr>
        <w:snapToGrid w:val="0"/>
        <w:spacing w:line="572" w:lineRule="exact"/>
        <w:ind w:firstLine="640" w:firstLineChars="200"/>
        <w:rPr>
          <w:rFonts w:ascii="仿宋_GB2312" w:hAnsi="仿宋_GB2312" w:eastAsia="仿宋_GB2312"/>
          <w:sz w:val="32"/>
        </w:rPr>
      </w:pPr>
      <w:r>
        <w:rPr>
          <w:rFonts w:ascii="仿宋_GB2312" w:hAnsi="仿宋_GB2312" w:eastAsia="仿宋_GB2312"/>
          <w:sz w:val="32"/>
        </w:rPr>
        <w:t>6.</w:t>
      </w:r>
      <w:r>
        <w:rPr>
          <w:rFonts w:hint="eastAsia" w:ascii="仿宋_GB2312" w:hAnsi="仿宋_GB2312" w:eastAsia="仿宋_GB2312"/>
          <w:sz w:val="32"/>
        </w:rPr>
        <w:t>加强与各族各界妇女的联系，巩固和扩大妇女的大团结；加强同台、港、澳地区及华侨妇女的联谊，发展同世界各国妇女组织的友好交往，增进友谊，加强合作；</w:t>
      </w:r>
    </w:p>
    <w:p>
      <w:pPr>
        <w:snapToGrid w:val="0"/>
        <w:spacing w:line="572" w:lineRule="exact"/>
        <w:ind w:firstLine="640" w:firstLineChars="200"/>
        <w:rPr>
          <w:rFonts w:ascii="仿宋_GB2312" w:hAnsi="仿宋_GB2312" w:eastAsia="仿宋_GB2312"/>
          <w:sz w:val="32"/>
        </w:rPr>
      </w:pPr>
      <w:r>
        <w:rPr>
          <w:rFonts w:ascii="仿宋_GB2312" w:hAnsi="仿宋_GB2312" w:eastAsia="仿宋_GB2312"/>
          <w:sz w:val="32"/>
        </w:rPr>
        <w:t>7.</w:t>
      </w:r>
      <w:r>
        <w:rPr>
          <w:rFonts w:hint="eastAsia" w:ascii="仿宋_GB2312" w:hAnsi="仿宋_GB2312" w:eastAsia="仿宋_GB2312"/>
          <w:sz w:val="32"/>
        </w:rPr>
        <w:t>承担市政府妇女儿童工作委员会办公室的工作，推动温州市妇女、儿童发展规划的实施；</w:t>
      </w:r>
    </w:p>
    <w:p>
      <w:pPr>
        <w:snapToGrid w:val="0"/>
        <w:spacing w:line="572" w:lineRule="exact"/>
        <w:ind w:firstLine="640" w:firstLineChars="200"/>
        <w:rPr>
          <w:rFonts w:ascii="仿宋_GB2312" w:hAnsi="仿宋_GB2312" w:eastAsia="仿宋_GB2312"/>
          <w:sz w:val="32"/>
        </w:rPr>
      </w:pPr>
      <w:r>
        <w:rPr>
          <w:rFonts w:ascii="仿宋_GB2312" w:hAnsi="仿宋_GB2312" w:eastAsia="仿宋_GB2312"/>
          <w:sz w:val="32"/>
        </w:rPr>
        <w:t>8.</w:t>
      </w:r>
      <w:r>
        <w:rPr>
          <w:rFonts w:hint="eastAsia" w:ascii="仿宋_GB2312" w:hAnsi="仿宋_GB2312" w:eastAsia="仿宋_GB2312"/>
          <w:sz w:val="32"/>
        </w:rPr>
        <w:t>承办市委、市政府交办的其他工作。</w:t>
      </w:r>
    </w:p>
    <w:p>
      <w:pPr>
        <w:numPr>
          <w:ilvl w:val="0"/>
          <w:numId w:val="1"/>
        </w:num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部门决算单位构成</w:t>
      </w:r>
    </w:p>
    <w:p>
      <w:pPr>
        <w:autoSpaceDE w:val="0"/>
        <w:autoSpaceDN w:val="0"/>
        <w:adjustRightInd w:val="0"/>
        <w:spacing w:line="560" w:lineRule="exact"/>
        <w:ind w:firstLine="585" w:firstLineChars="183"/>
        <w:rPr>
          <w:rFonts w:ascii="??" w:hAnsi="Times New Roman" w:eastAsia="Times New Roman" w:cs="??"/>
          <w:sz w:val="32"/>
          <w:szCs w:val="32"/>
        </w:rPr>
      </w:pPr>
      <w:r>
        <w:rPr>
          <w:rFonts w:hint="eastAsia" w:ascii="仿宋_GB2312" w:hAnsi="仿宋_GB2312" w:eastAsia="仿宋_GB2312"/>
          <w:sz w:val="32"/>
        </w:rPr>
        <w:t>温州市妇女联合会</w:t>
      </w:r>
      <w:r>
        <w:rPr>
          <w:rFonts w:ascii="仿宋_GB2312" w:hAnsi="仿宋_GB2312" w:eastAsia="仿宋_GB2312"/>
          <w:sz w:val="32"/>
        </w:rPr>
        <w:t>2016</w:t>
      </w:r>
      <w:r>
        <w:rPr>
          <w:rFonts w:hint="eastAsia" w:ascii="仿宋_GB2312" w:hAnsi="仿宋_GB2312" w:eastAsia="仿宋_GB2312"/>
          <w:sz w:val="32"/>
        </w:rPr>
        <w:t>年度部门决算共包含本级决算</w:t>
      </w:r>
      <w:r>
        <w:rPr>
          <w:rFonts w:ascii="仿宋_GB2312" w:hAnsi="仿宋_GB2312" w:eastAsia="仿宋_GB2312"/>
          <w:sz w:val="32"/>
        </w:rPr>
        <w:t>(</w:t>
      </w:r>
      <w:r>
        <w:rPr>
          <w:rFonts w:hint="eastAsia" w:ascii="仿宋_GB2312" w:hAnsi="仿宋_GB2312" w:eastAsia="仿宋_GB2312"/>
          <w:sz w:val="32"/>
        </w:rPr>
        <w:t>本级决算包括下属单位温州市家庭暴力投诉中心</w:t>
      </w:r>
      <w:r>
        <w:rPr>
          <w:rFonts w:ascii="仿宋_GB2312" w:hAnsi="仿宋_GB2312" w:eastAsia="仿宋_GB2312"/>
          <w:sz w:val="32"/>
        </w:rPr>
        <w:t>)</w:t>
      </w:r>
      <w:r>
        <w:rPr>
          <w:rFonts w:hint="eastAsia" w:ascii="仿宋_GB2312" w:hAnsi="仿宋_GB2312" w:eastAsia="仿宋_GB2312"/>
          <w:sz w:val="32"/>
        </w:rPr>
        <w:t>和下属单位决算共</w:t>
      </w:r>
      <w:r>
        <w:rPr>
          <w:rFonts w:ascii="仿宋_GB2312" w:hAnsi="仿宋_GB2312" w:eastAsia="仿宋_GB2312"/>
          <w:sz w:val="32"/>
        </w:rPr>
        <w:t>2</w:t>
      </w:r>
      <w:r>
        <w:rPr>
          <w:rFonts w:hint="eastAsia" w:ascii="仿宋_GB2312" w:hAnsi="仿宋_GB2312" w:eastAsia="仿宋_GB2312"/>
          <w:sz w:val="32"/>
        </w:rPr>
        <w:t>个，其中：行政单位</w:t>
      </w:r>
      <w:r>
        <w:rPr>
          <w:rFonts w:ascii="仿宋_GB2312" w:hAnsi="仿宋_GB2312" w:eastAsia="仿宋_GB2312"/>
          <w:sz w:val="32"/>
        </w:rPr>
        <w:t>1</w:t>
      </w:r>
      <w:r>
        <w:rPr>
          <w:rFonts w:hint="eastAsia" w:ascii="仿宋_GB2312" w:hAnsi="仿宋_GB2312" w:eastAsia="仿宋_GB2312"/>
          <w:sz w:val="32"/>
        </w:rPr>
        <w:t>个，事业单位</w:t>
      </w:r>
      <w:r>
        <w:rPr>
          <w:rFonts w:ascii="仿宋_GB2312" w:hAnsi="仿宋_GB2312" w:eastAsia="仿宋_GB2312"/>
          <w:sz w:val="32"/>
        </w:rPr>
        <w:t>1</w:t>
      </w:r>
      <w:r>
        <w:rPr>
          <w:rFonts w:hint="eastAsia" w:ascii="仿宋_GB2312" w:hAnsi="仿宋_GB2312" w:eastAsia="仿宋_GB2312"/>
          <w:sz w:val="32"/>
        </w:rPr>
        <w:t>个。</w:t>
      </w:r>
      <w:r>
        <w:rPr>
          <w:rFonts w:ascii="??" w:hAnsi="Times New Roman" w:eastAsia="Times New Roman" w:cs="??"/>
          <w:sz w:val="32"/>
          <w:szCs w:val="32"/>
        </w:rPr>
        <w:t>具体如下：</w:t>
      </w:r>
    </w:p>
    <w:tbl>
      <w:tblPr>
        <w:tblStyle w:val="6"/>
        <w:tblW w:w="6260" w:type="dxa"/>
        <w:jc w:val="center"/>
        <w:tblLayout w:type="fixed"/>
        <w:tblCellMar>
          <w:top w:w="0" w:type="dxa"/>
          <w:left w:w="108" w:type="dxa"/>
          <w:bottom w:w="0" w:type="dxa"/>
          <w:right w:w="108" w:type="dxa"/>
        </w:tblCellMar>
      </w:tblPr>
      <w:tblGrid>
        <w:gridCol w:w="760"/>
        <w:gridCol w:w="5500"/>
      </w:tblGrid>
      <w:tr>
        <w:tblPrEx>
          <w:tblCellMar>
            <w:top w:w="0" w:type="dxa"/>
            <w:left w:w="108" w:type="dxa"/>
            <w:bottom w:w="0" w:type="dxa"/>
            <w:right w:w="108" w:type="dxa"/>
          </w:tblCellMar>
        </w:tblPrEx>
        <w:trPr>
          <w:trHeight w:val="447" w:hRule="atLeast"/>
          <w:jc w:val="center"/>
        </w:trPr>
        <w:tc>
          <w:tcPr>
            <w:tcW w:w="76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Arial"/>
                <w:kern w:val="0"/>
                <w:sz w:val="22"/>
              </w:rPr>
            </w:pPr>
            <w:r>
              <w:rPr>
                <w:rFonts w:hint="eastAsia" w:ascii="宋体" w:hAnsi="宋体" w:cs="Arial"/>
                <w:kern w:val="0"/>
                <w:sz w:val="22"/>
              </w:rPr>
              <w:t>序号</w:t>
            </w:r>
          </w:p>
        </w:tc>
        <w:tc>
          <w:tcPr>
            <w:tcW w:w="5500" w:type="dxa"/>
            <w:tcBorders>
              <w:top w:val="single" w:color="auto" w:sz="4" w:space="0"/>
              <w:left w:val="nil"/>
              <w:bottom w:val="single" w:color="auto" w:sz="4" w:space="0"/>
              <w:right w:val="single" w:color="auto" w:sz="4" w:space="0"/>
            </w:tcBorders>
            <w:vAlign w:val="bottom"/>
          </w:tcPr>
          <w:p>
            <w:pPr>
              <w:widowControl/>
              <w:jc w:val="center"/>
              <w:rPr>
                <w:rFonts w:ascii="宋体" w:cs="Arial"/>
                <w:kern w:val="0"/>
                <w:sz w:val="22"/>
              </w:rPr>
            </w:pPr>
            <w:r>
              <w:rPr>
                <w:rFonts w:hint="eastAsia" w:ascii="宋体" w:hAnsi="宋体" w:cs="Arial"/>
                <w:kern w:val="0"/>
                <w:sz w:val="22"/>
              </w:rPr>
              <w:t>单位名称</w:t>
            </w:r>
          </w:p>
        </w:tc>
      </w:tr>
      <w:tr>
        <w:tblPrEx>
          <w:tblCellMar>
            <w:top w:w="0" w:type="dxa"/>
            <w:left w:w="108" w:type="dxa"/>
            <w:bottom w:w="0" w:type="dxa"/>
            <w:right w:w="108" w:type="dxa"/>
          </w:tblCellMar>
        </w:tblPrEx>
        <w:trPr>
          <w:trHeight w:val="311" w:hRule="atLeast"/>
          <w:jc w:val="center"/>
        </w:trPr>
        <w:tc>
          <w:tcPr>
            <w:tcW w:w="760" w:type="dxa"/>
            <w:tcBorders>
              <w:top w:val="nil"/>
              <w:left w:val="single" w:color="auto" w:sz="4" w:space="0"/>
              <w:bottom w:val="single" w:color="auto" w:sz="4" w:space="0"/>
              <w:right w:val="single" w:color="auto" w:sz="4" w:space="0"/>
            </w:tcBorders>
            <w:vAlign w:val="bottom"/>
          </w:tcPr>
          <w:p>
            <w:pPr>
              <w:widowControl/>
              <w:jc w:val="right"/>
              <w:rPr>
                <w:rFonts w:ascii="宋体" w:cs="Arial"/>
                <w:kern w:val="0"/>
                <w:sz w:val="22"/>
              </w:rPr>
            </w:pPr>
            <w:r>
              <w:rPr>
                <w:rFonts w:ascii="宋体" w:hAnsi="宋体" w:cs="Arial"/>
                <w:kern w:val="0"/>
                <w:sz w:val="22"/>
              </w:rPr>
              <w:t>1</w:t>
            </w:r>
          </w:p>
        </w:tc>
        <w:tc>
          <w:tcPr>
            <w:tcW w:w="5500" w:type="dxa"/>
            <w:tcBorders>
              <w:top w:val="nil"/>
              <w:left w:val="nil"/>
              <w:bottom w:val="single" w:color="auto" w:sz="4" w:space="0"/>
              <w:right w:val="single" w:color="auto" w:sz="4" w:space="0"/>
            </w:tcBorders>
            <w:vAlign w:val="bottom"/>
          </w:tcPr>
          <w:p>
            <w:pPr>
              <w:widowControl/>
              <w:jc w:val="left"/>
              <w:rPr>
                <w:rFonts w:ascii="宋体" w:cs="Arial"/>
                <w:kern w:val="0"/>
                <w:sz w:val="22"/>
              </w:rPr>
            </w:pPr>
            <w:r>
              <w:rPr>
                <w:rFonts w:hint="eastAsia" w:ascii="宋体" w:hAnsi="宋体" w:cs="Arial"/>
                <w:kern w:val="0"/>
                <w:sz w:val="22"/>
              </w:rPr>
              <w:t>　温州市妇女联合会（本级）</w:t>
            </w:r>
          </w:p>
        </w:tc>
      </w:tr>
      <w:tr>
        <w:tblPrEx>
          <w:tblCellMar>
            <w:top w:w="0" w:type="dxa"/>
            <w:left w:w="108" w:type="dxa"/>
            <w:bottom w:w="0" w:type="dxa"/>
            <w:right w:w="108" w:type="dxa"/>
          </w:tblCellMar>
        </w:tblPrEx>
        <w:trPr>
          <w:trHeight w:val="293" w:hRule="atLeast"/>
          <w:jc w:val="center"/>
        </w:trPr>
        <w:tc>
          <w:tcPr>
            <w:tcW w:w="760" w:type="dxa"/>
            <w:tcBorders>
              <w:top w:val="nil"/>
              <w:left w:val="single" w:color="auto" w:sz="4" w:space="0"/>
              <w:bottom w:val="single" w:color="auto" w:sz="4" w:space="0"/>
              <w:right w:val="single" w:color="auto" w:sz="4" w:space="0"/>
            </w:tcBorders>
            <w:vAlign w:val="bottom"/>
          </w:tcPr>
          <w:p>
            <w:pPr>
              <w:widowControl/>
              <w:jc w:val="right"/>
              <w:rPr>
                <w:rFonts w:ascii="宋体" w:cs="Arial"/>
                <w:kern w:val="0"/>
                <w:sz w:val="22"/>
              </w:rPr>
            </w:pPr>
            <w:r>
              <w:rPr>
                <w:rFonts w:ascii="宋体" w:hAnsi="宋体" w:cs="Arial"/>
                <w:kern w:val="0"/>
                <w:sz w:val="22"/>
              </w:rPr>
              <w:t>2</w:t>
            </w:r>
          </w:p>
        </w:tc>
        <w:tc>
          <w:tcPr>
            <w:tcW w:w="5500" w:type="dxa"/>
            <w:tcBorders>
              <w:top w:val="nil"/>
              <w:left w:val="nil"/>
              <w:bottom w:val="single" w:color="auto" w:sz="4" w:space="0"/>
              <w:right w:val="single" w:color="auto" w:sz="4" w:space="0"/>
            </w:tcBorders>
            <w:vAlign w:val="bottom"/>
          </w:tcPr>
          <w:p>
            <w:pPr>
              <w:widowControl/>
              <w:jc w:val="left"/>
              <w:rPr>
                <w:rFonts w:ascii="宋体" w:cs="Arial"/>
                <w:kern w:val="0"/>
                <w:sz w:val="22"/>
              </w:rPr>
            </w:pPr>
            <w:r>
              <w:rPr>
                <w:rFonts w:hint="eastAsia" w:ascii="宋体" w:hAnsi="宋体" w:cs="Arial"/>
                <w:kern w:val="0"/>
                <w:sz w:val="22"/>
              </w:rPr>
              <w:t>　温州市妇女儿童活动中心（下属）</w:t>
            </w:r>
          </w:p>
        </w:tc>
      </w:tr>
    </w:tbl>
    <w:p>
      <w:pPr>
        <w:autoSpaceDE w:val="0"/>
        <w:autoSpaceDN w:val="0"/>
        <w:adjustRightInd w:val="0"/>
        <w:spacing w:line="560" w:lineRule="exact"/>
        <w:ind w:firstLine="627"/>
        <w:rPr>
          <w:rFonts w:ascii="黑体" w:hAnsi="Times New Roman" w:eastAsia="黑体" w:cs="黑体"/>
          <w:sz w:val="32"/>
          <w:szCs w:val="32"/>
        </w:rPr>
      </w:pPr>
    </w:p>
    <w:p>
      <w:pPr>
        <w:autoSpaceDE w:val="0"/>
        <w:autoSpaceDN w:val="0"/>
        <w:adjustRightInd w:val="0"/>
        <w:spacing w:line="560" w:lineRule="exact"/>
        <w:ind w:firstLine="627"/>
        <w:rPr>
          <w:rFonts w:ascii="??" w:hAnsi="Times New Roman" w:eastAsia="Times New Roman" w:cs="??"/>
          <w:sz w:val="24"/>
          <w:szCs w:val="24"/>
        </w:rPr>
      </w:pPr>
      <w:r>
        <w:rPr>
          <w:rFonts w:hint="eastAsia" w:ascii="黑体" w:hAnsi="Times New Roman" w:eastAsia="黑体" w:cs="黑体"/>
          <w:sz w:val="32"/>
          <w:szCs w:val="32"/>
        </w:rPr>
        <w:t>二、</w:t>
      </w:r>
      <w:r>
        <w:rPr>
          <w:rFonts w:ascii="黑体" w:hAnsi="Times New Roman" w:eastAsia="黑体" w:cs="黑体"/>
          <w:sz w:val="32"/>
          <w:szCs w:val="32"/>
          <w:lang w:val="zh-CN"/>
        </w:rPr>
        <w:t>2016</w:t>
      </w:r>
      <w:r>
        <w:rPr>
          <w:rFonts w:hint="eastAsia" w:ascii="黑体" w:hAnsi="Times New Roman" w:eastAsia="黑体" w:cs="黑体"/>
          <w:sz w:val="32"/>
          <w:szCs w:val="32"/>
          <w:lang w:val="zh-CN"/>
        </w:rPr>
        <w:t>年度部门决算报表</w:t>
      </w:r>
    </w:p>
    <w:tbl>
      <w:tblPr>
        <w:tblStyle w:val="6"/>
        <w:tblW w:w="8860" w:type="dxa"/>
        <w:tblInd w:w="93" w:type="dxa"/>
        <w:tblLayout w:type="fixed"/>
        <w:tblCellMar>
          <w:top w:w="0" w:type="dxa"/>
          <w:left w:w="108" w:type="dxa"/>
          <w:bottom w:w="0" w:type="dxa"/>
          <w:right w:w="108" w:type="dxa"/>
        </w:tblCellMar>
      </w:tblPr>
      <w:tblGrid>
        <w:gridCol w:w="2283"/>
        <w:gridCol w:w="1063"/>
        <w:gridCol w:w="805"/>
        <w:gridCol w:w="2690"/>
        <w:gridCol w:w="2019"/>
      </w:tblGrid>
      <w:tr>
        <w:tblPrEx>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vAlign w:val="bottom"/>
          </w:tcPr>
          <w:p>
            <w:pPr>
              <w:autoSpaceDE w:val="0"/>
              <w:autoSpaceDN w:val="0"/>
              <w:adjustRightInd w:val="0"/>
              <w:spacing w:line="560" w:lineRule="exact"/>
              <w:ind w:firstLine="627"/>
              <w:jc w:val="center"/>
              <w:rPr>
                <w:rFonts w:ascii="??" w:hAnsi="Times New Roman" w:eastAsia="Times New Roman" w:cs="??"/>
                <w:b/>
                <w:sz w:val="32"/>
                <w:szCs w:val="32"/>
              </w:rPr>
            </w:pPr>
            <w:r>
              <w:rPr>
                <w:rFonts w:ascii="??" w:hAnsi="Times New Roman" w:eastAsia="Times New Roman" w:cs="??"/>
                <w:b/>
                <w:sz w:val="32"/>
                <w:szCs w:val="32"/>
              </w:rPr>
              <w:t>2016年度部门收支决算总表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vAlign w:val="bottom"/>
          </w:tcPr>
          <w:p>
            <w:pPr>
              <w:widowControl/>
              <w:jc w:val="left"/>
              <w:rPr>
                <w:rFonts w:ascii="Arial" w:hAnsi="Arial" w:cs="Arial"/>
                <w:kern w:val="0"/>
                <w:sz w:val="15"/>
                <w:szCs w:val="15"/>
              </w:rPr>
            </w:pPr>
          </w:p>
        </w:tc>
        <w:tc>
          <w:tcPr>
            <w:tcW w:w="805" w:type="dxa"/>
            <w:tcBorders>
              <w:top w:val="nil"/>
              <w:left w:val="nil"/>
              <w:bottom w:val="nil"/>
              <w:right w:val="nil"/>
            </w:tcBorders>
            <w:vAlign w:val="bottom"/>
          </w:tcPr>
          <w:p>
            <w:pPr>
              <w:widowControl/>
              <w:jc w:val="left"/>
              <w:rPr>
                <w:rFonts w:ascii="Arial" w:hAnsi="Arial" w:cs="Arial"/>
                <w:kern w:val="0"/>
                <w:sz w:val="15"/>
                <w:szCs w:val="15"/>
              </w:rPr>
            </w:pPr>
          </w:p>
        </w:tc>
        <w:tc>
          <w:tcPr>
            <w:tcW w:w="2690" w:type="dxa"/>
            <w:tcBorders>
              <w:top w:val="nil"/>
              <w:left w:val="nil"/>
              <w:bottom w:val="nil"/>
              <w:right w:val="nil"/>
            </w:tcBorders>
            <w:vAlign w:val="bottom"/>
          </w:tcPr>
          <w:p>
            <w:pPr>
              <w:widowControl/>
              <w:jc w:val="left"/>
              <w:rPr>
                <w:rFonts w:ascii="Arial" w:hAnsi="Arial" w:cs="Arial"/>
                <w:kern w:val="0"/>
                <w:sz w:val="15"/>
                <w:szCs w:val="15"/>
              </w:rPr>
            </w:pPr>
          </w:p>
        </w:tc>
        <w:tc>
          <w:tcPr>
            <w:tcW w:w="2019" w:type="dxa"/>
            <w:tcBorders>
              <w:top w:val="nil"/>
              <w:left w:val="nil"/>
              <w:bottom w:val="nil"/>
              <w:right w:val="nil"/>
            </w:tcBorders>
            <w:vAlign w:val="bottom"/>
          </w:tcPr>
          <w:p>
            <w:pPr>
              <w:widowControl/>
              <w:jc w:val="right"/>
              <w:rPr>
                <w:rFonts w:ascii="宋体" w:cs="Arial"/>
                <w:kern w:val="0"/>
                <w:sz w:val="15"/>
                <w:szCs w:val="15"/>
              </w:rPr>
            </w:pPr>
            <w:r>
              <w:rPr>
                <w:rFonts w:hint="eastAsia" w:ascii="宋体" w:hAnsi="宋体" w:cs="Arial"/>
                <w:kern w:val="0"/>
                <w:sz w:val="15"/>
                <w:szCs w:val="15"/>
              </w:rPr>
              <w:t>公开</w:t>
            </w:r>
            <w:r>
              <w:rPr>
                <w:rFonts w:ascii="宋体" w:hAnsi="宋体" w:cs="Arial"/>
                <w:kern w:val="0"/>
                <w:sz w:val="15"/>
                <w:szCs w:val="15"/>
              </w:rPr>
              <w:t>01</w:t>
            </w:r>
            <w:r>
              <w:rPr>
                <w:rFonts w:hint="eastAsia" w:ascii="宋体" w:hAnsi="宋体" w:cs="Arial"/>
                <w:kern w:val="0"/>
                <w:sz w:val="15"/>
                <w:szCs w:val="15"/>
              </w:rPr>
              <w:t>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vAlign w:val="bottom"/>
          </w:tcPr>
          <w:p>
            <w:pPr>
              <w:widowControl/>
              <w:jc w:val="left"/>
              <w:rPr>
                <w:rFonts w:ascii="宋体" w:cs="Arial"/>
                <w:kern w:val="0"/>
                <w:sz w:val="15"/>
                <w:szCs w:val="15"/>
              </w:rPr>
            </w:pPr>
            <w:r>
              <w:rPr>
                <w:rFonts w:hint="eastAsia" w:ascii="宋体" w:hAnsi="宋体" w:cs="Arial"/>
                <w:kern w:val="0"/>
                <w:sz w:val="15"/>
                <w:szCs w:val="15"/>
              </w:rPr>
              <w:t>部门：</w:t>
            </w:r>
          </w:p>
        </w:tc>
        <w:tc>
          <w:tcPr>
            <w:tcW w:w="805" w:type="dxa"/>
            <w:tcBorders>
              <w:top w:val="nil"/>
              <w:left w:val="nil"/>
              <w:bottom w:val="nil"/>
              <w:right w:val="nil"/>
            </w:tcBorders>
            <w:vAlign w:val="bottom"/>
          </w:tcPr>
          <w:p>
            <w:pPr>
              <w:widowControl/>
              <w:jc w:val="left"/>
              <w:rPr>
                <w:rFonts w:ascii="Arial" w:hAnsi="Arial" w:cs="Arial"/>
                <w:kern w:val="0"/>
                <w:sz w:val="15"/>
                <w:szCs w:val="15"/>
              </w:rPr>
            </w:pPr>
          </w:p>
        </w:tc>
        <w:tc>
          <w:tcPr>
            <w:tcW w:w="2690" w:type="dxa"/>
            <w:tcBorders>
              <w:top w:val="nil"/>
              <w:left w:val="nil"/>
              <w:bottom w:val="nil"/>
              <w:right w:val="nil"/>
            </w:tcBorders>
            <w:vAlign w:val="bottom"/>
          </w:tcPr>
          <w:p>
            <w:pPr>
              <w:widowControl/>
              <w:jc w:val="left"/>
              <w:rPr>
                <w:rFonts w:ascii="Arial" w:hAnsi="Arial" w:cs="Arial"/>
                <w:kern w:val="0"/>
                <w:sz w:val="15"/>
                <w:szCs w:val="15"/>
              </w:rPr>
            </w:pPr>
          </w:p>
        </w:tc>
        <w:tc>
          <w:tcPr>
            <w:tcW w:w="2019" w:type="dxa"/>
            <w:tcBorders>
              <w:top w:val="nil"/>
              <w:left w:val="nil"/>
              <w:bottom w:val="nil"/>
              <w:right w:val="nil"/>
            </w:tcBorders>
            <w:vAlign w:val="bottom"/>
          </w:tcPr>
          <w:p>
            <w:pPr>
              <w:widowControl/>
              <w:jc w:val="right"/>
              <w:rPr>
                <w:rFonts w:ascii="宋体" w:cs="Arial"/>
                <w:kern w:val="0"/>
                <w:sz w:val="15"/>
                <w:szCs w:val="15"/>
              </w:rPr>
            </w:pPr>
            <w:r>
              <w:rPr>
                <w:rFonts w:hint="eastAsia" w:ascii="宋体" w:hAnsi="宋体" w:cs="Arial"/>
                <w:kern w:val="0"/>
                <w:sz w:val="15"/>
                <w:szCs w:val="15"/>
              </w:rPr>
              <w:t>金额单位：万元</w:t>
            </w:r>
          </w:p>
        </w:tc>
      </w:tr>
      <w:tr>
        <w:tblPrEx>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收</w:t>
            </w:r>
            <w:r>
              <w:rPr>
                <w:rFonts w:ascii="宋体" w:hAnsi="宋体" w:cs="Arial"/>
                <w:kern w:val="0"/>
                <w:sz w:val="15"/>
                <w:szCs w:val="15"/>
              </w:rPr>
              <w:t xml:space="preserve">      </w:t>
            </w:r>
            <w:r>
              <w:rPr>
                <w:rFonts w:hint="eastAsia" w:ascii="宋体" w:hAnsi="宋体" w:cs="Arial"/>
                <w:kern w:val="0"/>
                <w:sz w:val="15"/>
                <w:szCs w:val="15"/>
              </w:rPr>
              <w:t>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支出</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项</w:t>
            </w:r>
            <w:r>
              <w:rPr>
                <w:rFonts w:ascii="宋体" w:hAnsi="宋体" w:cs="Arial"/>
                <w:kern w:val="0"/>
                <w:sz w:val="15"/>
                <w:szCs w:val="15"/>
              </w:rPr>
              <w:t xml:space="preserve"> </w:t>
            </w:r>
            <w:r>
              <w:rPr>
                <w:rFonts w:hint="eastAsia" w:ascii="宋体" w:hAnsi="宋体" w:cs="Arial"/>
                <w:kern w:val="0"/>
                <w:sz w:val="15"/>
                <w:szCs w:val="15"/>
              </w:rPr>
              <w:t>目</w:t>
            </w:r>
          </w:p>
        </w:tc>
        <w:tc>
          <w:tcPr>
            <w:tcW w:w="18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决算数</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一、财政拨款</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2,169.56</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一、一般公共服务支出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2,827.88</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一般公共预算</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2,169.56</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二、外交支出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政府性基金预算</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三、国防支出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二、上级补助收入</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四、公共安全支出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三、事业收入</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432.17</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五、教育支出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四、经营收入</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六、科学技术支出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五、附属单位上缴收入</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七、文化体育与传媒支出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六、其他收入</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809.44</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八、社会保障和就业支出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144.12</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九、医疗卫生与计划生育支出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41.00</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十、节能环保支出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十一、城乡社区支出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十二、农林水支出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十三、交通运输支出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十四、资源勘探信息等支出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十五、商业服务业等支出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十六、金融支出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十七、援助其他地区支出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十八、国土海洋气象等支出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十九、住房保障支出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63.36</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二十、粮油物资储备支出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二十一、其他支出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二十二、债务还本支出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二十三、债务付息支出</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本年收入合计</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3,411.17</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本年支出合计</w:t>
            </w:r>
          </w:p>
        </w:tc>
        <w:tc>
          <w:tcPr>
            <w:tcW w:w="2019"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3,076.37</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二十三、结余分配</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八、年初结转和结余</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20.78</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交纳所得税</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基本支出结转</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20.78</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提取职工福利基金</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项目支出结转和结余</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转入事业基金</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经营结余</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其他</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二十四、年末结转和结余</w:t>
            </w:r>
          </w:p>
        </w:tc>
        <w:tc>
          <w:tcPr>
            <w:tcW w:w="2019"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355.58</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基本支出结转</w:t>
            </w:r>
          </w:p>
        </w:tc>
        <w:tc>
          <w:tcPr>
            <w:tcW w:w="2019"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1.60</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项目支出结转和结余</w:t>
            </w:r>
          </w:p>
        </w:tc>
        <w:tc>
          <w:tcPr>
            <w:tcW w:w="2019"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353.98</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 xml:space="preserve">        </w:t>
            </w:r>
            <w:r>
              <w:rPr>
                <w:rFonts w:hint="eastAsia" w:ascii="宋体" w:hAnsi="宋体" w:cs="Arial"/>
                <w:kern w:val="0"/>
                <w:sz w:val="15"/>
                <w:szCs w:val="15"/>
              </w:rPr>
              <w:t>经营结余</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　</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2019" w:type="dxa"/>
            <w:tcBorders>
              <w:top w:val="nil"/>
              <w:left w:val="nil"/>
              <w:bottom w:val="single" w:color="000000" w:sz="4" w:space="0"/>
              <w:right w:val="single" w:color="000000" w:sz="4"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收</w:t>
            </w:r>
            <w:r>
              <w:rPr>
                <w:rFonts w:ascii="宋体" w:hAnsi="宋体" w:cs="Arial"/>
                <w:kern w:val="0"/>
                <w:sz w:val="15"/>
                <w:szCs w:val="15"/>
              </w:rPr>
              <w:t xml:space="preserve">  </w:t>
            </w:r>
            <w:r>
              <w:rPr>
                <w:rFonts w:hint="eastAsia" w:ascii="宋体" w:hAnsi="宋体" w:cs="Arial"/>
                <w:kern w:val="0"/>
                <w:sz w:val="15"/>
                <w:szCs w:val="15"/>
              </w:rPr>
              <w:t>入</w:t>
            </w:r>
            <w:r>
              <w:rPr>
                <w:rFonts w:ascii="宋体" w:hAnsi="宋体" w:cs="Arial"/>
                <w:kern w:val="0"/>
                <w:sz w:val="15"/>
                <w:szCs w:val="15"/>
              </w:rPr>
              <w:t xml:space="preserve">  </w:t>
            </w:r>
            <w:r>
              <w:rPr>
                <w:rFonts w:hint="eastAsia" w:ascii="宋体" w:hAnsi="宋体" w:cs="Arial"/>
                <w:kern w:val="0"/>
                <w:sz w:val="15"/>
                <w:szCs w:val="15"/>
              </w:rPr>
              <w:t>总</w:t>
            </w:r>
            <w:r>
              <w:rPr>
                <w:rFonts w:ascii="宋体" w:hAnsi="宋体" w:cs="Arial"/>
                <w:kern w:val="0"/>
                <w:sz w:val="15"/>
                <w:szCs w:val="15"/>
              </w:rPr>
              <w:t xml:space="preserve">  </w:t>
            </w:r>
            <w:r>
              <w:rPr>
                <w:rFonts w:hint="eastAsia" w:ascii="宋体" w:hAnsi="宋体" w:cs="Arial"/>
                <w:kern w:val="0"/>
                <w:sz w:val="15"/>
                <w:szCs w:val="15"/>
              </w:rPr>
              <w:t>计</w:t>
            </w:r>
          </w:p>
        </w:tc>
        <w:tc>
          <w:tcPr>
            <w:tcW w:w="1868"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3,431.94</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支</w:t>
            </w:r>
            <w:r>
              <w:rPr>
                <w:rFonts w:ascii="宋体" w:hAnsi="宋体" w:cs="Arial"/>
                <w:kern w:val="0"/>
                <w:sz w:val="15"/>
                <w:szCs w:val="15"/>
              </w:rPr>
              <w:t xml:space="preserve">  </w:t>
            </w:r>
            <w:r>
              <w:rPr>
                <w:rFonts w:hint="eastAsia" w:ascii="宋体" w:hAnsi="宋体" w:cs="Arial"/>
                <w:kern w:val="0"/>
                <w:sz w:val="15"/>
                <w:szCs w:val="15"/>
              </w:rPr>
              <w:t>出</w:t>
            </w:r>
            <w:r>
              <w:rPr>
                <w:rFonts w:ascii="宋体" w:hAnsi="宋体" w:cs="Arial"/>
                <w:kern w:val="0"/>
                <w:sz w:val="15"/>
                <w:szCs w:val="15"/>
              </w:rPr>
              <w:t xml:space="preserve">  </w:t>
            </w:r>
            <w:r>
              <w:rPr>
                <w:rFonts w:hint="eastAsia" w:ascii="宋体" w:hAnsi="宋体" w:cs="Arial"/>
                <w:kern w:val="0"/>
                <w:sz w:val="15"/>
                <w:szCs w:val="15"/>
              </w:rPr>
              <w:t>总</w:t>
            </w:r>
            <w:r>
              <w:rPr>
                <w:rFonts w:ascii="宋体" w:hAnsi="宋体" w:cs="Arial"/>
                <w:kern w:val="0"/>
                <w:sz w:val="15"/>
                <w:szCs w:val="15"/>
              </w:rPr>
              <w:t xml:space="preserve">  </w:t>
            </w:r>
            <w:r>
              <w:rPr>
                <w:rFonts w:hint="eastAsia" w:ascii="宋体" w:hAnsi="宋体" w:cs="Arial"/>
                <w:kern w:val="0"/>
                <w:sz w:val="15"/>
                <w:szCs w:val="15"/>
              </w:rPr>
              <w:t>计</w:t>
            </w:r>
          </w:p>
        </w:tc>
        <w:tc>
          <w:tcPr>
            <w:tcW w:w="2019"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3,431.94</w:t>
            </w:r>
          </w:p>
        </w:tc>
      </w:tr>
    </w:tbl>
    <w:p>
      <w:pPr>
        <w:autoSpaceDE w:val="0"/>
        <w:autoSpaceDN w:val="0"/>
        <w:adjustRightInd w:val="0"/>
        <w:spacing w:line="560" w:lineRule="exact"/>
        <w:rPr>
          <w:rFonts w:ascii="黑体" w:hAnsi="Times New Roman" w:eastAsia="黑体" w:cs="黑体"/>
          <w:sz w:val="32"/>
          <w:szCs w:val="32"/>
          <w:lang w:val="zh-CN"/>
        </w:rPr>
      </w:pPr>
    </w:p>
    <w:tbl>
      <w:tblPr>
        <w:tblStyle w:val="6"/>
        <w:tblW w:w="21412" w:type="dxa"/>
        <w:tblInd w:w="93" w:type="dxa"/>
        <w:tblLayout w:type="fixed"/>
        <w:tblCellMar>
          <w:top w:w="0" w:type="dxa"/>
          <w:left w:w="108" w:type="dxa"/>
          <w:bottom w:w="0" w:type="dxa"/>
          <w:right w:w="108" w:type="dxa"/>
        </w:tblCellMar>
      </w:tblPr>
      <w:tblGrid>
        <w:gridCol w:w="15012"/>
        <w:gridCol w:w="1280"/>
        <w:gridCol w:w="910"/>
        <w:gridCol w:w="280"/>
        <w:gridCol w:w="260"/>
        <w:gridCol w:w="2240"/>
        <w:gridCol w:w="1430"/>
      </w:tblGrid>
      <w:tr>
        <w:tblPrEx>
          <w:tblCellMar>
            <w:top w:w="0" w:type="dxa"/>
            <w:left w:w="108" w:type="dxa"/>
            <w:bottom w:w="0" w:type="dxa"/>
            <w:right w:w="108" w:type="dxa"/>
          </w:tblCellMar>
        </w:tblPrEx>
        <w:trPr>
          <w:trHeight w:val="255" w:hRule="atLeast"/>
        </w:trPr>
        <w:tc>
          <w:tcPr>
            <w:tcW w:w="15012" w:type="dxa"/>
            <w:tcBorders>
              <w:top w:val="nil"/>
              <w:left w:val="nil"/>
              <w:bottom w:val="nil"/>
              <w:right w:val="nil"/>
            </w:tcBorders>
            <w:vAlign w:val="bottom"/>
          </w:tcPr>
          <w:p>
            <w:pPr>
              <w:widowControl/>
              <w:jc w:val="left"/>
              <w:rPr>
                <w:rFonts w:ascii="Arial" w:hAnsi="Arial" w:cs="Arial"/>
                <w:kern w:val="0"/>
                <w:sz w:val="20"/>
                <w:szCs w:val="20"/>
              </w:rPr>
            </w:pPr>
          </w:p>
        </w:tc>
        <w:tc>
          <w:tcPr>
            <w:tcW w:w="1280" w:type="dxa"/>
            <w:tcBorders>
              <w:top w:val="nil"/>
              <w:left w:val="nil"/>
              <w:bottom w:val="nil"/>
              <w:right w:val="nil"/>
            </w:tcBorders>
            <w:vAlign w:val="bottom"/>
          </w:tcPr>
          <w:p>
            <w:pPr>
              <w:widowControl/>
              <w:jc w:val="left"/>
              <w:rPr>
                <w:rFonts w:ascii="Arial" w:hAnsi="Arial" w:cs="Arial"/>
                <w:kern w:val="0"/>
                <w:sz w:val="20"/>
                <w:szCs w:val="20"/>
              </w:rPr>
            </w:pPr>
          </w:p>
        </w:tc>
        <w:tc>
          <w:tcPr>
            <w:tcW w:w="910" w:type="dxa"/>
            <w:tcBorders>
              <w:top w:val="nil"/>
              <w:left w:val="nil"/>
              <w:bottom w:val="nil"/>
              <w:right w:val="nil"/>
            </w:tcBorders>
            <w:vAlign w:val="bottom"/>
          </w:tcPr>
          <w:p>
            <w:pPr>
              <w:widowControl/>
              <w:jc w:val="left"/>
              <w:rPr>
                <w:rFonts w:ascii="Arial" w:hAnsi="Arial" w:cs="Arial"/>
                <w:kern w:val="0"/>
                <w:sz w:val="20"/>
                <w:szCs w:val="20"/>
              </w:rPr>
            </w:pPr>
          </w:p>
        </w:tc>
        <w:tc>
          <w:tcPr>
            <w:tcW w:w="280" w:type="dxa"/>
            <w:tcBorders>
              <w:top w:val="nil"/>
              <w:left w:val="nil"/>
              <w:bottom w:val="nil"/>
              <w:right w:val="nil"/>
            </w:tcBorders>
            <w:vAlign w:val="bottom"/>
          </w:tcPr>
          <w:p>
            <w:pPr>
              <w:widowControl/>
              <w:jc w:val="left"/>
              <w:rPr>
                <w:rFonts w:ascii="Arial" w:hAnsi="Arial" w:cs="Arial"/>
                <w:kern w:val="0"/>
                <w:sz w:val="20"/>
                <w:szCs w:val="20"/>
              </w:rPr>
            </w:pPr>
          </w:p>
        </w:tc>
        <w:tc>
          <w:tcPr>
            <w:tcW w:w="260" w:type="dxa"/>
            <w:tcBorders>
              <w:top w:val="nil"/>
              <w:left w:val="nil"/>
              <w:bottom w:val="nil"/>
              <w:right w:val="nil"/>
            </w:tcBorders>
            <w:vAlign w:val="bottom"/>
          </w:tcPr>
          <w:p>
            <w:pPr>
              <w:widowControl/>
              <w:jc w:val="left"/>
              <w:rPr>
                <w:rFonts w:ascii="Arial" w:hAnsi="Arial" w:cs="Arial"/>
                <w:kern w:val="0"/>
                <w:sz w:val="20"/>
                <w:szCs w:val="20"/>
              </w:rPr>
            </w:pPr>
          </w:p>
        </w:tc>
        <w:tc>
          <w:tcPr>
            <w:tcW w:w="2240" w:type="dxa"/>
            <w:tcBorders>
              <w:top w:val="nil"/>
              <w:left w:val="nil"/>
              <w:bottom w:val="nil"/>
              <w:right w:val="nil"/>
            </w:tcBorders>
            <w:vAlign w:val="bottom"/>
          </w:tcPr>
          <w:p>
            <w:pPr>
              <w:widowControl/>
              <w:jc w:val="left"/>
              <w:rPr>
                <w:rFonts w:ascii="Arial" w:hAnsi="Arial" w:cs="Arial"/>
                <w:kern w:val="0"/>
                <w:sz w:val="20"/>
                <w:szCs w:val="20"/>
              </w:rPr>
            </w:pPr>
          </w:p>
        </w:tc>
        <w:tc>
          <w:tcPr>
            <w:tcW w:w="1430" w:type="dxa"/>
            <w:tcBorders>
              <w:top w:val="nil"/>
              <w:left w:val="nil"/>
              <w:bottom w:val="nil"/>
              <w:right w:val="nil"/>
            </w:tcBorders>
            <w:vAlign w:val="bottom"/>
          </w:tcPr>
          <w:p>
            <w:pPr>
              <w:widowControl/>
              <w:jc w:val="right"/>
              <w:rPr>
                <w:rFonts w:ascii="宋体" w:cs="Arial"/>
                <w:kern w:val="0"/>
                <w:sz w:val="20"/>
                <w:szCs w:val="20"/>
              </w:rPr>
            </w:pPr>
            <w:r>
              <w:rPr>
                <w:rFonts w:hint="eastAsia" w:ascii="宋体" w:hAnsi="宋体" w:cs="Arial"/>
                <w:kern w:val="0"/>
                <w:sz w:val="20"/>
                <w:szCs w:val="20"/>
              </w:rPr>
              <w:t>公开</w:t>
            </w:r>
            <w:r>
              <w:rPr>
                <w:rFonts w:ascii="宋体" w:hAnsi="宋体" w:cs="Arial"/>
                <w:kern w:val="0"/>
                <w:sz w:val="20"/>
                <w:szCs w:val="20"/>
              </w:rPr>
              <w:t>01</w:t>
            </w:r>
            <w:r>
              <w:rPr>
                <w:rFonts w:hint="eastAsia" w:ascii="宋体" w:hAnsi="宋体" w:cs="Arial"/>
                <w:kern w:val="0"/>
                <w:sz w:val="20"/>
                <w:szCs w:val="20"/>
              </w:rPr>
              <w:t>表</w:t>
            </w:r>
          </w:p>
        </w:tc>
      </w:tr>
    </w:tbl>
    <w:p>
      <w:pPr>
        <w:autoSpaceDE w:val="0"/>
        <w:autoSpaceDN w:val="0"/>
        <w:adjustRightInd w:val="0"/>
        <w:spacing w:line="560" w:lineRule="exact"/>
        <w:rPr>
          <w:rFonts w:ascii="??" w:hAnsi="Times New Roman" w:eastAsia="Times New Roman" w:cs="??"/>
          <w:sz w:val="32"/>
          <w:szCs w:val="32"/>
        </w:rPr>
      </w:pPr>
    </w:p>
    <w:p>
      <w:pPr>
        <w:autoSpaceDE w:val="0"/>
        <w:autoSpaceDN w:val="0"/>
        <w:adjustRightInd w:val="0"/>
        <w:spacing w:line="560" w:lineRule="exact"/>
        <w:ind w:firstLine="627"/>
        <w:jc w:val="center"/>
        <w:rPr>
          <w:rFonts w:ascii="??" w:hAnsi="Times New Roman" w:eastAsia="Times New Roman" w:cs="??"/>
          <w:b/>
          <w:sz w:val="32"/>
          <w:szCs w:val="32"/>
        </w:rPr>
      </w:pPr>
      <w:r>
        <w:rPr>
          <w:rFonts w:ascii="??" w:hAnsi="Times New Roman" w:eastAsia="Times New Roman" w:cs="??"/>
          <w:b/>
          <w:sz w:val="32"/>
          <w:szCs w:val="32"/>
        </w:rPr>
        <w:t>2016年度部门收入决算总表(分单位）</w:t>
      </w:r>
    </w:p>
    <w:tbl>
      <w:tblPr>
        <w:tblStyle w:val="6"/>
        <w:tblW w:w="27117" w:type="dxa"/>
        <w:tblInd w:w="93" w:type="dxa"/>
        <w:tblLayout w:type="fixed"/>
        <w:tblCellMar>
          <w:top w:w="0" w:type="dxa"/>
          <w:left w:w="108" w:type="dxa"/>
          <w:bottom w:w="0" w:type="dxa"/>
          <w:right w:w="108" w:type="dxa"/>
        </w:tblCellMar>
      </w:tblPr>
      <w:tblGrid>
        <w:gridCol w:w="19437"/>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623" w:hRule="atLeast"/>
        </w:trPr>
        <w:tc>
          <w:tcPr>
            <w:tcW w:w="19437" w:type="dxa"/>
            <w:tcBorders>
              <w:top w:val="nil"/>
              <w:left w:val="nil"/>
              <w:bottom w:val="nil"/>
              <w:right w:val="nil"/>
            </w:tcBorders>
            <w:vAlign w:val="bottom"/>
          </w:tcPr>
          <w:tbl>
            <w:tblPr>
              <w:tblStyle w:val="6"/>
              <w:tblW w:w="9087" w:type="dxa"/>
              <w:tblInd w:w="0" w:type="dxa"/>
              <w:tblLayout w:type="fixed"/>
              <w:tblCellMar>
                <w:top w:w="0" w:type="dxa"/>
                <w:left w:w="108" w:type="dxa"/>
                <w:bottom w:w="0" w:type="dxa"/>
                <w:right w:w="108" w:type="dxa"/>
              </w:tblCellMar>
            </w:tblPr>
            <w:tblGrid>
              <w:gridCol w:w="1840"/>
              <w:gridCol w:w="748"/>
              <w:gridCol w:w="640"/>
              <w:gridCol w:w="748"/>
              <w:gridCol w:w="748"/>
              <w:gridCol w:w="640"/>
              <w:gridCol w:w="640"/>
              <w:gridCol w:w="640"/>
              <w:gridCol w:w="640"/>
              <w:gridCol w:w="640"/>
              <w:gridCol w:w="640"/>
              <w:gridCol w:w="523"/>
            </w:tblGrid>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1803" w:type="dxa"/>
                  <w:gridSpan w:val="3"/>
                  <w:tcBorders>
                    <w:top w:val="nil"/>
                    <w:left w:val="nil"/>
                    <w:bottom w:val="nil"/>
                    <w:right w:val="nil"/>
                  </w:tcBorders>
                  <w:vAlign w:val="bottom"/>
                </w:tcPr>
                <w:p>
                  <w:pPr>
                    <w:widowControl/>
                    <w:jc w:val="right"/>
                    <w:rPr>
                      <w:rFonts w:ascii="宋体" w:cs="Arial"/>
                      <w:kern w:val="0"/>
                      <w:sz w:val="15"/>
                      <w:szCs w:val="15"/>
                    </w:rPr>
                  </w:pPr>
                  <w:r>
                    <w:rPr>
                      <w:rFonts w:hint="eastAsia" w:ascii="宋体" w:hAnsi="宋体" w:cs="Arial"/>
                      <w:kern w:val="0"/>
                      <w:sz w:val="15"/>
                      <w:szCs w:val="15"/>
                    </w:rPr>
                    <w:t>公开</w:t>
                  </w:r>
                  <w:r>
                    <w:rPr>
                      <w:rFonts w:ascii="宋体" w:hAnsi="宋体" w:cs="Arial"/>
                      <w:kern w:val="0"/>
                      <w:sz w:val="15"/>
                      <w:szCs w:val="15"/>
                    </w:rPr>
                    <w:t>02-1</w:t>
                  </w:r>
                  <w:r>
                    <w:rPr>
                      <w:rFonts w:hint="eastAsia" w:ascii="宋体" w:hAnsi="宋体" w:cs="Arial"/>
                      <w:kern w:val="0"/>
                      <w:sz w:val="15"/>
                      <w:szCs w:val="15"/>
                    </w:rPr>
                    <w:t>表</w:t>
                  </w:r>
                </w:p>
              </w:tc>
            </w:tr>
            <w:tr>
              <w:tblPrEx>
                <w:tblCellMar>
                  <w:top w:w="0" w:type="dxa"/>
                  <w:left w:w="108" w:type="dxa"/>
                  <w:bottom w:w="0" w:type="dxa"/>
                  <w:right w:w="108" w:type="dxa"/>
                </w:tblCellMar>
              </w:tblPrEx>
              <w:trPr>
                <w:trHeight w:val="270" w:hRule="atLeast"/>
              </w:trPr>
              <w:tc>
                <w:tcPr>
                  <w:tcW w:w="1840" w:type="dxa"/>
                  <w:tcBorders>
                    <w:top w:val="nil"/>
                    <w:left w:val="nil"/>
                    <w:bottom w:val="nil"/>
                    <w:right w:val="nil"/>
                  </w:tcBorders>
                  <w:vAlign w:val="bottom"/>
                </w:tcPr>
                <w:p>
                  <w:pPr>
                    <w:widowControl/>
                    <w:jc w:val="left"/>
                    <w:rPr>
                      <w:rFonts w:ascii="宋体" w:cs="Arial"/>
                      <w:kern w:val="0"/>
                      <w:sz w:val="15"/>
                      <w:szCs w:val="15"/>
                    </w:rPr>
                  </w:pPr>
                  <w:r>
                    <w:rPr>
                      <w:rFonts w:hint="eastAsia" w:ascii="宋体" w:hAnsi="宋体" w:cs="Arial"/>
                      <w:kern w:val="0"/>
                      <w:sz w:val="15"/>
                      <w:szCs w:val="15"/>
                    </w:rPr>
                    <w:t>部门：</w:t>
                  </w: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1803" w:type="dxa"/>
                  <w:gridSpan w:val="3"/>
                  <w:tcBorders>
                    <w:top w:val="nil"/>
                    <w:left w:val="nil"/>
                    <w:bottom w:val="single" w:color="000000" w:sz="8" w:space="0"/>
                    <w:right w:val="nil"/>
                  </w:tcBorders>
                  <w:vAlign w:val="bottom"/>
                </w:tcPr>
                <w:p>
                  <w:pPr>
                    <w:widowControl/>
                    <w:jc w:val="right"/>
                    <w:rPr>
                      <w:rFonts w:ascii="宋体" w:cs="Arial"/>
                      <w:kern w:val="0"/>
                      <w:sz w:val="15"/>
                      <w:szCs w:val="15"/>
                    </w:rPr>
                  </w:pPr>
                  <w:r>
                    <w:rPr>
                      <w:rFonts w:hint="eastAsia" w:ascii="宋体" w:hAnsi="宋体" w:cs="Arial"/>
                      <w:kern w:val="0"/>
                      <w:sz w:val="15"/>
                      <w:szCs w:val="15"/>
                    </w:rPr>
                    <w:t>金额单位：万元</w:t>
                  </w:r>
                </w:p>
              </w:tc>
            </w:tr>
            <w:tr>
              <w:tblPrEx>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单位名称</w:t>
                  </w:r>
                </w:p>
              </w:tc>
              <w:tc>
                <w:tcPr>
                  <w:tcW w:w="748"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总计</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上年结转</w:t>
                  </w:r>
                </w:p>
              </w:tc>
              <w:tc>
                <w:tcPr>
                  <w:tcW w:w="2136"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附属单位上缴收入</w:t>
                  </w:r>
                </w:p>
              </w:tc>
              <w:tc>
                <w:tcPr>
                  <w:tcW w:w="523"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用事业基金弥补收支差额</w:t>
                  </w:r>
                </w:p>
              </w:tc>
            </w:tr>
            <w:tr>
              <w:tblPrEx>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kern w:val="0"/>
                      <w:sz w:val="15"/>
                      <w:szCs w:val="15"/>
                    </w:rPr>
                  </w:pPr>
                </w:p>
              </w:tc>
              <w:tc>
                <w:tcPr>
                  <w:tcW w:w="74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74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合计</w:t>
                  </w:r>
                </w:p>
              </w:tc>
              <w:tc>
                <w:tcPr>
                  <w:tcW w:w="74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523" w:type="dxa"/>
                  <w:vMerge w:val="continue"/>
                  <w:tcBorders>
                    <w:top w:val="nil"/>
                    <w:left w:val="nil"/>
                    <w:bottom w:val="single" w:color="000000" w:sz="4" w:space="0"/>
                    <w:right w:val="single" w:color="000000" w:sz="8" w:space="0"/>
                  </w:tcBorders>
                  <w:vAlign w:val="center"/>
                </w:tcPr>
                <w:p>
                  <w:pPr>
                    <w:widowControl/>
                    <w:jc w:val="left"/>
                    <w:rPr>
                      <w:rFonts w:ascii="宋体" w:cs="Arial"/>
                      <w:kern w:val="0"/>
                      <w:sz w:val="15"/>
                      <w:szCs w:val="15"/>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栏</w:t>
                  </w:r>
                  <w:r>
                    <w:rPr>
                      <w:rFonts w:ascii="宋体" w:hAnsi="宋体" w:cs="Arial"/>
                      <w:kern w:val="0"/>
                      <w:sz w:val="15"/>
                      <w:szCs w:val="15"/>
                    </w:rPr>
                    <w:t xml:space="preserve">  </w:t>
                  </w:r>
                  <w:r>
                    <w:rPr>
                      <w:rFonts w:hint="eastAsia" w:ascii="宋体" w:hAnsi="宋体" w:cs="Arial"/>
                      <w:kern w:val="0"/>
                      <w:sz w:val="15"/>
                      <w:szCs w:val="15"/>
                    </w:rPr>
                    <w:t>次</w:t>
                  </w:r>
                </w:p>
              </w:tc>
              <w:tc>
                <w:tcPr>
                  <w:tcW w:w="74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1</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2</w:t>
                  </w:r>
                </w:p>
              </w:tc>
              <w:tc>
                <w:tcPr>
                  <w:tcW w:w="74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3</w:t>
                  </w:r>
                </w:p>
              </w:tc>
              <w:tc>
                <w:tcPr>
                  <w:tcW w:w="74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10</w:t>
                  </w:r>
                </w:p>
              </w:tc>
              <w:tc>
                <w:tcPr>
                  <w:tcW w:w="523" w:type="dxa"/>
                  <w:tcBorders>
                    <w:top w:val="nil"/>
                    <w:left w:val="nil"/>
                    <w:bottom w:val="single" w:color="000000" w:sz="4" w:space="0"/>
                    <w:right w:val="single" w:color="000000" w:sz="8"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11</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tcPr>
                <w:p>
                  <w:pPr>
                    <w:rPr>
                      <w:sz w:val="15"/>
                      <w:szCs w:val="15"/>
                    </w:rPr>
                  </w:pPr>
                  <w:r>
                    <w:rPr>
                      <w:rFonts w:hint="eastAsia"/>
                      <w:sz w:val="15"/>
                      <w:szCs w:val="15"/>
                    </w:rPr>
                    <w:t>合</w:t>
                  </w:r>
                  <w:r>
                    <w:rPr>
                      <w:sz w:val="15"/>
                      <w:szCs w:val="15"/>
                    </w:rPr>
                    <w:t xml:space="preserve">  </w:t>
                  </w:r>
                  <w:r>
                    <w:rPr>
                      <w:rFonts w:hint="eastAsia"/>
                      <w:sz w:val="15"/>
                      <w:szCs w:val="15"/>
                    </w:rPr>
                    <w:t>计</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3,431.94</w:t>
                  </w: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20.78</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2,169.56</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2,169.56</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432.17</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809.44</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523"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tcPr>
                <w:p>
                  <w:pPr>
                    <w:rPr>
                      <w:sz w:val="15"/>
                      <w:szCs w:val="15"/>
                    </w:rPr>
                  </w:pPr>
                  <w:r>
                    <w:rPr>
                      <w:rFonts w:hint="eastAsia"/>
                      <w:sz w:val="15"/>
                      <w:szCs w:val="15"/>
                    </w:rPr>
                    <w:t>温州市妇女联合会（本级）</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991.14</w:t>
                  </w: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10.72</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960.03</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960.03</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20.40</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523"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tcPr>
                <w:p>
                  <w:pPr>
                    <w:rPr>
                      <w:sz w:val="15"/>
                      <w:szCs w:val="15"/>
                    </w:rPr>
                  </w:pPr>
                  <w:r>
                    <w:rPr>
                      <w:rFonts w:hint="eastAsia"/>
                      <w:sz w:val="15"/>
                      <w:szCs w:val="15"/>
                    </w:rPr>
                    <w:t>温州市妇女儿童活动中心</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2,440.80</w:t>
                  </w: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10.06</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1,209.53</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1,209.53</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432.17</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789.04</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523"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p>
              </w:tc>
              <w:tc>
                <w:tcPr>
                  <w:tcW w:w="748"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748"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748"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523"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kern w:val="0"/>
                      <w:sz w:val="15"/>
                      <w:szCs w:val="15"/>
                    </w:rPr>
                  </w:pPr>
                </w:p>
              </w:tc>
            </w:tr>
            <w:tr>
              <w:tblPrEx>
                <w:tblCellMar>
                  <w:top w:w="0" w:type="dxa"/>
                  <w:left w:w="108" w:type="dxa"/>
                  <w:bottom w:w="0" w:type="dxa"/>
                  <w:right w:w="108" w:type="dxa"/>
                </w:tblCellMar>
              </w:tblPrEx>
              <w:trPr>
                <w:trHeight w:val="308" w:hRule="atLeast"/>
              </w:trPr>
              <w:tc>
                <w:tcPr>
                  <w:tcW w:w="1840"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523" w:type="dxa"/>
                  <w:tcBorders>
                    <w:top w:val="nil"/>
                    <w:left w:val="nil"/>
                    <w:bottom w:val="nil"/>
                    <w:right w:val="nil"/>
                  </w:tcBorders>
                  <w:vAlign w:val="bottom"/>
                </w:tcPr>
                <w:p>
                  <w:pPr>
                    <w:widowControl/>
                    <w:jc w:val="left"/>
                    <w:rPr>
                      <w:rFonts w:ascii="Arial" w:hAnsi="Arial" w:cs="Arial"/>
                      <w:kern w:val="0"/>
                      <w:sz w:val="15"/>
                      <w:szCs w:val="15"/>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p>
              </w:tc>
              <w:tc>
                <w:tcPr>
                  <w:tcW w:w="748"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748"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748"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523"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kern w:val="0"/>
                      <w:sz w:val="15"/>
                      <w:szCs w:val="15"/>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cs="Arial"/>
                      <w:kern w:val="0"/>
                      <w:sz w:val="15"/>
                      <w:szCs w:val="15"/>
                    </w:rPr>
                  </w:pPr>
                </w:p>
              </w:tc>
              <w:tc>
                <w:tcPr>
                  <w:tcW w:w="748"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p>
              </w:tc>
              <w:tc>
                <w:tcPr>
                  <w:tcW w:w="748"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p>
              </w:tc>
              <w:tc>
                <w:tcPr>
                  <w:tcW w:w="748"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p>
              </w:tc>
              <w:tc>
                <w:tcPr>
                  <w:tcW w:w="523" w:type="dxa"/>
                  <w:tcBorders>
                    <w:top w:val="nil"/>
                    <w:left w:val="nil"/>
                    <w:bottom w:val="single" w:color="000000" w:sz="8" w:space="0"/>
                    <w:right w:val="single" w:color="000000" w:sz="8" w:space="0"/>
                  </w:tcBorders>
                  <w:shd w:val="clear" w:color="000000" w:fill="FFFFFF"/>
                  <w:vAlign w:val="center"/>
                </w:tcPr>
                <w:p>
                  <w:pPr>
                    <w:widowControl/>
                    <w:jc w:val="right"/>
                    <w:rPr>
                      <w:rFonts w:ascii="宋体" w:cs="Arial"/>
                      <w:kern w:val="0"/>
                      <w:sz w:val="15"/>
                      <w:szCs w:val="15"/>
                    </w:rPr>
                  </w:pPr>
                </w:p>
              </w:tc>
            </w:tr>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523" w:type="dxa"/>
                  <w:tcBorders>
                    <w:top w:val="nil"/>
                    <w:left w:val="nil"/>
                    <w:bottom w:val="nil"/>
                    <w:right w:val="nil"/>
                  </w:tcBorders>
                  <w:vAlign w:val="bottom"/>
                </w:tcPr>
                <w:p>
                  <w:pPr>
                    <w:widowControl/>
                    <w:jc w:val="left"/>
                    <w:rPr>
                      <w:rFonts w:ascii="Arial" w:hAnsi="Arial" w:cs="Arial"/>
                      <w:kern w:val="0"/>
                      <w:sz w:val="15"/>
                      <w:szCs w:val="15"/>
                    </w:rPr>
                  </w:pPr>
                </w:p>
              </w:tc>
            </w:tr>
          </w:tbl>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1920" w:type="dxa"/>
            <w:tcBorders>
              <w:top w:val="nil"/>
              <w:left w:val="nil"/>
              <w:bottom w:val="nil"/>
              <w:right w:val="nil"/>
            </w:tcBorders>
            <w:vAlign w:val="bottom"/>
          </w:tcPr>
          <w:p>
            <w:pPr>
              <w:widowControl/>
              <w:jc w:val="right"/>
              <w:rPr>
                <w:rFonts w:ascii="宋体" w:cs="Arial"/>
                <w:kern w:val="0"/>
                <w:sz w:val="20"/>
                <w:szCs w:val="20"/>
              </w:rPr>
            </w:pPr>
            <w:r>
              <w:rPr>
                <w:rFonts w:hint="eastAsia" w:ascii="宋体" w:hAnsi="宋体" w:cs="Arial"/>
                <w:kern w:val="0"/>
                <w:sz w:val="20"/>
                <w:szCs w:val="20"/>
              </w:rPr>
              <w:t>公开</w:t>
            </w:r>
            <w:r>
              <w:rPr>
                <w:rFonts w:ascii="宋体" w:hAnsi="宋体" w:cs="Arial"/>
                <w:kern w:val="0"/>
                <w:sz w:val="20"/>
                <w:szCs w:val="20"/>
              </w:rPr>
              <w:t>02-2</w:t>
            </w:r>
            <w:r>
              <w:rPr>
                <w:rFonts w:hint="eastAsia" w:ascii="宋体" w:hAnsi="宋体" w:cs="Arial"/>
                <w:kern w:val="0"/>
                <w:sz w:val="20"/>
                <w:szCs w:val="20"/>
              </w:rPr>
              <w:t>表</w:t>
            </w:r>
          </w:p>
        </w:tc>
      </w:tr>
      <w:tr>
        <w:tblPrEx>
          <w:tblCellMar>
            <w:top w:w="0" w:type="dxa"/>
            <w:left w:w="108" w:type="dxa"/>
            <w:bottom w:w="0" w:type="dxa"/>
            <w:right w:w="108" w:type="dxa"/>
          </w:tblCellMar>
        </w:tblPrEx>
        <w:trPr>
          <w:trHeight w:val="270" w:hRule="atLeast"/>
        </w:trPr>
        <w:tc>
          <w:tcPr>
            <w:tcW w:w="19437" w:type="dxa"/>
            <w:tcBorders>
              <w:top w:val="nil"/>
              <w:left w:val="nil"/>
              <w:bottom w:val="nil"/>
              <w:right w:val="nil"/>
            </w:tcBorders>
            <w:vAlign w:val="bottom"/>
          </w:tcPr>
          <w:p>
            <w:pPr>
              <w:autoSpaceDE w:val="0"/>
              <w:autoSpaceDN w:val="0"/>
              <w:adjustRightInd w:val="0"/>
              <w:spacing w:line="560" w:lineRule="exact"/>
              <w:ind w:firstLine="1585" w:firstLineChars="495"/>
              <w:rPr>
                <w:rFonts w:ascii="??" w:hAnsi="Times New Roman" w:eastAsia="Times New Roman" w:cs="??"/>
                <w:b/>
                <w:sz w:val="32"/>
                <w:szCs w:val="32"/>
              </w:rPr>
            </w:pPr>
            <w:r>
              <w:rPr>
                <w:rFonts w:ascii="??" w:hAnsi="Times New Roman" w:eastAsia="Times New Roman" w:cs="??"/>
                <w:b/>
                <w:sz w:val="32"/>
                <w:szCs w:val="32"/>
              </w:rPr>
              <w:t>2016年度部门收入决算总表(分科目）</w:t>
            </w:r>
          </w:p>
          <w:tbl>
            <w:tblPr>
              <w:tblStyle w:val="6"/>
              <w:tblW w:w="19128" w:type="dxa"/>
              <w:tblInd w:w="93" w:type="dxa"/>
              <w:tblLayout w:type="fixed"/>
              <w:tblCellMar>
                <w:top w:w="0" w:type="dxa"/>
                <w:left w:w="108" w:type="dxa"/>
                <w:bottom w:w="0" w:type="dxa"/>
                <w:right w:w="108" w:type="dxa"/>
              </w:tblCellMar>
            </w:tblPr>
            <w:tblGrid>
              <w:gridCol w:w="9736"/>
              <w:gridCol w:w="436"/>
              <w:gridCol w:w="436"/>
              <w:gridCol w:w="1940"/>
              <w:gridCol w:w="940"/>
              <w:gridCol w:w="940"/>
              <w:gridCol w:w="940"/>
              <w:gridCol w:w="940"/>
              <w:gridCol w:w="940"/>
              <w:gridCol w:w="1880"/>
            </w:tblGrid>
            <w:tr>
              <w:tblPrEx>
                <w:tblCellMar>
                  <w:top w:w="0" w:type="dxa"/>
                  <w:left w:w="108" w:type="dxa"/>
                  <w:bottom w:w="0" w:type="dxa"/>
                  <w:right w:w="108" w:type="dxa"/>
                </w:tblCellMar>
              </w:tblPrEx>
              <w:trPr>
                <w:trHeight w:val="255" w:hRule="atLeast"/>
              </w:trPr>
              <w:tc>
                <w:tcPr>
                  <w:tcW w:w="9736" w:type="dxa"/>
                  <w:tcBorders>
                    <w:top w:val="nil"/>
                    <w:left w:val="nil"/>
                    <w:bottom w:val="nil"/>
                    <w:right w:val="nil"/>
                  </w:tcBorders>
                  <w:vAlign w:val="bottom"/>
                </w:tcPr>
                <w:p/>
                <w:tbl>
                  <w:tblPr>
                    <w:tblStyle w:val="6"/>
                    <w:tblW w:w="9398" w:type="dxa"/>
                    <w:tblInd w:w="0" w:type="dxa"/>
                    <w:tblLayout w:type="fixed"/>
                    <w:tblCellMar>
                      <w:top w:w="0" w:type="dxa"/>
                      <w:left w:w="108" w:type="dxa"/>
                      <w:bottom w:w="0" w:type="dxa"/>
                      <w:right w:w="108" w:type="dxa"/>
                    </w:tblCellMar>
                  </w:tblPr>
                  <w:tblGrid>
                    <w:gridCol w:w="900"/>
                    <w:gridCol w:w="992"/>
                    <w:gridCol w:w="142"/>
                    <w:gridCol w:w="748"/>
                    <w:gridCol w:w="640"/>
                    <w:gridCol w:w="748"/>
                    <w:gridCol w:w="748"/>
                    <w:gridCol w:w="640"/>
                    <w:gridCol w:w="640"/>
                    <w:gridCol w:w="640"/>
                    <w:gridCol w:w="640"/>
                    <w:gridCol w:w="640"/>
                    <w:gridCol w:w="640"/>
                    <w:gridCol w:w="640"/>
                  </w:tblGrid>
                  <w:tr>
                    <w:tblPrEx>
                      <w:tblCellMar>
                        <w:top w:w="0" w:type="dxa"/>
                        <w:left w:w="108" w:type="dxa"/>
                        <w:bottom w:w="0" w:type="dxa"/>
                        <w:right w:w="108" w:type="dxa"/>
                      </w:tblCellMar>
                    </w:tblPrEx>
                    <w:trPr>
                      <w:trHeight w:val="255" w:hRule="atLeast"/>
                    </w:trPr>
                    <w:tc>
                      <w:tcPr>
                        <w:tcW w:w="900" w:type="dxa"/>
                        <w:tcBorders>
                          <w:top w:val="nil"/>
                          <w:left w:val="nil"/>
                          <w:bottom w:val="nil"/>
                          <w:right w:val="nil"/>
                        </w:tcBorders>
                        <w:vAlign w:val="bottom"/>
                      </w:tcPr>
                      <w:p>
                        <w:pPr>
                          <w:widowControl/>
                          <w:jc w:val="left"/>
                          <w:rPr>
                            <w:rFonts w:ascii="Arial" w:hAnsi="Arial" w:cs="Arial"/>
                            <w:kern w:val="0"/>
                            <w:sz w:val="15"/>
                            <w:szCs w:val="15"/>
                          </w:rPr>
                        </w:pPr>
                      </w:p>
                    </w:tc>
                    <w:tc>
                      <w:tcPr>
                        <w:tcW w:w="992" w:type="dxa"/>
                        <w:tcBorders>
                          <w:top w:val="nil"/>
                          <w:left w:val="nil"/>
                          <w:bottom w:val="nil"/>
                          <w:right w:val="nil"/>
                        </w:tcBorders>
                      </w:tcPr>
                      <w:p>
                        <w:pPr>
                          <w:widowControl/>
                          <w:jc w:val="left"/>
                          <w:rPr>
                            <w:rFonts w:ascii="Arial" w:hAnsi="Arial" w:cs="Arial"/>
                            <w:kern w:val="0"/>
                            <w:sz w:val="15"/>
                            <w:szCs w:val="15"/>
                          </w:rPr>
                        </w:pPr>
                      </w:p>
                    </w:tc>
                    <w:tc>
                      <w:tcPr>
                        <w:tcW w:w="890" w:type="dxa"/>
                        <w:gridSpan w:val="2"/>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1920" w:type="dxa"/>
                        <w:gridSpan w:val="3"/>
                        <w:tcBorders>
                          <w:top w:val="nil"/>
                          <w:left w:val="nil"/>
                          <w:bottom w:val="nil"/>
                          <w:right w:val="nil"/>
                        </w:tcBorders>
                        <w:vAlign w:val="bottom"/>
                      </w:tcPr>
                      <w:p>
                        <w:pPr>
                          <w:widowControl/>
                          <w:jc w:val="right"/>
                          <w:rPr>
                            <w:rFonts w:ascii="宋体" w:cs="Arial"/>
                            <w:kern w:val="0"/>
                            <w:sz w:val="15"/>
                            <w:szCs w:val="15"/>
                          </w:rPr>
                        </w:pPr>
                        <w:r>
                          <w:rPr>
                            <w:rFonts w:hint="eastAsia" w:ascii="宋体" w:hAnsi="宋体" w:cs="Arial"/>
                            <w:kern w:val="0"/>
                            <w:sz w:val="15"/>
                            <w:szCs w:val="15"/>
                          </w:rPr>
                          <w:t>公开</w:t>
                        </w:r>
                        <w:r>
                          <w:rPr>
                            <w:rFonts w:ascii="宋体" w:hAnsi="宋体" w:cs="Arial"/>
                            <w:kern w:val="0"/>
                            <w:sz w:val="15"/>
                            <w:szCs w:val="15"/>
                          </w:rPr>
                          <w:t>02-2</w:t>
                        </w:r>
                        <w:r>
                          <w:rPr>
                            <w:rFonts w:hint="eastAsia" w:ascii="宋体" w:hAnsi="宋体" w:cs="Arial"/>
                            <w:kern w:val="0"/>
                            <w:sz w:val="15"/>
                            <w:szCs w:val="15"/>
                          </w:rPr>
                          <w:t>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bottom"/>
                      </w:tcPr>
                      <w:p>
                        <w:pPr>
                          <w:widowControl/>
                          <w:jc w:val="left"/>
                          <w:rPr>
                            <w:rFonts w:ascii="宋体" w:cs="Arial"/>
                            <w:kern w:val="0"/>
                            <w:sz w:val="15"/>
                            <w:szCs w:val="15"/>
                          </w:rPr>
                        </w:pPr>
                        <w:r>
                          <w:rPr>
                            <w:rFonts w:hint="eastAsia" w:ascii="宋体" w:hAnsi="宋体" w:cs="Arial"/>
                            <w:kern w:val="0"/>
                            <w:sz w:val="15"/>
                            <w:szCs w:val="15"/>
                          </w:rPr>
                          <w:t>部门：</w:t>
                        </w:r>
                      </w:p>
                    </w:tc>
                    <w:tc>
                      <w:tcPr>
                        <w:tcW w:w="992" w:type="dxa"/>
                        <w:tcBorders>
                          <w:top w:val="nil"/>
                          <w:left w:val="nil"/>
                          <w:bottom w:val="single" w:color="auto" w:sz="4" w:space="0"/>
                          <w:right w:val="nil"/>
                        </w:tcBorders>
                      </w:tcPr>
                      <w:p>
                        <w:pPr>
                          <w:widowControl/>
                          <w:jc w:val="left"/>
                          <w:rPr>
                            <w:rFonts w:ascii="Arial" w:hAnsi="Arial" w:cs="Arial"/>
                            <w:kern w:val="0"/>
                            <w:sz w:val="15"/>
                            <w:szCs w:val="15"/>
                          </w:rPr>
                        </w:pPr>
                      </w:p>
                    </w:tc>
                    <w:tc>
                      <w:tcPr>
                        <w:tcW w:w="890" w:type="dxa"/>
                        <w:gridSpan w:val="2"/>
                        <w:tcBorders>
                          <w:top w:val="nil"/>
                          <w:left w:val="nil"/>
                          <w:bottom w:val="single" w:color="auto" w:sz="4" w:space="0"/>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748"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640" w:type="dxa"/>
                        <w:tcBorders>
                          <w:top w:val="nil"/>
                          <w:left w:val="nil"/>
                          <w:bottom w:val="nil"/>
                          <w:right w:val="nil"/>
                        </w:tcBorders>
                        <w:vAlign w:val="bottom"/>
                      </w:tcPr>
                      <w:p>
                        <w:pPr>
                          <w:widowControl/>
                          <w:jc w:val="left"/>
                          <w:rPr>
                            <w:rFonts w:ascii="Arial" w:hAnsi="Arial" w:cs="Arial"/>
                            <w:kern w:val="0"/>
                            <w:sz w:val="15"/>
                            <w:szCs w:val="15"/>
                          </w:rPr>
                        </w:pPr>
                      </w:p>
                    </w:tc>
                    <w:tc>
                      <w:tcPr>
                        <w:tcW w:w="1920" w:type="dxa"/>
                        <w:gridSpan w:val="3"/>
                        <w:tcBorders>
                          <w:top w:val="nil"/>
                          <w:left w:val="nil"/>
                          <w:bottom w:val="single" w:color="000000" w:sz="8" w:space="0"/>
                          <w:right w:val="nil"/>
                        </w:tcBorders>
                        <w:vAlign w:val="bottom"/>
                      </w:tcPr>
                      <w:p>
                        <w:pPr>
                          <w:widowControl/>
                          <w:jc w:val="right"/>
                          <w:rPr>
                            <w:rFonts w:ascii="宋体" w:cs="Arial"/>
                            <w:kern w:val="0"/>
                            <w:sz w:val="15"/>
                            <w:szCs w:val="15"/>
                          </w:rPr>
                        </w:pPr>
                        <w:r>
                          <w:rPr>
                            <w:rFonts w:hint="eastAsia" w:ascii="宋体" w:hAnsi="宋体" w:cs="Arial"/>
                            <w:kern w:val="0"/>
                            <w:sz w:val="15"/>
                            <w:szCs w:val="15"/>
                          </w:rPr>
                          <w:t>金额单位：万元</w:t>
                        </w:r>
                      </w:p>
                    </w:tc>
                  </w:tr>
                  <w:tr>
                    <w:tblPrEx>
                      <w:tblCellMar>
                        <w:top w:w="0" w:type="dxa"/>
                        <w:left w:w="108" w:type="dxa"/>
                        <w:bottom w:w="0" w:type="dxa"/>
                        <w:right w:w="108" w:type="dxa"/>
                      </w:tblCellMar>
                    </w:tblPrEx>
                    <w:trPr>
                      <w:trHeight w:val="537" w:hRule="atLeast"/>
                    </w:trPr>
                    <w:tc>
                      <w:tcPr>
                        <w:tcW w:w="900"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科目编码</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科目名称</w:t>
                        </w:r>
                      </w:p>
                    </w:tc>
                    <w:tc>
                      <w:tcPr>
                        <w:tcW w:w="748"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总计</w:t>
                        </w:r>
                      </w:p>
                    </w:tc>
                    <w:tc>
                      <w:tcPr>
                        <w:tcW w:w="640"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上年结转</w:t>
                        </w:r>
                      </w:p>
                    </w:tc>
                    <w:tc>
                      <w:tcPr>
                        <w:tcW w:w="2136"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用事业基金弥补收支差额</w:t>
                        </w:r>
                      </w:p>
                    </w:tc>
                  </w:tr>
                  <w:tr>
                    <w:tblPrEx>
                      <w:tblCellMar>
                        <w:top w:w="0" w:type="dxa"/>
                        <w:left w:w="108" w:type="dxa"/>
                        <w:bottom w:w="0" w:type="dxa"/>
                        <w:right w:w="108" w:type="dxa"/>
                      </w:tblCellMar>
                    </w:tblPrEx>
                    <w:trPr>
                      <w:trHeight w:val="893" w:hRule="atLeast"/>
                    </w:trPr>
                    <w:tc>
                      <w:tcPr>
                        <w:tcW w:w="900"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Arial"/>
                            <w:kern w:val="0"/>
                            <w:sz w:val="15"/>
                            <w:szCs w:val="15"/>
                          </w:rPr>
                        </w:pPr>
                      </w:p>
                    </w:tc>
                    <w:tc>
                      <w:tcPr>
                        <w:tcW w:w="1134"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kern w:val="0"/>
                            <w:sz w:val="15"/>
                            <w:szCs w:val="15"/>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15"/>
                            <w:szCs w:val="15"/>
                          </w:rPr>
                        </w:pPr>
                      </w:p>
                    </w:tc>
                    <w:tc>
                      <w:tcPr>
                        <w:tcW w:w="640"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cs="Arial"/>
                            <w:kern w:val="0"/>
                            <w:sz w:val="15"/>
                            <w:szCs w:val="15"/>
                          </w:rPr>
                        </w:pPr>
                      </w:p>
                    </w:tc>
                    <w:tc>
                      <w:tcPr>
                        <w:tcW w:w="74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合计</w:t>
                        </w:r>
                      </w:p>
                    </w:tc>
                    <w:tc>
                      <w:tcPr>
                        <w:tcW w:w="74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cs="Arial"/>
                            <w:kern w:val="0"/>
                            <w:sz w:val="15"/>
                            <w:szCs w:val="15"/>
                          </w:rPr>
                        </w:pPr>
                      </w:p>
                    </w:tc>
                  </w:tr>
                  <w:tr>
                    <w:tblPrEx>
                      <w:tblCellMar>
                        <w:top w:w="0" w:type="dxa"/>
                        <w:left w:w="108" w:type="dxa"/>
                        <w:bottom w:w="0" w:type="dxa"/>
                        <w:right w:w="108" w:type="dxa"/>
                      </w:tblCellMar>
                    </w:tblPrEx>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栏</w:t>
                        </w:r>
                        <w:r>
                          <w:rPr>
                            <w:rFonts w:ascii="宋体" w:hAnsi="宋体" w:cs="Arial"/>
                            <w:kern w:val="0"/>
                            <w:sz w:val="15"/>
                            <w:szCs w:val="15"/>
                          </w:rPr>
                          <w:t xml:space="preserve">  </w:t>
                        </w:r>
                        <w:r>
                          <w:rPr>
                            <w:rFonts w:hint="eastAsia" w:ascii="宋体" w:hAnsi="宋体" w:cs="Arial"/>
                            <w:kern w:val="0"/>
                            <w:sz w:val="15"/>
                            <w:szCs w:val="15"/>
                          </w:rPr>
                          <w:t>次</w:t>
                        </w:r>
                      </w:p>
                    </w:tc>
                    <w:tc>
                      <w:tcPr>
                        <w:tcW w:w="748"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1</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2</w:t>
                        </w:r>
                      </w:p>
                    </w:tc>
                    <w:tc>
                      <w:tcPr>
                        <w:tcW w:w="74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3</w:t>
                        </w:r>
                      </w:p>
                    </w:tc>
                    <w:tc>
                      <w:tcPr>
                        <w:tcW w:w="74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1</w:t>
                        </w:r>
                        <w:r>
                          <w:rPr>
                            <w:rFonts w:ascii="宋体" w:cs="Arial"/>
                            <w:kern w:val="0"/>
                            <w:sz w:val="15"/>
                            <w:szCs w:val="15"/>
                          </w:rPr>
                          <w:t>0</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11</w:t>
                        </w:r>
                      </w:p>
                    </w:tc>
                  </w:tr>
                  <w:tr>
                    <w:tblPrEx>
                      <w:tblCellMar>
                        <w:top w:w="0" w:type="dxa"/>
                        <w:left w:w="108" w:type="dxa"/>
                        <w:bottom w:w="0" w:type="dxa"/>
                        <w:right w:w="108" w:type="dxa"/>
                      </w:tblCellMar>
                    </w:tblPrEx>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合</w:t>
                        </w:r>
                        <w:r>
                          <w:rPr>
                            <w:rFonts w:ascii="宋体" w:hAnsi="宋体" w:cs="Arial"/>
                            <w:kern w:val="0"/>
                            <w:sz w:val="15"/>
                            <w:szCs w:val="15"/>
                          </w:rPr>
                          <w:t xml:space="preserve">  </w:t>
                        </w:r>
                        <w:r>
                          <w:rPr>
                            <w:rFonts w:hint="eastAsia" w:ascii="宋体" w:hAnsi="宋体" w:cs="Arial"/>
                            <w:kern w:val="0"/>
                            <w:sz w:val="15"/>
                            <w:szCs w:val="15"/>
                          </w:rPr>
                          <w:t>计</w:t>
                        </w:r>
                      </w:p>
                    </w:tc>
                    <w:tc>
                      <w:tcPr>
                        <w:tcW w:w="748" w:type="dxa"/>
                        <w:tcBorders>
                          <w:top w:val="nil"/>
                          <w:left w:val="nil"/>
                          <w:bottom w:val="single" w:color="auto" w:sz="4" w:space="0"/>
                          <w:right w:val="single" w:color="000000" w:sz="4" w:space="0"/>
                        </w:tcBorders>
                        <w:shd w:val="clear" w:color="000000" w:fill="FFFFFF"/>
                      </w:tcPr>
                      <w:p>
                        <w:pPr>
                          <w:rPr>
                            <w:sz w:val="15"/>
                            <w:szCs w:val="15"/>
                          </w:rPr>
                        </w:pPr>
                        <w:r>
                          <w:rPr>
                            <w:sz w:val="15"/>
                            <w:szCs w:val="15"/>
                          </w:rPr>
                          <w:t>3,431.94</w:t>
                        </w: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20.78</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2,169.56</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2,169.56</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432.17</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809.44</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201</w:t>
                        </w:r>
                        <w:r>
                          <w:rPr>
                            <w:rFonts w:ascii="宋体" w:hAnsi="宋体" w:cs="Arial"/>
                            <w:kern w:val="0"/>
                            <w:sz w:val="15"/>
                            <w:szCs w:val="15"/>
                          </w:rPr>
                          <w:tab/>
                        </w:r>
                        <w:r>
                          <w:rPr>
                            <w:rFonts w:ascii="宋体" w:cs="Arial"/>
                            <w:kern w:val="0"/>
                            <w:sz w:val="15"/>
                            <w:szCs w:val="15"/>
                          </w:rPr>
                          <w:tab/>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一般公共服务支出</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3,183.46</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18.36</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1,923.49</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1,923.49</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432.17</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809.44</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20129</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群众团体事务</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3,183.46</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18.36</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1,923.49</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1,923.49</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432.17</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809.44</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2012901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行政运行</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461.21</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8.00</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453.21</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453.21</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2012902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一般行政管理事务</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270.57</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1.60</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248.57</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248.57</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20.40</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2012950</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事业运行</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319.00</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8.76</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310.24</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310.24</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2012999</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其他群众团体事务支出</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2,132.68</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911.47</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911.47</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432.17</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789.04</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208</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社会保障和就业支出</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144.12</w:t>
                        </w:r>
                      </w:p>
                    </w:tc>
                    <w:tc>
                      <w:tcPr>
                        <w:tcW w:w="640" w:type="dxa"/>
                        <w:tcBorders>
                          <w:top w:val="nil"/>
                          <w:left w:val="single" w:color="auto" w:sz="4" w:space="0"/>
                          <w:bottom w:val="single" w:color="000000" w:sz="8" w:space="0"/>
                          <w:right w:val="single" w:color="000000" w:sz="4" w:space="0"/>
                        </w:tcBorders>
                        <w:shd w:val="clear" w:color="000000" w:fill="FFFFFF"/>
                      </w:tcPr>
                      <w:p>
                        <w:pPr>
                          <w:rPr>
                            <w:sz w:val="15"/>
                            <w:szCs w:val="15"/>
                          </w:rPr>
                        </w:pPr>
                      </w:p>
                    </w:tc>
                    <w:tc>
                      <w:tcPr>
                        <w:tcW w:w="748" w:type="dxa"/>
                        <w:tcBorders>
                          <w:top w:val="nil"/>
                          <w:left w:val="nil"/>
                          <w:bottom w:val="single" w:color="000000" w:sz="8" w:space="0"/>
                          <w:right w:val="single" w:color="000000" w:sz="4" w:space="0"/>
                        </w:tcBorders>
                        <w:shd w:val="clear" w:color="000000" w:fill="FFFFFF"/>
                      </w:tcPr>
                      <w:p>
                        <w:pPr>
                          <w:rPr>
                            <w:sz w:val="15"/>
                            <w:szCs w:val="15"/>
                          </w:rPr>
                        </w:pPr>
                        <w:r>
                          <w:rPr>
                            <w:sz w:val="15"/>
                            <w:szCs w:val="15"/>
                          </w:rPr>
                          <w:t>144.12</w:t>
                        </w:r>
                      </w:p>
                    </w:tc>
                    <w:tc>
                      <w:tcPr>
                        <w:tcW w:w="748" w:type="dxa"/>
                        <w:tcBorders>
                          <w:top w:val="nil"/>
                          <w:left w:val="nil"/>
                          <w:bottom w:val="single" w:color="000000" w:sz="8" w:space="0"/>
                          <w:right w:val="single" w:color="000000" w:sz="4" w:space="0"/>
                        </w:tcBorders>
                        <w:shd w:val="clear" w:color="000000" w:fill="FFFFFF"/>
                      </w:tcPr>
                      <w:p>
                        <w:pPr>
                          <w:rPr>
                            <w:sz w:val="15"/>
                            <w:szCs w:val="15"/>
                          </w:rPr>
                        </w:pPr>
                        <w:r>
                          <w:rPr>
                            <w:sz w:val="15"/>
                            <w:szCs w:val="15"/>
                          </w:rPr>
                          <w:t>144.12</w:t>
                        </w: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20805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行政事业单位离退休</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144.12</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144.12</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144.12</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2080504</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未归口管理的行政单位离退休</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58.10</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58.10</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58.10</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2080505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机关事业单位基本养老保险缴费支出</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23.74</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23.74</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23.74</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2080506</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机关事业单位职业年金缴费支出</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62.27</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62.27</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62.27</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210</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医疗卫生与计划生育支出</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41.00</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2.42</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38.58</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38.58</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21005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医疗保障</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41.00</w:t>
                        </w:r>
                      </w:p>
                    </w:tc>
                    <w:tc>
                      <w:tcPr>
                        <w:tcW w:w="640" w:type="dxa"/>
                        <w:tcBorders>
                          <w:top w:val="nil"/>
                          <w:left w:val="single" w:color="auto" w:sz="4" w:space="0"/>
                          <w:bottom w:val="single" w:color="000000" w:sz="8" w:space="0"/>
                          <w:right w:val="single" w:color="000000" w:sz="4" w:space="0"/>
                        </w:tcBorders>
                        <w:shd w:val="clear" w:color="000000" w:fill="FFFFFF"/>
                      </w:tcPr>
                      <w:p>
                        <w:pPr>
                          <w:rPr>
                            <w:sz w:val="15"/>
                            <w:szCs w:val="15"/>
                          </w:rPr>
                        </w:pPr>
                        <w:r>
                          <w:rPr>
                            <w:sz w:val="15"/>
                            <w:szCs w:val="15"/>
                          </w:rPr>
                          <w:t>2.42</w:t>
                        </w:r>
                      </w:p>
                    </w:tc>
                    <w:tc>
                      <w:tcPr>
                        <w:tcW w:w="748" w:type="dxa"/>
                        <w:tcBorders>
                          <w:top w:val="nil"/>
                          <w:left w:val="nil"/>
                          <w:bottom w:val="single" w:color="000000" w:sz="8" w:space="0"/>
                          <w:right w:val="single" w:color="000000" w:sz="4" w:space="0"/>
                        </w:tcBorders>
                        <w:shd w:val="clear" w:color="000000" w:fill="FFFFFF"/>
                      </w:tcPr>
                      <w:p>
                        <w:pPr>
                          <w:rPr>
                            <w:sz w:val="15"/>
                            <w:szCs w:val="15"/>
                          </w:rPr>
                        </w:pPr>
                        <w:r>
                          <w:rPr>
                            <w:sz w:val="15"/>
                            <w:szCs w:val="15"/>
                          </w:rPr>
                          <w:t>38.58</w:t>
                        </w:r>
                      </w:p>
                    </w:tc>
                    <w:tc>
                      <w:tcPr>
                        <w:tcW w:w="748" w:type="dxa"/>
                        <w:tcBorders>
                          <w:top w:val="nil"/>
                          <w:left w:val="nil"/>
                          <w:bottom w:val="single" w:color="000000" w:sz="8" w:space="0"/>
                          <w:right w:val="single" w:color="000000" w:sz="4" w:space="0"/>
                        </w:tcBorders>
                        <w:shd w:val="clear" w:color="000000" w:fill="FFFFFF"/>
                      </w:tcPr>
                      <w:p>
                        <w:pPr>
                          <w:rPr>
                            <w:sz w:val="15"/>
                            <w:szCs w:val="15"/>
                          </w:rPr>
                        </w:pPr>
                        <w:r>
                          <w:rPr>
                            <w:sz w:val="15"/>
                            <w:szCs w:val="15"/>
                          </w:rPr>
                          <w:t>38.58</w:t>
                        </w: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2100501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行政单位医疗</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26.69</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1.12</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25.58</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25.58</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2100502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事业单位医疗</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14.31</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1.30</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13.01</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13.01</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221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住房保障支出</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63.36</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63.36</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63.36</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22102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住房改革支出</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63.36</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63.36</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63.36</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2210201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住房公积金</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55.36</w:t>
                        </w:r>
                      </w:p>
                    </w:tc>
                    <w:tc>
                      <w:tcPr>
                        <w:tcW w:w="640" w:type="dxa"/>
                        <w:tcBorders>
                          <w:top w:val="nil"/>
                          <w:left w:val="single" w:color="auto" w:sz="4" w:space="0"/>
                          <w:bottom w:val="single" w:color="000000" w:sz="4" w:space="0"/>
                          <w:right w:val="single" w:color="000000" w:sz="4" w:space="0"/>
                        </w:tcBorders>
                        <w:shd w:val="clear" w:color="000000" w:fill="FFFFFF"/>
                      </w:tcPr>
                      <w:p>
                        <w:pPr>
                          <w:rPr>
                            <w:sz w:val="15"/>
                            <w:szCs w:val="15"/>
                          </w:rPr>
                        </w:pP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55.36</w:t>
                        </w:r>
                      </w:p>
                    </w:tc>
                    <w:tc>
                      <w:tcPr>
                        <w:tcW w:w="748"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55.36</w:t>
                        </w: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4" w:space="0"/>
                        </w:tcBorders>
                        <w:shd w:val="clear" w:color="000000" w:fill="FFFFFF"/>
                      </w:tcPr>
                      <w:p>
                        <w:pPr>
                          <w:rPr>
                            <w:sz w:val="15"/>
                            <w:szCs w:val="15"/>
                          </w:rPr>
                        </w:pPr>
                      </w:p>
                    </w:tc>
                    <w:tc>
                      <w:tcPr>
                        <w:tcW w:w="640" w:type="dxa"/>
                        <w:tcBorders>
                          <w:top w:val="nil"/>
                          <w:left w:val="nil"/>
                          <w:bottom w:val="single" w:color="000000" w:sz="4" w:space="0"/>
                          <w:right w:val="single" w:color="000000" w:sz="8" w:space="0"/>
                        </w:tcBorders>
                        <w:shd w:val="clear" w:color="000000" w:fill="FFFFFF"/>
                      </w:tcPr>
                      <w:p>
                        <w:pPr>
                          <w:rPr>
                            <w:sz w:val="15"/>
                            <w:szCs w:val="15"/>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2210203</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购房补贴</w:t>
                        </w:r>
                      </w:p>
                    </w:tc>
                    <w:tc>
                      <w:tcPr>
                        <w:tcW w:w="748"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8.00</w:t>
                        </w:r>
                      </w:p>
                    </w:tc>
                    <w:tc>
                      <w:tcPr>
                        <w:tcW w:w="640" w:type="dxa"/>
                        <w:tcBorders>
                          <w:top w:val="nil"/>
                          <w:left w:val="single" w:color="auto" w:sz="4" w:space="0"/>
                          <w:bottom w:val="single" w:color="000000" w:sz="8" w:space="0"/>
                          <w:right w:val="single" w:color="000000" w:sz="4" w:space="0"/>
                        </w:tcBorders>
                        <w:shd w:val="clear" w:color="000000" w:fill="FFFFFF"/>
                      </w:tcPr>
                      <w:p>
                        <w:pPr>
                          <w:rPr>
                            <w:sz w:val="15"/>
                            <w:szCs w:val="15"/>
                          </w:rPr>
                        </w:pPr>
                      </w:p>
                    </w:tc>
                    <w:tc>
                      <w:tcPr>
                        <w:tcW w:w="748" w:type="dxa"/>
                        <w:tcBorders>
                          <w:top w:val="nil"/>
                          <w:left w:val="nil"/>
                          <w:bottom w:val="single" w:color="000000" w:sz="8" w:space="0"/>
                          <w:right w:val="single" w:color="000000" w:sz="4" w:space="0"/>
                        </w:tcBorders>
                        <w:shd w:val="clear" w:color="000000" w:fill="FFFFFF"/>
                      </w:tcPr>
                      <w:p>
                        <w:pPr>
                          <w:rPr>
                            <w:sz w:val="15"/>
                            <w:szCs w:val="15"/>
                          </w:rPr>
                        </w:pPr>
                        <w:r>
                          <w:rPr>
                            <w:sz w:val="15"/>
                            <w:szCs w:val="15"/>
                          </w:rPr>
                          <w:t>8.00</w:t>
                        </w:r>
                      </w:p>
                    </w:tc>
                    <w:tc>
                      <w:tcPr>
                        <w:tcW w:w="748" w:type="dxa"/>
                        <w:tcBorders>
                          <w:top w:val="nil"/>
                          <w:left w:val="nil"/>
                          <w:bottom w:val="single" w:color="000000" w:sz="8" w:space="0"/>
                          <w:right w:val="single" w:color="000000" w:sz="4" w:space="0"/>
                        </w:tcBorders>
                        <w:shd w:val="clear" w:color="000000" w:fill="FFFFFF"/>
                      </w:tcPr>
                      <w:p>
                        <w:pPr>
                          <w:rPr>
                            <w:sz w:val="15"/>
                            <w:szCs w:val="15"/>
                          </w:rPr>
                        </w:pPr>
                        <w:r>
                          <w:rPr>
                            <w:sz w:val="15"/>
                            <w:szCs w:val="15"/>
                          </w:rPr>
                          <w:t>8.00</w:t>
                        </w: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4" w:space="0"/>
                        </w:tcBorders>
                        <w:shd w:val="clear" w:color="000000" w:fill="FFFFFF"/>
                      </w:tcPr>
                      <w:p>
                        <w:pPr>
                          <w:rPr>
                            <w:sz w:val="15"/>
                            <w:szCs w:val="15"/>
                          </w:rPr>
                        </w:pPr>
                      </w:p>
                    </w:tc>
                    <w:tc>
                      <w:tcPr>
                        <w:tcW w:w="640" w:type="dxa"/>
                        <w:tcBorders>
                          <w:top w:val="nil"/>
                          <w:left w:val="nil"/>
                          <w:bottom w:val="single" w:color="000000" w:sz="8" w:space="0"/>
                          <w:right w:val="single" w:color="000000" w:sz="8" w:space="0"/>
                        </w:tcBorders>
                        <w:shd w:val="clear" w:color="000000" w:fill="FFFFFF"/>
                      </w:tcPr>
                      <w:p>
                        <w:pPr>
                          <w:rPr>
                            <w:sz w:val="15"/>
                            <w:szCs w:val="15"/>
                          </w:rPr>
                        </w:pPr>
                      </w:p>
                    </w:tc>
                  </w:tr>
                </w:tbl>
                <w:p>
                  <w:pPr>
                    <w:widowControl/>
                    <w:jc w:val="left"/>
                    <w:rPr>
                      <w:rFonts w:ascii="Arial" w:hAnsi="Arial" w:cs="Arial"/>
                      <w:kern w:val="0"/>
                      <w:sz w:val="20"/>
                      <w:szCs w:val="20"/>
                    </w:rPr>
                  </w:pPr>
                </w:p>
              </w:tc>
              <w:tc>
                <w:tcPr>
                  <w:tcW w:w="436" w:type="dxa"/>
                  <w:tcBorders>
                    <w:top w:val="nil"/>
                    <w:left w:val="nil"/>
                    <w:bottom w:val="nil"/>
                    <w:right w:val="nil"/>
                  </w:tcBorders>
                  <w:vAlign w:val="bottom"/>
                </w:tcPr>
                <w:p>
                  <w:pPr>
                    <w:widowControl/>
                    <w:jc w:val="left"/>
                    <w:rPr>
                      <w:rFonts w:ascii="Arial" w:hAnsi="Arial" w:cs="Arial"/>
                      <w:kern w:val="0"/>
                      <w:sz w:val="20"/>
                      <w:szCs w:val="20"/>
                    </w:rPr>
                  </w:pPr>
                </w:p>
              </w:tc>
              <w:tc>
                <w:tcPr>
                  <w:tcW w:w="436" w:type="dxa"/>
                  <w:tcBorders>
                    <w:top w:val="nil"/>
                    <w:left w:val="nil"/>
                    <w:bottom w:val="nil"/>
                    <w:right w:val="nil"/>
                  </w:tcBorders>
                  <w:vAlign w:val="bottom"/>
                </w:tcPr>
                <w:p>
                  <w:pPr>
                    <w:widowControl/>
                    <w:jc w:val="left"/>
                    <w:rPr>
                      <w:rFonts w:ascii="Arial" w:hAnsi="Arial" w:cs="Arial"/>
                      <w:kern w:val="0"/>
                      <w:sz w:val="20"/>
                      <w:szCs w:val="20"/>
                    </w:rPr>
                  </w:pPr>
                </w:p>
              </w:tc>
              <w:tc>
                <w:tcPr>
                  <w:tcW w:w="1940" w:type="dxa"/>
                  <w:tcBorders>
                    <w:top w:val="nil"/>
                    <w:left w:val="nil"/>
                    <w:bottom w:val="nil"/>
                    <w:right w:val="nil"/>
                  </w:tcBorders>
                  <w:vAlign w:val="bottom"/>
                </w:tcPr>
                <w:p>
                  <w:pPr>
                    <w:widowControl/>
                    <w:jc w:val="left"/>
                    <w:rPr>
                      <w:rFonts w:ascii="Arial" w:hAnsi="Arial" w:cs="Arial"/>
                      <w:kern w:val="0"/>
                      <w:sz w:val="20"/>
                      <w:szCs w:val="20"/>
                    </w:rPr>
                  </w:pPr>
                </w:p>
              </w:tc>
              <w:tc>
                <w:tcPr>
                  <w:tcW w:w="940" w:type="dxa"/>
                  <w:tcBorders>
                    <w:top w:val="nil"/>
                    <w:left w:val="nil"/>
                    <w:bottom w:val="nil"/>
                    <w:right w:val="nil"/>
                  </w:tcBorders>
                  <w:vAlign w:val="bottom"/>
                </w:tcPr>
                <w:p>
                  <w:pPr>
                    <w:widowControl/>
                    <w:jc w:val="left"/>
                    <w:rPr>
                      <w:rFonts w:ascii="Arial" w:hAnsi="Arial" w:cs="Arial"/>
                      <w:kern w:val="0"/>
                      <w:sz w:val="20"/>
                      <w:szCs w:val="20"/>
                    </w:rPr>
                  </w:pPr>
                </w:p>
              </w:tc>
              <w:tc>
                <w:tcPr>
                  <w:tcW w:w="940" w:type="dxa"/>
                  <w:tcBorders>
                    <w:top w:val="nil"/>
                    <w:left w:val="nil"/>
                    <w:bottom w:val="nil"/>
                    <w:right w:val="nil"/>
                  </w:tcBorders>
                  <w:vAlign w:val="bottom"/>
                </w:tcPr>
                <w:p>
                  <w:pPr>
                    <w:widowControl/>
                    <w:jc w:val="left"/>
                    <w:rPr>
                      <w:rFonts w:ascii="Arial" w:hAnsi="Arial" w:cs="Arial"/>
                      <w:kern w:val="0"/>
                      <w:sz w:val="20"/>
                      <w:szCs w:val="20"/>
                    </w:rPr>
                  </w:pPr>
                </w:p>
              </w:tc>
              <w:tc>
                <w:tcPr>
                  <w:tcW w:w="940" w:type="dxa"/>
                  <w:tcBorders>
                    <w:top w:val="nil"/>
                    <w:left w:val="nil"/>
                    <w:bottom w:val="nil"/>
                    <w:right w:val="nil"/>
                  </w:tcBorders>
                  <w:vAlign w:val="bottom"/>
                </w:tcPr>
                <w:p>
                  <w:pPr>
                    <w:widowControl/>
                    <w:jc w:val="left"/>
                    <w:rPr>
                      <w:rFonts w:ascii="Arial" w:hAnsi="Arial" w:cs="Arial"/>
                      <w:kern w:val="0"/>
                      <w:sz w:val="20"/>
                      <w:szCs w:val="20"/>
                    </w:rPr>
                  </w:pPr>
                </w:p>
              </w:tc>
              <w:tc>
                <w:tcPr>
                  <w:tcW w:w="940" w:type="dxa"/>
                  <w:tcBorders>
                    <w:top w:val="nil"/>
                    <w:left w:val="nil"/>
                    <w:bottom w:val="nil"/>
                    <w:right w:val="nil"/>
                  </w:tcBorders>
                  <w:vAlign w:val="bottom"/>
                </w:tcPr>
                <w:p>
                  <w:pPr>
                    <w:widowControl/>
                    <w:jc w:val="left"/>
                    <w:rPr>
                      <w:rFonts w:ascii="Arial" w:hAnsi="Arial" w:cs="Arial"/>
                      <w:kern w:val="0"/>
                      <w:sz w:val="20"/>
                      <w:szCs w:val="20"/>
                    </w:rPr>
                  </w:pPr>
                </w:p>
              </w:tc>
              <w:tc>
                <w:tcPr>
                  <w:tcW w:w="940" w:type="dxa"/>
                  <w:tcBorders>
                    <w:top w:val="nil"/>
                    <w:left w:val="nil"/>
                    <w:bottom w:val="nil"/>
                    <w:right w:val="nil"/>
                  </w:tcBorders>
                  <w:vAlign w:val="bottom"/>
                </w:tcPr>
                <w:p>
                  <w:pPr>
                    <w:widowControl/>
                    <w:jc w:val="left"/>
                    <w:rPr>
                      <w:rFonts w:ascii="Arial" w:hAnsi="Arial" w:cs="Arial"/>
                      <w:kern w:val="0"/>
                      <w:sz w:val="20"/>
                      <w:szCs w:val="20"/>
                    </w:rPr>
                  </w:pPr>
                </w:p>
              </w:tc>
              <w:tc>
                <w:tcPr>
                  <w:tcW w:w="1880" w:type="dxa"/>
                  <w:tcBorders>
                    <w:top w:val="nil"/>
                    <w:left w:val="nil"/>
                    <w:bottom w:val="nil"/>
                    <w:right w:val="nil"/>
                  </w:tcBorders>
                  <w:vAlign w:val="bottom"/>
                </w:tcPr>
                <w:p>
                  <w:pPr>
                    <w:widowControl/>
                    <w:jc w:val="right"/>
                    <w:rPr>
                      <w:rFonts w:ascii="宋体" w:cs="Arial"/>
                      <w:kern w:val="0"/>
                      <w:sz w:val="15"/>
                      <w:szCs w:val="15"/>
                    </w:rPr>
                  </w:pPr>
                  <w:r>
                    <w:rPr>
                      <w:rFonts w:hint="eastAsia" w:ascii="宋体" w:hAnsi="宋体" w:cs="Arial"/>
                      <w:kern w:val="0"/>
                      <w:sz w:val="15"/>
                      <w:szCs w:val="15"/>
                    </w:rPr>
                    <w:t>公开</w:t>
                  </w:r>
                  <w:r>
                    <w:rPr>
                      <w:rFonts w:ascii="宋体" w:hAnsi="宋体" w:cs="Arial"/>
                      <w:kern w:val="0"/>
                      <w:sz w:val="15"/>
                      <w:szCs w:val="15"/>
                    </w:rPr>
                    <w:t>02-1</w:t>
                  </w:r>
                  <w:r>
                    <w:rPr>
                      <w:rFonts w:hint="eastAsia" w:ascii="宋体" w:hAnsi="宋体" w:cs="Arial"/>
                      <w:kern w:val="0"/>
                      <w:sz w:val="15"/>
                      <w:szCs w:val="15"/>
                    </w:rPr>
                    <w:t>表</w:t>
                  </w:r>
                </w:p>
              </w:tc>
            </w:tr>
          </w:tbl>
          <w:p>
            <w:pPr>
              <w:widowControl/>
              <w:jc w:val="left"/>
              <w:rPr>
                <w:rFonts w:ascii="宋体"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center"/>
              <w:rPr>
                <w:rFonts w:ascii="宋体"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640" w:type="dxa"/>
            <w:tcBorders>
              <w:top w:val="nil"/>
              <w:left w:val="nil"/>
              <w:bottom w:val="nil"/>
              <w:right w:val="nil"/>
            </w:tcBorders>
            <w:vAlign w:val="bottom"/>
          </w:tcPr>
          <w:p>
            <w:pPr>
              <w:widowControl/>
              <w:jc w:val="left"/>
              <w:rPr>
                <w:rFonts w:ascii="Arial" w:hAnsi="Arial" w:cs="Arial"/>
                <w:kern w:val="0"/>
                <w:sz w:val="20"/>
                <w:szCs w:val="20"/>
              </w:rPr>
            </w:pPr>
          </w:p>
        </w:tc>
        <w:tc>
          <w:tcPr>
            <w:tcW w:w="1920" w:type="dxa"/>
            <w:tcBorders>
              <w:top w:val="nil"/>
              <w:left w:val="nil"/>
              <w:bottom w:val="single" w:color="000000" w:sz="8" w:space="0"/>
              <w:right w:val="nil"/>
            </w:tcBorders>
            <w:vAlign w:val="bottom"/>
          </w:tcPr>
          <w:p>
            <w:pPr>
              <w:widowControl/>
              <w:jc w:val="right"/>
              <w:rPr>
                <w:rFonts w:ascii="宋体" w:cs="Arial"/>
                <w:kern w:val="0"/>
                <w:sz w:val="20"/>
                <w:szCs w:val="20"/>
              </w:rPr>
            </w:pPr>
            <w:r>
              <w:rPr>
                <w:rFonts w:hint="eastAsia" w:ascii="宋体" w:hAnsi="宋体" w:cs="Arial"/>
                <w:kern w:val="0"/>
                <w:sz w:val="20"/>
                <w:szCs w:val="20"/>
              </w:rPr>
              <w:t>金额单位：万元</w:t>
            </w:r>
          </w:p>
        </w:tc>
      </w:tr>
    </w:tbl>
    <w:p>
      <w:pPr>
        <w:autoSpaceDE w:val="0"/>
        <w:autoSpaceDN w:val="0"/>
        <w:adjustRightInd w:val="0"/>
        <w:spacing w:line="560" w:lineRule="exact"/>
        <w:jc w:val="center"/>
        <w:rPr>
          <w:rFonts w:ascii="??" w:hAnsi="Times New Roman" w:cs="??"/>
          <w:b/>
          <w:sz w:val="32"/>
          <w:szCs w:val="32"/>
        </w:rPr>
      </w:pPr>
    </w:p>
    <w:p>
      <w:pPr>
        <w:autoSpaceDE w:val="0"/>
        <w:autoSpaceDN w:val="0"/>
        <w:adjustRightInd w:val="0"/>
        <w:spacing w:line="560" w:lineRule="exact"/>
        <w:jc w:val="center"/>
        <w:rPr>
          <w:rFonts w:ascii="??" w:hAnsi="Times New Roman" w:cs="??"/>
          <w:b/>
          <w:sz w:val="32"/>
          <w:szCs w:val="32"/>
        </w:rPr>
      </w:pPr>
    </w:p>
    <w:p>
      <w:pPr>
        <w:autoSpaceDE w:val="0"/>
        <w:autoSpaceDN w:val="0"/>
        <w:adjustRightInd w:val="0"/>
        <w:spacing w:line="560" w:lineRule="exact"/>
        <w:jc w:val="center"/>
        <w:rPr>
          <w:rFonts w:ascii="??" w:hAnsi="Times New Roman" w:eastAsia="Times New Roman" w:cs="??"/>
          <w:b/>
          <w:sz w:val="32"/>
          <w:szCs w:val="32"/>
        </w:rPr>
      </w:pPr>
      <w:r>
        <w:rPr>
          <w:rFonts w:ascii="??" w:hAnsi="Times New Roman" w:eastAsia="Times New Roman" w:cs="??"/>
          <w:b/>
          <w:sz w:val="32"/>
          <w:szCs w:val="32"/>
        </w:rPr>
        <w:t>2016年度部门支出决算总表（分单位）</w:t>
      </w:r>
    </w:p>
    <w:tbl>
      <w:tblPr>
        <w:tblStyle w:val="6"/>
        <w:tblW w:w="16336" w:type="dxa"/>
        <w:tblInd w:w="93" w:type="dxa"/>
        <w:tblLayout w:type="fixed"/>
        <w:tblCellMar>
          <w:top w:w="0" w:type="dxa"/>
          <w:left w:w="108" w:type="dxa"/>
          <w:bottom w:w="0" w:type="dxa"/>
          <w:right w:w="108" w:type="dxa"/>
        </w:tblCellMar>
      </w:tblPr>
      <w:tblGrid>
        <w:gridCol w:w="9336"/>
        <w:gridCol w:w="1000"/>
        <w:gridCol w:w="1000"/>
        <w:gridCol w:w="1000"/>
        <w:gridCol w:w="1000"/>
        <w:gridCol w:w="1000"/>
        <w:gridCol w:w="2000"/>
      </w:tblGrid>
      <w:tr>
        <w:tblPrEx>
          <w:tblCellMar>
            <w:top w:w="0" w:type="dxa"/>
            <w:left w:w="108" w:type="dxa"/>
            <w:bottom w:w="0" w:type="dxa"/>
            <w:right w:w="108" w:type="dxa"/>
          </w:tblCellMar>
        </w:tblPrEx>
        <w:trPr>
          <w:trHeight w:val="255" w:hRule="atLeast"/>
        </w:trPr>
        <w:tc>
          <w:tcPr>
            <w:tcW w:w="9336" w:type="dxa"/>
            <w:tcBorders>
              <w:top w:val="nil"/>
              <w:left w:val="nil"/>
              <w:bottom w:val="nil"/>
              <w:right w:val="nil"/>
            </w:tcBorders>
            <w:vAlign w:val="bottom"/>
          </w:tcPr>
          <w:tbl>
            <w:tblPr>
              <w:tblStyle w:val="6"/>
              <w:tblW w:w="9120" w:type="dxa"/>
              <w:tblInd w:w="0" w:type="dxa"/>
              <w:tblLayout w:type="fixed"/>
              <w:tblCellMar>
                <w:top w:w="0" w:type="dxa"/>
                <w:left w:w="108" w:type="dxa"/>
                <w:bottom w:w="0" w:type="dxa"/>
                <w:right w:w="108" w:type="dxa"/>
              </w:tblCellMar>
            </w:tblPr>
            <w:tblGrid>
              <w:gridCol w:w="2120"/>
              <w:gridCol w:w="1000"/>
              <w:gridCol w:w="1000"/>
              <w:gridCol w:w="1000"/>
              <w:gridCol w:w="1000"/>
              <w:gridCol w:w="1000"/>
              <w:gridCol w:w="1000"/>
              <w:gridCol w:w="1000"/>
            </w:tblGrid>
            <w:tr>
              <w:tblPrEx>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2000" w:type="dxa"/>
                  <w:gridSpan w:val="2"/>
                  <w:tcBorders>
                    <w:top w:val="nil"/>
                    <w:left w:val="nil"/>
                    <w:bottom w:val="nil"/>
                    <w:right w:val="nil"/>
                  </w:tcBorders>
                  <w:shd w:val="clear" w:color="000000" w:fill="FFFFFF"/>
                  <w:vAlign w:val="bottom"/>
                </w:tcPr>
                <w:p>
                  <w:pPr>
                    <w:widowControl/>
                    <w:jc w:val="right"/>
                    <w:rPr>
                      <w:rFonts w:ascii="宋体" w:cs="Arial"/>
                      <w:kern w:val="0"/>
                      <w:sz w:val="15"/>
                      <w:szCs w:val="15"/>
                    </w:rPr>
                  </w:pPr>
                  <w:r>
                    <w:rPr>
                      <w:rFonts w:hint="eastAsia" w:ascii="宋体" w:hAnsi="宋体" w:cs="Arial"/>
                      <w:kern w:val="0"/>
                      <w:sz w:val="15"/>
                      <w:szCs w:val="15"/>
                    </w:rPr>
                    <w:t>公开</w:t>
                  </w:r>
                  <w:r>
                    <w:rPr>
                      <w:rFonts w:ascii="宋体" w:hAnsi="宋体" w:cs="Arial"/>
                      <w:kern w:val="0"/>
                      <w:sz w:val="15"/>
                      <w:szCs w:val="15"/>
                    </w:rPr>
                    <w:t>03-1</w:t>
                  </w:r>
                  <w:r>
                    <w:rPr>
                      <w:rFonts w:hint="eastAsia" w:ascii="宋体" w:hAnsi="宋体" w:cs="Arial"/>
                      <w:kern w:val="0"/>
                      <w:sz w:val="15"/>
                      <w:szCs w:val="15"/>
                    </w:rPr>
                    <w:t>表</w:t>
                  </w:r>
                </w:p>
              </w:tc>
            </w:tr>
            <w:tr>
              <w:tblPrEx>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vAlign w:val="bottom"/>
                </w:tcPr>
                <w:p>
                  <w:pPr>
                    <w:widowControl/>
                    <w:jc w:val="left"/>
                    <w:rPr>
                      <w:rFonts w:ascii="宋体" w:cs="Arial"/>
                      <w:kern w:val="0"/>
                      <w:sz w:val="15"/>
                      <w:szCs w:val="15"/>
                    </w:rPr>
                  </w:pPr>
                  <w:r>
                    <w:rPr>
                      <w:rFonts w:hint="eastAsia" w:ascii="宋体" w:hAnsi="宋体" w:cs="Arial"/>
                      <w:kern w:val="0"/>
                      <w:sz w:val="15"/>
                      <w:szCs w:val="15"/>
                    </w:rPr>
                    <w:t>　部门：</w:t>
                  </w:r>
                </w:p>
              </w:tc>
              <w:tc>
                <w:tcPr>
                  <w:tcW w:w="1000"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000" w:type="dxa"/>
                  <w:tcBorders>
                    <w:top w:val="nil"/>
                    <w:left w:val="nil"/>
                    <w:bottom w:val="nil"/>
                    <w:right w:val="nil"/>
                  </w:tcBorders>
                  <w:shd w:val="clear" w:color="000000" w:fill="FFFFFF"/>
                  <w:vAlign w:val="bottom"/>
                </w:tcPr>
                <w:p>
                  <w:pPr>
                    <w:widowControl/>
                    <w:jc w:val="center"/>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000"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ascii="宋体" w:cs="Arial"/>
                      <w:kern w:val="0"/>
                      <w:sz w:val="15"/>
                      <w:szCs w:val="15"/>
                    </w:rPr>
                  </w:pPr>
                  <w:r>
                    <w:rPr>
                      <w:rFonts w:hint="eastAsia" w:ascii="宋体" w:hAnsi="宋体" w:cs="Arial"/>
                      <w:kern w:val="0"/>
                      <w:sz w:val="15"/>
                      <w:szCs w:val="15"/>
                    </w:rPr>
                    <w:t>金额单位：万元</w:t>
                  </w:r>
                </w:p>
              </w:tc>
            </w:tr>
            <w:tr>
              <w:tblPrEx>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kern w:val="0"/>
                      <w:sz w:val="15"/>
                      <w:szCs w:val="15"/>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栏</w:t>
                  </w:r>
                  <w:r>
                    <w:rPr>
                      <w:rFonts w:ascii="宋体" w:hAnsi="宋体" w:cs="Arial"/>
                      <w:kern w:val="0"/>
                      <w:sz w:val="15"/>
                      <w:szCs w:val="15"/>
                    </w:rPr>
                    <w:t xml:space="preserve">  </w:t>
                  </w:r>
                  <w:r>
                    <w:rPr>
                      <w:rFonts w:hint="eastAsia" w:ascii="宋体" w:hAnsi="宋体" w:cs="Arial"/>
                      <w:kern w:val="0"/>
                      <w:sz w:val="15"/>
                      <w:szCs w:val="15"/>
                    </w:rPr>
                    <w:t>次</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1</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2</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7</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tcPr>
                <w:p>
                  <w:pPr>
                    <w:rPr>
                      <w:sz w:val="15"/>
                      <w:szCs w:val="15"/>
                    </w:rPr>
                  </w:pPr>
                  <w:r>
                    <w:rPr>
                      <w:rFonts w:hint="eastAsia"/>
                      <w:sz w:val="15"/>
                      <w:szCs w:val="15"/>
                    </w:rPr>
                    <w:t>合</w:t>
                  </w:r>
                  <w:r>
                    <w:rPr>
                      <w:sz w:val="15"/>
                      <w:szCs w:val="15"/>
                    </w:rPr>
                    <w:t xml:space="preserve">  </w:t>
                  </w:r>
                  <w:r>
                    <w:rPr>
                      <w:rFonts w:hint="eastAsia"/>
                      <w:sz w:val="15"/>
                      <w:szCs w:val="15"/>
                    </w:rPr>
                    <w:t>计</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3,076.37</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889.40</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139.29</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2,047.68</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tcPr>
                <w:p>
                  <w:pPr>
                    <w:rPr>
                      <w:sz w:val="15"/>
                      <w:szCs w:val="15"/>
                    </w:rPr>
                  </w:pPr>
                  <w:r>
                    <w:rPr>
                      <w:rFonts w:hint="eastAsia"/>
                      <w:sz w:val="15"/>
                      <w:szCs w:val="15"/>
                    </w:rPr>
                    <w:t>温州市妇女联合会（本级）</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989.14</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561.55</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84.38</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343.21</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tcPr>
                <w:p>
                  <w:pPr>
                    <w:rPr>
                      <w:sz w:val="15"/>
                      <w:szCs w:val="15"/>
                    </w:rPr>
                  </w:pPr>
                  <w:r>
                    <w:rPr>
                      <w:rFonts w:hint="eastAsia"/>
                      <w:sz w:val="15"/>
                      <w:szCs w:val="15"/>
                    </w:rPr>
                    <w:t>温州市妇女儿童活动中心</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2,087.22</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327.85</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54.91</w:t>
                  </w:r>
                </w:p>
              </w:tc>
              <w:tc>
                <w:tcPr>
                  <w:tcW w:w="100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1,704.47</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bl>
          <w:p>
            <w:pPr>
              <w:widowControl/>
              <w:jc w:val="left"/>
              <w:rPr>
                <w:rFonts w:ascii="Arial" w:hAnsi="Arial" w:cs="Arial"/>
                <w:kern w:val="0"/>
                <w:sz w:val="15"/>
                <w:szCs w:val="15"/>
              </w:rPr>
            </w:pPr>
          </w:p>
        </w:tc>
        <w:tc>
          <w:tcPr>
            <w:tcW w:w="1000" w:type="dxa"/>
            <w:tcBorders>
              <w:top w:val="nil"/>
              <w:left w:val="nil"/>
              <w:bottom w:val="nil"/>
              <w:right w:val="nil"/>
            </w:tcBorders>
            <w:vAlign w:val="bottom"/>
          </w:tcPr>
          <w:p>
            <w:pPr>
              <w:widowControl/>
              <w:jc w:val="left"/>
              <w:rPr>
                <w:rFonts w:ascii="Arial" w:hAnsi="Arial" w:cs="Arial"/>
                <w:kern w:val="0"/>
                <w:sz w:val="15"/>
                <w:szCs w:val="15"/>
              </w:rPr>
            </w:pPr>
          </w:p>
        </w:tc>
        <w:tc>
          <w:tcPr>
            <w:tcW w:w="1000" w:type="dxa"/>
            <w:tcBorders>
              <w:top w:val="nil"/>
              <w:left w:val="nil"/>
              <w:bottom w:val="nil"/>
              <w:right w:val="nil"/>
            </w:tcBorders>
            <w:vAlign w:val="bottom"/>
          </w:tcPr>
          <w:p>
            <w:pPr>
              <w:widowControl/>
              <w:jc w:val="left"/>
              <w:rPr>
                <w:rFonts w:ascii="Arial" w:hAnsi="Arial" w:cs="Arial"/>
                <w:kern w:val="0"/>
                <w:sz w:val="15"/>
                <w:szCs w:val="15"/>
              </w:rPr>
            </w:pPr>
          </w:p>
        </w:tc>
        <w:tc>
          <w:tcPr>
            <w:tcW w:w="1000" w:type="dxa"/>
            <w:tcBorders>
              <w:top w:val="nil"/>
              <w:left w:val="nil"/>
              <w:bottom w:val="nil"/>
              <w:right w:val="nil"/>
            </w:tcBorders>
            <w:vAlign w:val="bottom"/>
          </w:tcPr>
          <w:p>
            <w:pPr>
              <w:widowControl/>
              <w:jc w:val="left"/>
              <w:rPr>
                <w:rFonts w:ascii="Arial" w:hAnsi="Arial" w:cs="Arial"/>
                <w:kern w:val="0"/>
                <w:sz w:val="15"/>
                <w:szCs w:val="15"/>
              </w:rPr>
            </w:pPr>
          </w:p>
        </w:tc>
        <w:tc>
          <w:tcPr>
            <w:tcW w:w="1000" w:type="dxa"/>
            <w:tcBorders>
              <w:top w:val="nil"/>
              <w:left w:val="nil"/>
              <w:bottom w:val="nil"/>
              <w:right w:val="nil"/>
            </w:tcBorders>
            <w:vAlign w:val="bottom"/>
          </w:tcPr>
          <w:p>
            <w:pPr>
              <w:widowControl/>
              <w:jc w:val="left"/>
              <w:rPr>
                <w:rFonts w:ascii="Arial" w:hAnsi="Arial" w:cs="Arial"/>
                <w:kern w:val="0"/>
                <w:sz w:val="15"/>
                <w:szCs w:val="15"/>
              </w:rPr>
            </w:pPr>
          </w:p>
        </w:tc>
        <w:tc>
          <w:tcPr>
            <w:tcW w:w="1000" w:type="dxa"/>
            <w:tcBorders>
              <w:top w:val="nil"/>
              <w:left w:val="nil"/>
              <w:bottom w:val="nil"/>
              <w:right w:val="nil"/>
            </w:tcBorders>
            <w:vAlign w:val="bottom"/>
          </w:tcPr>
          <w:p>
            <w:pPr>
              <w:widowControl/>
              <w:jc w:val="left"/>
              <w:rPr>
                <w:rFonts w:ascii="Arial" w:hAnsi="Arial" w:cs="Arial"/>
                <w:kern w:val="0"/>
                <w:sz w:val="15"/>
                <w:szCs w:val="15"/>
              </w:rPr>
            </w:pPr>
          </w:p>
        </w:tc>
        <w:tc>
          <w:tcPr>
            <w:tcW w:w="2000" w:type="dxa"/>
            <w:tcBorders>
              <w:top w:val="nil"/>
              <w:left w:val="nil"/>
              <w:bottom w:val="nil"/>
              <w:right w:val="nil"/>
            </w:tcBorders>
            <w:vAlign w:val="bottom"/>
          </w:tcPr>
          <w:p>
            <w:pPr>
              <w:widowControl/>
              <w:jc w:val="right"/>
              <w:rPr>
                <w:rFonts w:ascii="宋体" w:cs="Arial"/>
                <w:kern w:val="0"/>
                <w:sz w:val="15"/>
                <w:szCs w:val="15"/>
              </w:rPr>
            </w:pPr>
            <w:r>
              <w:rPr>
                <w:rFonts w:hint="eastAsia" w:ascii="宋体" w:hAnsi="宋体" w:cs="Arial"/>
                <w:kern w:val="0"/>
                <w:sz w:val="15"/>
                <w:szCs w:val="15"/>
              </w:rPr>
              <w:t>公开</w:t>
            </w:r>
            <w:r>
              <w:rPr>
                <w:rFonts w:ascii="宋体" w:hAnsi="宋体" w:cs="Arial"/>
                <w:kern w:val="0"/>
                <w:sz w:val="15"/>
                <w:szCs w:val="15"/>
              </w:rPr>
              <w:t>03-2</w:t>
            </w:r>
            <w:r>
              <w:rPr>
                <w:rFonts w:hint="eastAsia" w:ascii="宋体" w:hAnsi="宋体" w:cs="Arial"/>
                <w:kern w:val="0"/>
                <w:sz w:val="15"/>
                <w:szCs w:val="15"/>
              </w:rPr>
              <w:t>表</w:t>
            </w:r>
          </w:p>
        </w:tc>
      </w:tr>
    </w:tbl>
    <w:p>
      <w:pPr>
        <w:autoSpaceDE w:val="0"/>
        <w:autoSpaceDN w:val="0"/>
        <w:adjustRightInd w:val="0"/>
        <w:spacing w:line="560" w:lineRule="exact"/>
        <w:rPr>
          <w:rFonts w:ascii="??" w:hAnsi="Times New Roman" w:eastAsia="Times New Roman" w:cs="??"/>
          <w:b/>
          <w:sz w:val="32"/>
          <w:szCs w:val="32"/>
        </w:rPr>
      </w:pPr>
    </w:p>
    <w:p>
      <w:pPr>
        <w:autoSpaceDE w:val="0"/>
        <w:autoSpaceDN w:val="0"/>
        <w:adjustRightInd w:val="0"/>
        <w:spacing w:line="560" w:lineRule="exact"/>
        <w:jc w:val="center"/>
        <w:rPr>
          <w:rFonts w:ascii="??" w:hAnsi="Times New Roman" w:eastAsia="Times New Roman" w:cs="??"/>
          <w:b/>
          <w:sz w:val="32"/>
          <w:szCs w:val="32"/>
        </w:rPr>
      </w:pPr>
      <w:r>
        <w:rPr>
          <w:rFonts w:ascii="??" w:hAnsi="Times New Roman" w:eastAsia="Times New Roman" w:cs="??"/>
          <w:b/>
          <w:sz w:val="32"/>
          <w:szCs w:val="32"/>
        </w:rPr>
        <w:t>2016年度部门支出决算总表（分科目）</w:t>
      </w:r>
    </w:p>
    <w:tbl>
      <w:tblPr>
        <w:tblStyle w:val="6"/>
        <w:tblW w:w="16336" w:type="dxa"/>
        <w:tblInd w:w="93" w:type="dxa"/>
        <w:tblLayout w:type="fixed"/>
        <w:tblCellMar>
          <w:top w:w="0" w:type="dxa"/>
          <w:left w:w="108" w:type="dxa"/>
          <w:bottom w:w="0" w:type="dxa"/>
          <w:right w:w="108" w:type="dxa"/>
        </w:tblCellMar>
      </w:tblPr>
      <w:tblGrid>
        <w:gridCol w:w="16336"/>
      </w:tblGrid>
      <w:tr>
        <w:tblPrEx>
          <w:tblCellMar>
            <w:top w:w="0" w:type="dxa"/>
            <w:left w:w="108" w:type="dxa"/>
            <w:bottom w:w="0" w:type="dxa"/>
            <w:right w:w="108" w:type="dxa"/>
          </w:tblCellMar>
        </w:tblPrEx>
        <w:trPr>
          <w:trHeight w:val="255" w:hRule="atLeast"/>
        </w:trPr>
        <w:tc>
          <w:tcPr>
            <w:tcW w:w="16336" w:type="dxa"/>
            <w:tcBorders>
              <w:top w:val="nil"/>
              <w:left w:val="nil"/>
              <w:bottom w:val="nil"/>
              <w:right w:val="nil"/>
            </w:tcBorders>
            <w:vAlign w:val="bottom"/>
          </w:tcPr>
          <w:tbl>
            <w:tblPr>
              <w:tblStyle w:val="6"/>
              <w:tblW w:w="9688" w:type="dxa"/>
              <w:tblInd w:w="0" w:type="dxa"/>
              <w:tblLayout w:type="fixed"/>
              <w:tblCellMar>
                <w:top w:w="0" w:type="dxa"/>
                <w:left w:w="108" w:type="dxa"/>
                <w:bottom w:w="0" w:type="dxa"/>
                <w:right w:w="108" w:type="dxa"/>
              </w:tblCellMar>
            </w:tblPr>
            <w:tblGrid>
              <w:gridCol w:w="1161"/>
              <w:gridCol w:w="1156"/>
              <w:gridCol w:w="1276"/>
              <w:gridCol w:w="992"/>
              <w:gridCol w:w="535"/>
              <w:gridCol w:w="599"/>
              <w:gridCol w:w="992"/>
              <w:gridCol w:w="1134"/>
              <w:gridCol w:w="275"/>
              <w:gridCol w:w="576"/>
              <w:gridCol w:w="992"/>
            </w:tblGrid>
            <w:tr>
              <w:tblPrEx>
                <w:tblCellMar>
                  <w:top w:w="0" w:type="dxa"/>
                  <w:left w:w="108" w:type="dxa"/>
                  <w:bottom w:w="0" w:type="dxa"/>
                  <w:right w:w="108" w:type="dxa"/>
                </w:tblCellMar>
              </w:tblPrEx>
              <w:trPr>
                <w:trHeight w:val="255" w:hRule="atLeast"/>
              </w:trPr>
              <w:tc>
                <w:tcPr>
                  <w:tcW w:w="1161"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156" w:type="dxa"/>
                  <w:tcBorders>
                    <w:top w:val="nil"/>
                    <w:left w:val="nil"/>
                    <w:bottom w:val="nil"/>
                    <w:right w:val="nil"/>
                  </w:tcBorders>
                  <w:shd w:val="clear" w:color="000000" w:fill="FFFFFF"/>
                </w:tcPr>
                <w:p>
                  <w:pPr>
                    <w:widowControl/>
                    <w:jc w:val="left"/>
                    <w:rPr>
                      <w:rFonts w:ascii="Arial" w:hAnsi="Arial" w:cs="Arial"/>
                      <w:kern w:val="0"/>
                      <w:sz w:val="15"/>
                      <w:szCs w:val="15"/>
                    </w:rPr>
                  </w:pPr>
                </w:p>
              </w:tc>
              <w:tc>
                <w:tcPr>
                  <w:tcW w:w="1276"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527" w:type="dxa"/>
                  <w:gridSpan w:val="2"/>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599"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992"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568" w:type="dxa"/>
                  <w:gridSpan w:val="2"/>
                  <w:tcBorders>
                    <w:top w:val="nil"/>
                    <w:left w:val="nil"/>
                    <w:bottom w:val="nil"/>
                    <w:right w:val="nil"/>
                  </w:tcBorders>
                  <w:shd w:val="clear" w:color="000000" w:fill="FFFFFF"/>
                  <w:vAlign w:val="bottom"/>
                </w:tcPr>
                <w:p>
                  <w:pPr>
                    <w:widowControl/>
                    <w:jc w:val="right"/>
                    <w:rPr>
                      <w:rFonts w:ascii="宋体" w:cs="Arial"/>
                      <w:kern w:val="0"/>
                      <w:sz w:val="15"/>
                      <w:szCs w:val="15"/>
                    </w:rPr>
                  </w:pPr>
                  <w:r>
                    <w:rPr>
                      <w:rFonts w:hint="eastAsia" w:ascii="宋体" w:hAnsi="宋体" w:cs="Arial"/>
                      <w:kern w:val="0"/>
                      <w:sz w:val="15"/>
                      <w:szCs w:val="15"/>
                    </w:rPr>
                    <w:t>公开</w:t>
                  </w:r>
                  <w:r>
                    <w:rPr>
                      <w:rFonts w:ascii="宋体" w:hAnsi="宋体" w:cs="Arial"/>
                      <w:kern w:val="0"/>
                      <w:sz w:val="15"/>
                      <w:szCs w:val="15"/>
                    </w:rPr>
                    <w:t>03-2</w:t>
                  </w:r>
                  <w:r>
                    <w:rPr>
                      <w:rFonts w:hint="eastAsia" w:ascii="宋体" w:hAnsi="宋体" w:cs="Arial"/>
                      <w:kern w:val="0"/>
                      <w:sz w:val="15"/>
                      <w:szCs w:val="15"/>
                    </w:rPr>
                    <w:t>表</w:t>
                  </w:r>
                </w:p>
              </w:tc>
            </w:tr>
            <w:tr>
              <w:tblPrEx>
                <w:tblCellMar>
                  <w:top w:w="0" w:type="dxa"/>
                  <w:left w:w="108" w:type="dxa"/>
                  <w:bottom w:w="0" w:type="dxa"/>
                  <w:right w:w="108" w:type="dxa"/>
                </w:tblCellMar>
              </w:tblPrEx>
              <w:trPr>
                <w:trHeight w:val="270" w:hRule="atLeast"/>
              </w:trPr>
              <w:tc>
                <w:tcPr>
                  <w:tcW w:w="1161" w:type="dxa"/>
                  <w:tcBorders>
                    <w:top w:val="nil"/>
                    <w:left w:val="nil"/>
                    <w:bottom w:val="nil"/>
                    <w:right w:val="nil"/>
                  </w:tcBorders>
                  <w:shd w:val="clear" w:color="000000" w:fill="FFFFFF"/>
                  <w:vAlign w:val="bottom"/>
                </w:tcPr>
                <w:p>
                  <w:pPr>
                    <w:widowControl/>
                    <w:jc w:val="left"/>
                    <w:rPr>
                      <w:rFonts w:ascii="宋体" w:cs="Arial"/>
                      <w:kern w:val="0"/>
                      <w:sz w:val="15"/>
                      <w:szCs w:val="15"/>
                    </w:rPr>
                  </w:pPr>
                  <w:r>
                    <w:rPr>
                      <w:rFonts w:hint="eastAsia" w:ascii="宋体" w:hAnsi="宋体" w:cs="Arial"/>
                      <w:kern w:val="0"/>
                      <w:sz w:val="15"/>
                      <w:szCs w:val="15"/>
                    </w:rPr>
                    <w:t>　部门：</w:t>
                  </w:r>
                </w:p>
              </w:tc>
              <w:tc>
                <w:tcPr>
                  <w:tcW w:w="1156" w:type="dxa"/>
                  <w:tcBorders>
                    <w:top w:val="nil"/>
                    <w:left w:val="nil"/>
                    <w:bottom w:val="single" w:color="auto" w:sz="4" w:space="0"/>
                    <w:right w:val="nil"/>
                  </w:tcBorders>
                  <w:shd w:val="clear" w:color="000000" w:fill="FFFFFF"/>
                </w:tcPr>
                <w:p>
                  <w:pPr>
                    <w:widowControl/>
                    <w:jc w:val="left"/>
                    <w:rPr>
                      <w:rFonts w:ascii="Arial" w:hAnsi="Arial" w:cs="Arial"/>
                      <w:kern w:val="0"/>
                      <w:sz w:val="15"/>
                      <w:szCs w:val="15"/>
                    </w:rPr>
                  </w:pPr>
                </w:p>
              </w:tc>
              <w:tc>
                <w:tcPr>
                  <w:tcW w:w="1276" w:type="dxa"/>
                  <w:tcBorders>
                    <w:top w:val="nil"/>
                    <w:left w:val="nil"/>
                    <w:bottom w:val="single" w:color="auto" w:sz="4" w:space="0"/>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527" w:type="dxa"/>
                  <w:gridSpan w:val="2"/>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599" w:type="dxa"/>
                  <w:tcBorders>
                    <w:top w:val="nil"/>
                    <w:left w:val="nil"/>
                    <w:bottom w:val="nil"/>
                    <w:right w:val="nil"/>
                  </w:tcBorders>
                  <w:shd w:val="clear" w:color="000000" w:fill="FFFFFF"/>
                  <w:vAlign w:val="bottom"/>
                </w:tcPr>
                <w:p>
                  <w:pPr>
                    <w:widowControl/>
                    <w:jc w:val="center"/>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568" w:type="dxa"/>
                  <w:gridSpan w:val="2"/>
                  <w:tcBorders>
                    <w:top w:val="nil"/>
                    <w:left w:val="nil"/>
                    <w:bottom w:val="single" w:color="000000" w:sz="8" w:space="0"/>
                    <w:right w:val="nil"/>
                  </w:tcBorders>
                  <w:shd w:val="clear" w:color="000000" w:fill="FFFFFF"/>
                  <w:vAlign w:val="bottom"/>
                </w:tcPr>
                <w:p>
                  <w:pPr>
                    <w:widowControl/>
                    <w:jc w:val="right"/>
                    <w:rPr>
                      <w:rFonts w:ascii="宋体" w:cs="Arial"/>
                      <w:kern w:val="0"/>
                      <w:sz w:val="15"/>
                      <w:szCs w:val="15"/>
                    </w:rPr>
                  </w:pPr>
                  <w:r>
                    <w:rPr>
                      <w:rFonts w:hint="eastAsia" w:ascii="宋体" w:hAnsi="宋体" w:cs="Arial"/>
                      <w:kern w:val="0"/>
                      <w:sz w:val="15"/>
                      <w:szCs w:val="15"/>
                    </w:rPr>
                    <w:t>金额单位：万元</w:t>
                  </w:r>
                </w:p>
              </w:tc>
            </w:tr>
            <w:tr>
              <w:tblPrEx>
                <w:tblCellMar>
                  <w:top w:w="0" w:type="dxa"/>
                  <w:left w:w="108" w:type="dxa"/>
                  <w:bottom w:w="0" w:type="dxa"/>
                  <w:right w:w="108" w:type="dxa"/>
                </w:tblCellMar>
              </w:tblPrEx>
              <w:trPr>
                <w:trHeight w:val="537" w:hRule="atLeast"/>
              </w:trPr>
              <w:tc>
                <w:tcPr>
                  <w:tcW w:w="1161"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科目编码</w:t>
                  </w:r>
                </w:p>
              </w:tc>
              <w:tc>
                <w:tcPr>
                  <w:tcW w:w="115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总计</w:t>
                  </w:r>
                </w:p>
              </w:tc>
              <w:tc>
                <w:tcPr>
                  <w:tcW w:w="2126"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上缴上级支出</w:t>
                  </w:r>
                </w:p>
              </w:tc>
            </w:tr>
            <w:tr>
              <w:tblPrEx>
                <w:tblCellMar>
                  <w:top w:w="0" w:type="dxa"/>
                  <w:left w:w="108" w:type="dxa"/>
                  <w:bottom w:w="0" w:type="dxa"/>
                  <w:right w:w="108" w:type="dxa"/>
                </w:tblCellMar>
              </w:tblPrEx>
              <w:trPr>
                <w:trHeight w:val="599" w:hRule="atLeast"/>
              </w:trPr>
              <w:tc>
                <w:tcPr>
                  <w:tcW w:w="116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Arial"/>
                      <w:kern w:val="0"/>
                      <w:sz w:val="15"/>
                      <w:szCs w:val="15"/>
                    </w:rPr>
                  </w:pPr>
                </w:p>
              </w:tc>
              <w:tc>
                <w:tcPr>
                  <w:tcW w:w="1156"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kern w:val="0"/>
                      <w:sz w:val="15"/>
                      <w:szCs w:val="15"/>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15"/>
                      <w:szCs w:val="15"/>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栏</w:t>
                  </w:r>
                  <w:r>
                    <w:rPr>
                      <w:rFonts w:ascii="宋体" w:hAnsi="宋体" w:cs="Arial"/>
                      <w:kern w:val="0"/>
                      <w:sz w:val="15"/>
                      <w:szCs w:val="15"/>
                    </w:rPr>
                    <w:t xml:space="preserve">  </w:t>
                  </w:r>
                  <w:r>
                    <w:rPr>
                      <w:rFonts w:hint="eastAsia" w:ascii="宋体" w:hAnsi="宋体" w:cs="Arial"/>
                      <w:kern w:val="0"/>
                      <w:sz w:val="15"/>
                      <w:szCs w:val="15"/>
                    </w:rPr>
                    <w:t>次</w:t>
                  </w:r>
                </w:p>
              </w:tc>
              <w:tc>
                <w:tcPr>
                  <w:tcW w:w="12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1</w:t>
                  </w: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2</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3</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4</w:t>
                  </w:r>
                </w:p>
              </w:tc>
              <w:tc>
                <w:tcPr>
                  <w:tcW w:w="113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5</w:t>
                  </w:r>
                </w:p>
              </w:tc>
              <w:tc>
                <w:tcPr>
                  <w:tcW w:w="85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6</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7</w:t>
                  </w:r>
                </w:p>
              </w:tc>
            </w:tr>
            <w:tr>
              <w:tblPrEx>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合</w:t>
                  </w:r>
                  <w:r>
                    <w:rPr>
                      <w:rFonts w:ascii="宋体" w:hAnsi="宋体" w:cs="Arial"/>
                      <w:kern w:val="0"/>
                      <w:sz w:val="15"/>
                      <w:szCs w:val="15"/>
                    </w:rPr>
                    <w:t xml:space="preserve">  </w:t>
                  </w:r>
                  <w:r>
                    <w:rPr>
                      <w:rFonts w:hint="eastAsia" w:ascii="宋体" w:hAnsi="宋体" w:cs="Arial"/>
                      <w:kern w:val="0"/>
                      <w:sz w:val="15"/>
                      <w:szCs w:val="15"/>
                    </w:rPr>
                    <w:t>计</w:t>
                  </w:r>
                </w:p>
              </w:tc>
              <w:tc>
                <w:tcPr>
                  <w:tcW w:w="1276" w:type="dxa"/>
                  <w:tcBorders>
                    <w:top w:val="single" w:color="auto" w:sz="4" w:space="0"/>
                    <w:left w:val="nil"/>
                    <w:bottom w:val="single" w:color="000000" w:sz="4" w:space="0"/>
                    <w:right w:val="single" w:color="000000" w:sz="4" w:space="0"/>
                  </w:tcBorders>
                  <w:shd w:val="clear" w:color="000000" w:fill="FFFFFF"/>
                </w:tcPr>
                <w:p>
                  <w:pPr>
                    <w:rPr>
                      <w:sz w:val="15"/>
                      <w:szCs w:val="15"/>
                    </w:rPr>
                  </w:pPr>
                  <w:r>
                    <w:rPr>
                      <w:sz w:val="15"/>
                      <w:szCs w:val="15"/>
                    </w:rPr>
                    <w:t>3,076.37</w:t>
                  </w:r>
                </w:p>
              </w:tc>
              <w:tc>
                <w:tcPr>
                  <w:tcW w:w="992"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889.40</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139.29</w:t>
                  </w:r>
                </w:p>
              </w:tc>
              <w:tc>
                <w:tcPr>
                  <w:tcW w:w="992"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2,047.68</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201</w:t>
                  </w:r>
                  <w:r>
                    <w:rPr>
                      <w:rFonts w:ascii="宋体" w:hAnsi="宋体" w:cs="Arial"/>
                      <w:kern w:val="0"/>
                      <w:sz w:val="15"/>
                      <w:szCs w:val="15"/>
                    </w:rPr>
                    <w:tab/>
                  </w:r>
                  <w:r>
                    <w:rPr>
                      <w:rFonts w:ascii="宋体" w:hAnsi="宋体" w:cs="Arial"/>
                      <w:kern w:val="0"/>
                      <w:sz w:val="15"/>
                      <w:szCs w:val="15"/>
                    </w:rPr>
                    <w:tab/>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一般公共服务支出</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2,827.88</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640.92</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139.29</w:t>
                  </w:r>
                </w:p>
              </w:tc>
              <w:tc>
                <w:tcPr>
                  <w:tcW w:w="992"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2,047.68</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20129</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群众团体事务</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2,827.88</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640.92</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139.29</w:t>
                  </w:r>
                </w:p>
              </w:tc>
              <w:tc>
                <w:tcPr>
                  <w:tcW w:w="992"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2,047.68</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2012901</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行政运行</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461.21</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376.83</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84.38</w:t>
                  </w: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cs="Arial"/>
                      <w:kern w:val="0"/>
                      <w:sz w:val="15"/>
                      <w:szCs w:val="15"/>
                    </w:rPr>
                  </w:pPr>
                  <w:r>
                    <w:rPr>
                      <w:rFonts w:ascii="宋体" w:hAnsi="宋体" w:cs="Arial"/>
                      <w:kern w:val="0"/>
                      <w:sz w:val="15"/>
                      <w:szCs w:val="15"/>
                    </w:rPr>
                    <w:t>2012902</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一般行政管理事务</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268.57</w:t>
                  </w:r>
                </w:p>
              </w:tc>
              <w:tc>
                <w:tcPr>
                  <w:tcW w:w="992" w:type="dxa"/>
                  <w:tcBorders>
                    <w:top w:val="nil"/>
                    <w:left w:val="single" w:color="auto" w:sz="4" w:space="0"/>
                    <w:bottom w:val="single" w:color="000000" w:sz="8" w:space="0"/>
                    <w:right w:val="single" w:color="000000" w:sz="4" w:space="0"/>
                  </w:tcBorders>
                  <w:shd w:val="clear" w:color="000000" w:fill="FFFFFF"/>
                </w:tcPr>
                <w:p>
                  <w:pPr>
                    <w:rPr>
                      <w:sz w:val="15"/>
                      <w:szCs w:val="15"/>
                    </w:rPr>
                  </w:pPr>
                </w:p>
              </w:tc>
              <w:tc>
                <w:tcPr>
                  <w:tcW w:w="1134" w:type="dxa"/>
                  <w:gridSpan w:val="2"/>
                  <w:tcBorders>
                    <w:top w:val="nil"/>
                    <w:left w:val="nil"/>
                    <w:bottom w:val="single" w:color="000000" w:sz="8" w:space="0"/>
                    <w:right w:val="single" w:color="000000" w:sz="4" w:space="0"/>
                  </w:tcBorders>
                  <w:shd w:val="clear" w:color="000000" w:fill="FFFFFF"/>
                </w:tcPr>
                <w:p>
                  <w:pPr>
                    <w:rPr>
                      <w:sz w:val="15"/>
                      <w:szCs w:val="15"/>
                    </w:rPr>
                  </w:pPr>
                </w:p>
              </w:tc>
              <w:tc>
                <w:tcPr>
                  <w:tcW w:w="992" w:type="dxa"/>
                  <w:tcBorders>
                    <w:top w:val="nil"/>
                    <w:left w:val="nil"/>
                    <w:bottom w:val="single" w:color="000000" w:sz="8" w:space="0"/>
                    <w:right w:val="single" w:color="000000" w:sz="4" w:space="0"/>
                  </w:tcBorders>
                  <w:shd w:val="clear" w:color="000000" w:fill="FFFFFF"/>
                </w:tcPr>
                <w:p>
                  <w:pPr>
                    <w:rPr>
                      <w:sz w:val="15"/>
                      <w:szCs w:val="15"/>
                    </w:rPr>
                  </w:pPr>
                  <w:r>
                    <w:rPr>
                      <w:sz w:val="15"/>
                      <w:szCs w:val="15"/>
                    </w:rPr>
                    <w:t>268.57</w:t>
                  </w:r>
                </w:p>
              </w:tc>
              <w:tc>
                <w:tcPr>
                  <w:tcW w:w="1134"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2012950</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事业运行</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319.00</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264.10</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54.91</w:t>
                  </w: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2012999</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其他群众团体事务支出</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1,779.11</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992"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1,779.11</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208</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144.12</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144.12</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20805</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行政事业单位离退休</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144.12</w:t>
                  </w:r>
                </w:p>
              </w:tc>
              <w:tc>
                <w:tcPr>
                  <w:tcW w:w="992" w:type="dxa"/>
                  <w:tcBorders>
                    <w:top w:val="nil"/>
                    <w:left w:val="single" w:color="auto" w:sz="4" w:space="0"/>
                    <w:bottom w:val="single" w:color="000000" w:sz="8" w:space="0"/>
                    <w:right w:val="single" w:color="000000" w:sz="4" w:space="0"/>
                  </w:tcBorders>
                  <w:shd w:val="clear" w:color="000000" w:fill="FFFFFF"/>
                </w:tcPr>
                <w:p>
                  <w:pPr>
                    <w:rPr>
                      <w:sz w:val="15"/>
                      <w:szCs w:val="15"/>
                    </w:rPr>
                  </w:pPr>
                  <w:r>
                    <w:rPr>
                      <w:sz w:val="15"/>
                      <w:szCs w:val="15"/>
                    </w:rPr>
                    <w:t>144.12</w:t>
                  </w:r>
                </w:p>
              </w:tc>
              <w:tc>
                <w:tcPr>
                  <w:tcW w:w="1134" w:type="dxa"/>
                  <w:gridSpan w:val="2"/>
                  <w:tcBorders>
                    <w:top w:val="nil"/>
                    <w:left w:val="nil"/>
                    <w:bottom w:val="single" w:color="000000" w:sz="8" w:space="0"/>
                    <w:right w:val="single" w:color="000000" w:sz="4" w:space="0"/>
                  </w:tcBorders>
                  <w:shd w:val="clear" w:color="000000" w:fill="FFFFFF"/>
                </w:tcPr>
                <w:p>
                  <w:pPr>
                    <w:rPr>
                      <w:sz w:val="15"/>
                      <w:szCs w:val="15"/>
                    </w:rPr>
                  </w:pPr>
                </w:p>
              </w:tc>
              <w:tc>
                <w:tcPr>
                  <w:tcW w:w="992" w:type="dxa"/>
                  <w:tcBorders>
                    <w:top w:val="nil"/>
                    <w:left w:val="nil"/>
                    <w:bottom w:val="single" w:color="000000" w:sz="8" w:space="0"/>
                    <w:right w:val="single" w:color="000000" w:sz="4" w:space="0"/>
                  </w:tcBorders>
                  <w:shd w:val="clear" w:color="000000" w:fill="FFFFFF"/>
                </w:tcPr>
                <w:p>
                  <w:pPr>
                    <w:rPr>
                      <w:sz w:val="15"/>
                      <w:szCs w:val="15"/>
                    </w:rPr>
                  </w:pPr>
                </w:p>
              </w:tc>
              <w:tc>
                <w:tcPr>
                  <w:tcW w:w="1134"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2080504</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未归口管理的行政单位离退休</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58.10</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58.10</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2080505</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机关事业单位基本养老保险缴费支出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23.74</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23.74</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2080506</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机关事业单位职业年金缴费支出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62.27</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62.27</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210</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医疗卫生与计划生育支出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41.00</w:t>
                  </w:r>
                </w:p>
              </w:tc>
              <w:tc>
                <w:tcPr>
                  <w:tcW w:w="992" w:type="dxa"/>
                  <w:tcBorders>
                    <w:top w:val="nil"/>
                    <w:left w:val="single" w:color="auto" w:sz="4" w:space="0"/>
                    <w:bottom w:val="single" w:color="000000" w:sz="8" w:space="0"/>
                    <w:right w:val="single" w:color="000000" w:sz="4" w:space="0"/>
                  </w:tcBorders>
                  <w:shd w:val="clear" w:color="000000" w:fill="FFFFFF"/>
                </w:tcPr>
                <w:p>
                  <w:pPr>
                    <w:rPr>
                      <w:sz w:val="15"/>
                      <w:szCs w:val="15"/>
                    </w:rPr>
                  </w:pPr>
                  <w:r>
                    <w:rPr>
                      <w:sz w:val="15"/>
                      <w:szCs w:val="15"/>
                    </w:rPr>
                    <w:t>41.00</w:t>
                  </w:r>
                </w:p>
              </w:tc>
              <w:tc>
                <w:tcPr>
                  <w:tcW w:w="1134" w:type="dxa"/>
                  <w:gridSpan w:val="2"/>
                  <w:tcBorders>
                    <w:top w:val="nil"/>
                    <w:left w:val="nil"/>
                    <w:bottom w:val="single" w:color="000000" w:sz="8" w:space="0"/>
                    <w:right w:val="single" w:color="000000" w:sz="4" w:space="0"/>
                  </w:tcBorders>
                  <w:shd w:val="clear" w:color="000000" w:fill="FFFFFF"/>
                </w:tcPr>
                <w:p>
                  <w:pPr>
                    <w:rPr>
                      <w:sz w:val="15"/>
                      <w:szCs w:val="15"/>
                    </w:rPr>
                  </w:pPr>
                </w:p>
              </w:tc>
              <w:tc>
                <w:tcPr>
                  <w:tcW w:w="992" w:type="dxa"/>
                  <w:tcBorders>
                    <w:top w:val="nil"/>
                    <w:left w:val="nil"/>
                    <w:bottom w:val="single" w:color="000000" w:sz="8" w:space="0"/>
                    <w:right w:val="single" w:color="000000" w:sz="4" w:space="0"/>
                  </w:tcBorders>
                  <w:shd w:val="clear" w:color="000000" w:fill="FFFFFF"/>
                </w:tcPr>
                <w:p>
                  <w:pPr>
                    <w:rPr>
                      <w:sz w:val="15"/>
                      <w:szCs w:val="15"/>
                    </w:rPr>
                  </w:pPr>
                </w:p>
              </w:tc>
              <w:tc>
                <w:tcPr>
                  <w:tcW w:w="1134"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21005</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医疗保障</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41.00</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41.00</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2100501</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行政单位医疗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26.69</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26.69</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2100502</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事业单位医疗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14.31</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14.31</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221</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住房保障支出</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63.36</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63.36</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22102</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rFonts w:hint="eastAsia"/>
                      <w:sz w:val="15"/>
                      <w:szCs w:val="15"/>
                    </w:rPr>
                    <w:t>住房改革支出</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63.36</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63.36</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4"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2210201</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住房公积金</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55.36</w:t>
                  </w:r>
                </w:p>
              </w:tc>
              <w:tc>
                <w:tcPr>
                  <w:tcW w:w="992" w:type="dxa"/>
                  <w:tcBorders>
                    <w:top w:val="nil"/>
                    <w:left w:val="single" w:color="auto" w:sz="4" w:space="0"/>
                    <w:bottom w:val="single" w:color="000000" w:sz="4" w:space="0"/>
                    <w:right w:val="single" w:color="000000" w:sz="4" w:space="0"/>
                  </w:tcBorders>
                  <w:shd w:val="clear" w:color="000000" w:fill="FFFFFF"/>
                </w:tcPr>
                <w:p>
                  <w:pPr>
                    <w:rPr>
                      <w:sz w:val="15"/>
                      <w:szCs w:val="15"/>
                    </w:rPr>
                  </w:pPr>
                  <w:r>
                    <w:rPr>
                      <w:sz w:val="15"/>
                      <w:szCs w:val="15"/>
                    </w:rPr>
                    <w:t>55.36</w:t>
                  </w:r>
                </w:p>
              </w:tc>
              <w:tc>
                <w:tcPr>
                  <w:tcW w:w="1134" w:type="dxa"/>
                  <w:gridSpan w:val="2"/>
                  <w:tcBorders>
                    <w:top w:val="nil"/>
                    <w:left w:val="nil"/>
                    <w:bottom w:val="single" w:color="000000" w:sz="4" w:space="0"/>
                    <w:right w:val="single" w:color="000000" w:sz="4" w:space="0"/>
                  </w:tcBorders>
                  <w:shd w:val="clear" w:color="000000" w:fill="FFFFFF"/>
                </w:tcPr>
                <w:p>
                  <w:pPr>
                    <w:rPr>
                      <w:sz w:val="15"/>
                      <w:szCs w:val="15"/>
                    </w:rPr>
                  </w:pPr>
                </w:p>
              </w:tc>
              <w:tc>
                <w:tcPr>
                  <w:tcW w:w="992" w:type="dxa"/>
                  <w:tcBorders>
                    <w:top w:val="nil"/>
                    <w:left w:val="nil"/>
                    <w:bottom w:val="single" w:color="000000" w:sz="4" w:space="0"/>
                    <w:right w:val="single" w:color="000000" w:sz="4" w:space="0"/>
                  </w:tcBorders>
                  <w:shd w:val="clear" w:color="000000" w:fill="FFFFFF"/>
                </w:tcPr>
                <w:p>
                  <w:pPr>
                    <w:rPr>
                      <w:sz w:val="15"/>
                      <w:szCs w:val="15"/>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161" w:type="dxa"/>
                  <w:tcBorders>
                    <w:top w:val="nil"/>
                    <w:left w:val="single" w:color="000000" w:sz="8" w:space="0"/>
                    <w:bottom w:val="single" w:color="000000" w:sz="8" w:space="0"/>
                    <w:right w:val="single" w:color="auto" w:sz="4" w:space="0"/>
                  </w:tcBorders>
                  <w:shd w:val="clear" w:color="FFFFFF" w:fill="FFFFFF"/>
                  <w:vAlign w:val="center"/>
                </w:tcPr>
                <w:p>
                  <w:pPr>
                    <w:widowControl/>
                    <w:jc w:val="left"/>
                    <w:rPr>
                      <w:rFonts w:ascii="宋体" w:cs="Arial"/>
                      <w:kern w:val="0"/>
                      <w:sz w:val="15"/>
                      <w:szCs w:val="15"/>
                    </w:rPr>
                  </w:pPr>
                  <w:r>
                    <w:rPr>
                      <w:rFonts w:hint="eastAsia" w:ascii="宋体" w:hAnsi="宋体" w:cs="Arial"/>
                      <w:kern w:val="0"/>
                      <w:sz w:val="15"/>
                      <w:szCs w:val="15"/>
                    </w:rPr>
                    <w:t>　</w:t>
                  </w:r>
                  <w:r>
                    <w:rPr>
                      <w:rFonts w:ascii="宋体" w:hAnsi="宋体" w:cs="Arial"/>
                      <w:kern w:val="0"/>
                      <w:sz w:val="15"/>
                      <w:szCs w:val="15"/>
                    </w:rPr>
                    <w:t>2210203</w:t>
                  </w:r>
                </w:p>
              </w:tc>
              <w:tc>
                <w:tcPr>
                  <w:tcW w:w="115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 xml:space="preserve">  </w:t>
                  </w:r>
                  <w:r>
                    <w:rPr>
                      <w:rFonts w:hint="eastAsia"/>
                      <w:sz w:val="15"/>
                      <w:szCs w:val="15"/>
                    </w:rPr>
                    <w:t>购房补贴</w:t>
                  </w:r>
                </w:p>
              </w:tc>
              <w:tc>
                <w:tcPr>
                  <w:tcW w:w="1276" w:type="dxa"/>
                  <w:tcBorders>
                    <w:top w:val="single" w:color="auto" w:sz="4" w:space="0"/>
                    <w:left w:val="single" w:color="auto" w:sz="4" w:space="0"/>
                    <w:bottom w:val="single" w:color="auto" w:sz="4" w:space="0"/>
                    <w:right w:val="single" w:color="auto" w:sz="4" w:space="0"/>
                  </w:tcBorders>
                  <w:shd w:val="clear" w:color="000000" w:fill="FFFFFF"/>
                </w:tcPr>
                <w:p>
                  <w:pPr>
                    <w:rPr>
                      <w:sz w:val="15"/>
                      <w:szCs w:val="15"/>
                    </w:rPr>
                  </w:pPr>
                  <w:r>
                    <w:rPr>
                      <w:sz w:val="15"/>
                      <w:szCs w:val="15"/>
                    </w:rPr>
                    <w:t>8.00</w:t>
                  </w:r>
                </w:p>
              </w:tc>
              <w:tc>
                <w:tcPr>
                  <w:tcW w:w="992" w:type="dxa"/>
                  <w:tcBorders>
                    <w:top w:val="nil"/>
                    <w:left w:val="single" w:color="auto" w:sz="4" w:space="0"/>
                    <w:bottom w:val="single" w:color="000000" w:sz="8" w:space="0"/>
                    <w:right w:val="single" w:color="000000" w:sz="4" w:space="0"/>
                  </w:tcBorders>
                  <w:shd w:val="clear" w:color="000000" w:fill="FFFFFF"/>
                </w:tcPr>
                <w:p>
                  <w:pPr>
                    <w:rPr>
                      <w:sz w:val="15"/>
                      <w:szCs w:val="15"/>
                    </w:rPr>
                  </w:pPr>
                  <w:r>
                    <w:rPr>
                      <w:sz w:val="15"/>
                      <w:szCs w:val="15"/>
                    </w:rPr>
                    <w:t>8.00</w:t>
                  </w:r>
                </w:p>
              </w:tc>
              <w:tc>
                <w:tcPr>
                  <w:tcW w:w="1134" w:type="dxa"/>
                  <w:gridSpan w:val="2"/>
                  <w:tcBorders>
                    <w:top w:val="nil"/>
                    <w:left w:val="nil"/>
                    <w:bottom w:val="single" w:color="000000" w:sz="8" w:space="0"/>
                    <w:right w:val="single" w:color="000000" w:sz="4" w:space="0"/>
                  </w:tcBorders>
                  <w:shd w:val="clear" w:color="000000" w:fill="FFFFFF"/>
                </w:tcPr>
                <w:p>
                  <w:pPr>
                    <w:rPr>
                      <w:sz w:val="15"/>
                      <w:szCs w:val="15"/>
                    </w:rPr>
                  </w:pPr>
                </w:p>
              </w:tc>
              <w:tc>
                <w:tcPr>
                  <w:tcW w:w="992" w:type="dxa"/>
                  <w:tcBorders>
                    <w:top w:val="nil"/>
                    <w:left w:val="nil"/>
                    <w:bottom w:val="single" w:color="000000" w:sz="8" w:space="0"/>
                    <w:right w:val="single" w:color="000000" w:sz="4" w:space="0"/>
                  </w:tcBorders>
                  <w:shd w:val="clear" w:color="000000" w:fill="FFFFFF"/>
                </w:tcPr>
                <w:p>
                  <w:pPr>
                    <w:rPr>
                      <w:sz w:val="15"/>
                      <w:szCs w:val="15"/>
                    </w:rPr>
                  </w:pPr>
                </w:p>
              </w:tc>
              <w:tc>
                <w:tcPr>
                  <w:tcW w:w="1134"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851"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bl>
          <w:p>
            <w:pPr>
              <w:widowControl/>
              <w:jc w:val="left"/>
              <w:rPr>
                <w:rFonts w:ascii="Arial" w:hAnsi="Arial" w:cs="Arial"/>
                <w:kern w:val="0"/>
                <w:sz w:val="15"/>
                <w:szCs w:val="15"/>
              </w:rPr>
            </w:pPr>
          </w:p>
        </w:tc>
      </w:tr>
    </w:tbl>
    <w:p>
      <w:pPr>
        <w:autoSpaceDE w:val="0"/>
        <w:autoSpaceDN w:val="0"/>
        <w:adjustRightInd w:val="0"/>
        <w:spacing w:line="560" w:lineRule="exact"/>
        <w:rPr>
          <w:rFonts w:ascii="??" w:hAnsi="Times New Roman" w:eastAsia="Times New Roman" w:cs="??"/>
          <w:b/>
          <w:sz w:val="32"/>
          <w:szCs w:val="32"/>
        </w:rPr>
      </w:pPr>
    </w:p>
    <w:tbl>
      <w:tblPr>
        <w:tblStyle w:val="6"/>
        <w:tblW w:w="19156" w:type="dxa"/>
        <w:tblInd w:w="93" w:type="dxa"/>
        <w:tblLayout w:type="fixed"/>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vAlign w:val="bottom"/>
          </w:tcPr>
          <w:p>
            <w:pPr>
              <w:widowControl/>
              <w:jc w:val="left"/>
              <w:rPr>
                <w:rFonts w:ascii="Arial" w:hAnsi="Arial" w:cs="Arial"/>
                <w:kern w:val="0"/>
                <w:sz w:val="20"/>
                <w:szCs w:val="20"/>
              </w:rPr>
            </w:pPr>
          </w:p>
        </w:tc>
        <w:tc>
          <w:tcPr>
            <w:tcW w:w="436" w:type="dxa"/>
            <w:tcBorders>
              <w:top w:val="nil"/>
              <w:left w:val="nil"/>
              <w:bottom w:val="nil"/>
              <w:right w:val="nil"/>
            </w:tcBorders>
            <w:vAlign w:val="bottom"/>
          </w:tcPr>
          <w:p>
            <w:pPr>
              <w:widowControl/>
              <w:jc w:val="left"/>
              <w:rPr>
                <w:rFonts w:ascii="Arial" w:hAnsi="Arial" w:cs="Arial"/>
                <w:kern w:val="0"/>
                <w:sz w:val="20"/>
                <w:szCs w:val="20"/>
              </w:rPr>
            </w:pPr>
          </w:p>
        </w:tc>
        <w:tc>
          <w:tcPr>
            <w:tcW w:w="436" w:type="dxa"/>
            <w:tcBorders>
              <w:top w:val="nil"/>
              <w:left w:val="nil"/>
              <w:bottom w:val="nil"/>
              <w:right w:val="nil"/>
            </w:tcBorders>
            <w:vAlign w:val="bottom"/>
          </w:tcPr>
          <w:p>
            <w:pPr>
              <w:widowControl/>
              <w:jc w:val="left"/>
              <w:rPr>
                <w:rFonts w:ascii="Arial" w:hAnsi="Arial" w:cs="Arial"/>
                <w:kern w:val="0"/>
                <w:sz w:val="20"/>
                <w:szCs w:val="20"/>
              </w:rPr>
            </w:pPr>
          </w:p>
        </w:tc>
        <w:tc>
          <w:tcPr>
            <w:tcW w:w="2020" w:type="dxa"/>
            <w:tcBorders>
              <w:top w:val="nil"/>
              <w:left w:val="nil"/>
              <w:bottom w:val="nil"/>
              <w:right w:val="nil"/>
            </w:tcBorders>
            <w:vAlign w:val="bottom"/>
          </w:tcPr>
          <w:p>
            <w:pPr>
              <w:widowControl/>
              <w:jc w:val="left"/>
              <w:rPr>
                <w:rFonts w:ascii="Arial" w:hAnsi="Arial" w:cs="Arial"/>
                <w:kern w:val="0"/>
                <w:sz w:val="20"/>
                <w:szCs w:val="20"/>
              </w:rPr>
            </w:pPr>
          </w:p>
        </w:tc>
        <w:tc>
          <w:tcPr>
            <w:tcW w:w="1060" w:type="dxa"/>
            <w:tcBorders>
              <w:top w:val="nil"/>
              <w:left w:val="nil"/>
              <w:bottom w:val="nil"/>
              <w:right w:val="nil"/>
            </w:tcBorders>
            <w:vAlign w:val="bottom"/>
          </w:tcPr>
          <w:p>
            <w:pPr>
              <w:widowControl/>
              <w:jc w:val="left"/>
              <w:rPr>
                <w:rFonts w:ascii="Arial" w:hAnsi="Arial" w:cs="Arial"/>
                <w:kern w:val="0"/>
                <w:sz w:val="20"/>
                <w:szCs w:val="20"/>
              </w:rPr>
            </w:pPr>
          </w:p>
        </w:tc>
        <w:tc>
          <w:tcPr>
            <w:tcW w:w="1060" w:type="dxa"/>
            <w:tcBorders>
              <w:top w:val="nil"/>
              <w:left w:val="nil"/>
              <w:bottom w:val="nil"/>
              <w:right w:val="nil"/>
            </w:tcBorders>
            <w:vAlign w:val="bottom"/>
          </w:tcPr>
          <w:p>
            <w:pPr>
              <w:widowControl/>
              <w:jc w:val="left"/>
              <w:rPr>
                <w:rFonts w:ascii="Arial" w:hAnsi="Arial" w:cs="Arial"/>
                <w:kern w:val="0"/>
                <w:sz w:val="20"/>
                <w:szCs w:val="20"/>
              </w:rPr>
            </w:pPr>
          </w:p>
        </w:tc>
        <w:tc>
          <w:tcPr>
            <w:tcW w:w="1060" w:type="dxa"/>
            <w:tcBorders>
              <w:top w:val="nil"/>
              <w:left w:val="nil"/>
              <w:bottom w:val="nil"/>
              <w:right w:val="nil"/>
            </w:tcBorders>
            <w:vAlign w:val="bottom"/>
          </w:tcPr>
          <w:p>
            <w:pPr>
              <w:widowControl/>
              <w:jc w:val="left"/>
              <w:rPr>
                <w:rFonts w:ascii="Arial" w:hAnsi="Arial" w:cs="Arial"/>
                <w:kern w:val="0"/>
                <w:sz w:val="20"/>
                <w:szCs w:val="20"/>
              </w:rPr>
            </w:pPr>
          </w:p>
        </w:tc>
        <w:tc>
          <w:tcPr>
            <w:tcW w:w="1060" w:type="dxa"/>
            <w:tcBorders>
              <w:top w:val="nil"/>
              <w:left w:val="nil"/>
              <w:bottom w:val="nil"/>
              <w:right w:val="nil"/>
            </w:tcBorders>
            <w:vAlign w:val="bottom"/>
          </w:tcPr>
          <w:p>
            <w:pPr>
              <w:widowControl/>
              <w:jc w:val="left"/>
              <w:rPr>
                <w:rFonts w:ascii="Arial" w:hAnsi="Arial" w:cs="Arial"/>
                <w:kern w:val="0"/>
                <w:sz w:val="20"/>
                <w:szCs w:val="20"/>
              </w:rPr>
            </w:pPr>
          </w:p>
        </w:tc>
        <w:tc>
          <w:tcPr>
            <w:tcW w:w="2120" w:type="dxa"/>
            <w:tcBorders>
              <w:top w:val="nil"/>
              <w:left w:val="nil"/>
              <w:bottom w:val="nil"/>
              <w:right w:val="nil"/>
            </w:tcBorders>
            <w:vAlign w:val="bottom"/>
          </w:tcPr>
          <w:p>
            <w:pPr>
              <w:widowControl/>
              <w:jc w:val="right"/>
              <w:rPr>
                <w:rFonts w:ascii="宋体" w:cs="Arial"/>
                <w:kern w:val="0"/>
                <w:sz w:val="24"/>
                <w:szCs w:val="24"/>
              </w:rPr>
            </w:pPr>
            <w:r>
              <w:rPr>
                <w:rFonts w:hint="eastAsia" w:ascii="宋体" w:hAnsi="宋体" w:cs="Arial"/>
                <w:kern w:val="0"/>
                <w:sz w:val="24"/>
                <w:szCs w:val="24"/>
              </w:rPr>
              <w:t>公开</w:t>
            </w:r>
            <w:r>
              <w:rPr>
                <w:rFonts w:ascii="宋体" w:hAnsi="宋体" w:cs="Arial"/>
                <w:kern w:val="0"/>
                <w:sz w:val="24"/>
                <w:szCs w:val="24"/>
              </w:rPr>
              <w:t>03-1</w:t>
            </w:r>
            <w:r>
              <w:rPr>
                <w:rFonts w:hint="eastAsia" w:ascii="宋体" w:hAnsi="宋体" w:cs="Arial"/>
                <w:kern w:val="0"/>
                <w:sz w:val="24"/>
                <w:szCs w:val="24"/>
              </w:rPr>
              <w:t>表</w:t>
            </w:r>
          </w:p>
        </w:tc>
      </w:tr>
    </w:tbl>
    <w:p>
      <w:pPr>
        <w:autoSpaceDE w:val="0"/>
        <w:autoSpaceDN w:val="0"/>
        <w:adjustRightInd w:val="0"/>
        <w:spacing w:line="560" w:lineRule="exact"/>
        <w:jc w:val="center"/>
        <w:rPr>
          <w:rFonts w:ascii="??" w:hAnsi="Times New Roman" w:eastAsia="Times New Roman" w:cs="??"/>
          <w:b/>
          <w:sz w:val="32"/>
          <w:szCs w:val="32"/>
        </w:rPr>
      </w:pPr>
    </w:p>
    <w:p>
      <w:pPr>
        <w:autoSpaceDE w:val="0"/>
        <w:autoSpaceDN w:val="0"/>
        <w:adjustRightInd w:val="0"/>
        <w:spacing w:line="560" w:lineRule="exact"/>
        <w:jc w:val="center"/>
        <w:rPr>
          <w:rFonts w:ascii="??" w:hAnsi="Times New Roman" w:eastAsia="Times New Roman" w:cs="??"/>
          <w:b/>
          <w:sz w:val="32"/>
          <w:szCs w:val="32"/>
        </w:rPr>
      </w:pPr>
      <w:r>
        <w:rPr>
          <w:rFonts w:ascii="??" w:hAnsi="Times New Roman" w:eastAsia="Times New Roman" w:cs="??"/>
          <w:b/>
          <w:sz w:val="32"/>
          <w:szCs w:val="32"/>
        </w:rPr>
        <w:t>2016年度部门财政拨款收入支出决算总表</w:t>
      </w:r>
    </w:p>
    <w:tbl>
      <w:tblPr>
        <w:tblStyle w:val="6"/>
        <w:tblW w:w="16362" w:type="dxa"/>
        <w:tblInd w:w="93" w:type="dxa"/>
        <w:tblLayout w:type="fixed"/>
        <w:tblCellMar>
          <w:top w:w="0" w:type="dxa"/>
          <w:left w:w="108" w:type="dxa"/>
          <w:bottom w:w="0" w:type="dxa"/>
          <w:right w:w="108" w:type="dxa"/>
        </w:tblCellMar>
      </w:tblPr>
      <w:tblGrid>
        <w:gridCol w:w="9605"/>
        <w:gridCol w:w="376"/>
        <w:gridCol w:w="880"/>
        <w:gridCol w:w="2240"/>
        <w:gridCol w:w="440"/>
        <w:gridCol w:w="2821"/>
      </w:tblGrid>
      <w:tr>
        <w:tblPrEx>
          <w:tblCellMar>
            <w:top w:w="0" w:type="dxa"/>
            <w:left w:w="108" w:type="dxa"/>
            <w:bottom w:w="0" w:type="dxa"/>
            <w:right w:w="108" w:type="dxa"/>
          </w:tblCellMar>
        </w:tblPrEx>
        <w:trPr>
          <w:trHeight w:val="255" w:hRule="atLeast"/>
        </w:trPr>
        <w:tc>
          <w:tcPr>
            <w:tcW w:w="9605" w:type="dxa"/>
            <w:tcBorders>
              <w:top w:val="nil"/>
              <w:left w:val="nil"/>
              <w:bottom w:val="nil"/>
              <w:right w:val="nil"/>
            </w:tcBorders>
            <w:vAlign w:val="bottom"/>
          </w:tcPr>
          <w:tbl>
            <w:tblPr>
              <w:tblStyle w:val="6"/>
              <w:tblW w:w="9389" w:type="dxa"/>
              <w:tblInd w:w="0" w:type="dxa"/>
              <w:tblLayout w:type="fixed"/>
              <w:tblCellMar>
                <w:top w:w="0" w:type="dxa"/>
                <w:left w:w="108" w:type="dxa"/>
                <w:bottom w:w="0" w:type="dxa"/>
                <w:right w:w="108" w:type="dxa"/>
              </w:tblCellMar>
            </w:tblPr>
            <w:tblGrid>
              <w:gridCol w:w="2260"/>
              <w:gridCol w:w="376"/>
              <w:gridCol w:w="960"/>
              <w:gridCol w:w="2240"/>
              <w:gridCol w:w="440"/>
              <w:gridCol w:w="959"/>
              <w:gridCol w:w="1077"/>
              <w:gridCol w:w="1077"/>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376" w:type="dxa"/>
                  <w:tcBorders>
                    <w:top w:val="nil"/>
                    <w:left w:val="nil"/>
                    <w:bottom w:val="nil"/>
                    <w:right w:val="nil"/>
                  </w:tcBorders>
                  <w:shd w:val="clear" w:color="000000" w:fill="FFFFFF"/>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960" w:type="dxa"/>
                  <w:tcBorders>
                    <w:top w:val="nil"/>
                    <w:left w:val="nil"/>
                    <w:bottom w:val="nil"/>
                    <w:right w:val="nil"/>
                  </w:tcBorders>
                  <w:shd w:val="clear" w:color="000000" w:fill="FFFFFF"/>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3113" w:type="dxa"/>
                  <w:gridSpan w:val="3"/>
                  <w:tcBorders>
                    <w:top w:val="nil"/>
                    <w:left w:val="nil"/>
                    <w:bottom w:val="nil"/>
                    <w:right w:val="nil"/>
                  </w:tcBorders>
                  <w:shd w:val="clear" w:color="000000" w:fill="FFFFFF"/>
                  <w:vAlign w:val="bottom"/>
                </w:tcPr>
                <w:p>
                  <w:pPr>
                    <w:widowControl/>
                    <w:jc w:val="right"/>
                    <w:rPr>
                      <w:rFonts w:ascii="Arial" w:hAnsi="Arial" w:cs="Arial"/>
                      <w:kern w:val="0"/>
                      <w:sz w:val="15"/>
                      <w:szCs w:val="15"/>
                    </w:rPr>
                  </w:pPr>
                  <w:r>
                    <w:rPr>
                      <w:rFonts w:hint="eastAsia" w:ascii="宋体" w:hAnsi="宋体" w:cs="Arial"/>
                      <w:kern w:val="0"/>
                      <w:sz w:val="15"/>
                      <w:szCs w:val="15"/>
                    </w:rPr>
                    <w:t>公开</w:t>
                  </w:r>
                  <w:r>
                    <w:rPr>
                      <w:rFonts w:ascii="Arial" w:hAnsi="Arial" w:cs="Arial"/>
                      <w:kern w:val="0"/>
                      <w:sz w:val="15"/>
                      <w:szCs w:val="15"/>
                    </w:rPr>
                    <w:t>04</w:t>
                  </w:r>
                  <w:r>
                    <w:rPr>
                      <w:rFonts w:hint="eastAsia" w:ascii="宋体" w:hAnsi="宋体" w:cs="Arial"/>
                      <w:kern w:val="0"/>
                      <w:sz w:val="15"/>
                      <w:szCs w:val="15"/>
                    </w:rPr>
                    <w:t>表</w:t>
                  </w:r>
                </w:p>
              </w:tc>
            </w:tr>
            <w:tr>
              <w:tblPrEx>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vAlign w:val="bottom"/>
                </w:tcPr>
                <w:p>
                  <w:pPr>
                    <w:widowControl/>
                    <w:jc w:val="left"/>
                    <w:rPr>
                      <w:rFonts w:ascii="宋体" w:cs="Arial"/>
                      <w:kern w:val="0"/>
                      <w:sz w:val="24"/>
                      <w:szCs w:val="24"/>
                    </w:rPr>
                  </w:pPr>
                  <w:r>
                    <w:rPr>
                      <w:rFonts w:hint="eastAsia" w:ascii="宋体" w:hAnsi="宋体" w:cs="Arial"/>
                      <w:kern w:val="0"/>
                      <w:sz w:val="24"/>
                      <w:szCs w:val="24"/>
                    </w:rPr>
                    <w:t>　部门：</w:t>
                  </w:r>
                </w:p>
              </w:tc>
              <w:tc>
                <w:tcPr>
                  <w:tcW w:w="376" w:type="dxa"/>
                  <w:tcBorders>
                    <w:top w:val="nil"/>
                    <w:left w:val="nil"/>
                    <w:bottom w:val="nil"/>
                    <w:right w:val="nil"/>
                  </w:tcBorders>
                  <w:shd w:val="clear" w:color="000000" w:fill="FFFFFF"/>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960" w:type="dxa"/>
                  <w:tcBorders>
                    <w:top w:val="nil"/>
                    <w:left w:val="nil"/>
                    <w:bottom w:val="nil"/>
                    <w:right w:val="nil"/>
                  </w:tcBorders>
                  <w:shd w:val="clear" w:color="000000" w:fill="FFFFFF"/>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3113" w:type="dxa"/>
                  <w:gridSpan w:val="3"/>
                  <w:tcBorders>
                    <w:top w:val="nil"/>
                    <w:left w:val="nil"/>
                    <w:bottom w:val="nil"/>
                    <w:right w:val="nil"/>
                  </w:tcBorders>
                  <w:shd w:val="clear" w:color="000000" w:fill="FFFFFF"/>
                  <w:vAlign w:val="bottom"/>
                </w:tcPr>
                <w:p>
                  <w:pPr>
                    <w:widowControl/>
                    <w:jc w:val="right"/>
                    <w:rPr>
                      <w:rFonts w:ascii="Arial" w:hAnsi="Arial" w:cs="Arial"/>
                      <w:kern w:val="0"/>
                      <w:sz w:val="15"/>
                      <w:szCs w:val="15"/>
                    </w:rPr>
                  </w:pPr>
                  <w:r>
                    <w:rPr>
                      <w:rFonts w:hint="eastAsia" w:ascii="Arial" w:hAnsi="Arial" w:cs="Arial"/>
                      <w:kern w:val="0"/>
                      <w:sz w:val="15"/>
                      <w:szCs w:val="15"/>
                    </w:rPr>
                    <w:t>金额单位：万元</w:t>
                  </w:r>
                </w:p>
              </w:tc>
            </w:tr>
            <w:tr>
              <w:tblPrEx>
                <w:tblCellMar>
                  <w:top w:w="0" w:type="dxa"/>
                  <w:left w:w="108" w:type="dxa"/>
                  <w:bottom w:w="0" w:type="dxa"/>
                  <w:right w:w="108" w:type="dxa"/>
                </w:tblCellMar>
              </w:tblPrEx>
              <w:trPr>
                <w:trHeight w:val="308" w:hRule="atLeast"/>
              </w:trPr>
              <w:tc>
                <w:tcPr>
                  <w:tcW w:w="3596"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收</w:t>
                  </w:r>
                  <w:r>
                    <w:rPr>
                      <w:rFonts w:ascii="宋体" w:hAnsi="宋体" w:cs="Arial"/>
                      <w:kern w:val="0"/>
                      <w:sz w:val="16"/>
                      <w:szCs w:val="16"/>
                    </w:rPr>
                    <w:t xml:space="preserve">     </w:t>
                  </w:r>
                  <w:r>
                    <w:rPr>
                      <w:rFonts w:hint="eastAsia" w:ascii="宋体" w:hAnsi="宋体" w:cs="Arial"/>
                      <w:kern w:val="0"/>
                      <w:sz w:val="16"/>
                      <w:szCs w:val="16"/>
                    </w:rPr>
                    <w:t>入</w:t>
                  </w:r>
                </w:p>
              </w:tc>
              <w:tc>
                <w:tcPr>
                  <w:tcW w:w="5793"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支</w:t>
                  </w:r>
                  <w:r>
                    <w:rPr>
                      <w:rFonts w:ascii="宋体" w:hAnsi="宋体" w:cs="Arial"/>
                      <w:kern w:val="0"/>
                      <w:sz w:val="16"/>
                      <w:szCs w:val="16"/>
                    </w:rPr>
                    <w:t xml:space="preserve">     </w:t>
                  </w:r>
                  <w:r>
                    <w:rPr>
                      <w:rFonts w:hint="eastAsia" w:ascii="宋体" w:hAnsi="宋体" w:cs="Arial"/>
                      <w:kern w:val="0"/>
                      <w:sz w:val="16"/>
                      <w:szCs w:val="16"/>
                    </w:rPr>
                    <w:t>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项</w:t>
                  </w:r>
                  <w:r>
                    <w:rPr>
                      <w:rFonts w:ascii="宋体" w:hAnsi="宋体" w:cs="Arial"/>
                      <w:kern w:val="0"/>
                      <w:sz w:val="16"/>
                      <w:szCs w:val="16"/>
                    </w:rPr>
                    <w:t xml:space="preserve">    </w:t>
                  </w:r>
                  <w:r>
                    <w:rPr>
                      <w:rFonts w:hint="eastAsia" w:ascii="宋体" w:hAnsi="宋体" w:cs="Arial"/>
                      <w:kern w:val="0"/>
                      <w:sz w:val="16"/>
                      <w:szCs w:val="16"/>
                    </w:rPr>
                    <w:t>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行次</w:t>
                  </w:r>
                </w:p>
              </w:tc>
              <w:tc>
                <w:tcPr>
                  <w:tcW w:w="9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行次</w:t>
                  </w:r>
                </w:p>
              </w:tc>
              <w:tc>
                <w:tcPr>
                  <w:tcW w:w="3113"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6"/>
                      <w:szCs w:val="16"/>
                    </w:rPr>
                  </w:pPr>
                </w:p>
              </w:tc>
              <w:tc>
                <w:tcPr>
                  <w:tcW w:w="96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6"/>
                      <w:szCs w:val="16"/>
                    </w:rPr>
                  </w:pPr>
                </w:p>
              </w:tc>
              <w:tc>
                <w:tcPr>
                  <w:tcW w:w="959"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栏</w:t>
                  </w:r>
                  <w:r>
                    <w:rPr>
                      <w:rFonts w:ascii="宋体" w:hAnsi="宋体" w:cs="Arial"/>
                      <w:kern w:val="0"/>
                      <w:sz w:val="16"/>
                      <w:szCs w:val="16"/>
                    </w:rPr>
                    <w:t xml:space="preserve">    </w:t>
                  </w:r>
                  <w:r>
                    <w:rPr>
                      <w:rFonts w:hint="eastAsia" w:ascii="宋体" w:hAnsi="宋体" w:cs="Arial"/>
                      <w:kern w:val="0"/>
                      <w:sz w:val="16"/>
                      <w:szCs w:val="16"/>
                    </w:rPr>
                    <w:t>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　</w:t>
                  </w:r>
                </w:p>
              </w:tc>
              <w:tc>
                <w:tcPr>
                  <w:tcW w:w="96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栏</w:t>
                  </w:r>
                  <w:r>
                    <w:rPr>
                      <w:rFonts w:ascii="宋体" w:hAnsi="宋体" w:cs="Arial"/>
                      <w:kern w:val="0"/>
                      <w:sz w:val="16"/>
                      <w:szCs w:val="16"/>
                    </w:rPr>
                    <w:t xml:space="preserve">    </w:t>
                  </w:r>
                  <w:r>
                    <w:rPr>
                      <w:rFonts w:hint="eastAsia" w:ascii="宋体" w:hAnsi="宋体" w:cs="Arial"/>
                      <w:kern w:val="0"/>
                      <w:sz w:val="16"/>
                      <w:szCs w:val="16"/>
                    </w:rPr>
                    <w:t>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　</w:t>
                  </w:r>
                </w:p>
              </w:tc>
              <w:tc>
                <w:tcPr>
                  <w:tcW w:w="959"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w:t>
                  </w:r>
                </w:p>
              </w:tc>
              <w:tc>
                <w:tcPr>
                  <w:tcW w:w="96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2,169.56</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31</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ascii="宋体" w:hAnsi="宋体" w:cs="Arial"/>
                      <w:kern w:val="0"/>
                      <w:sz w:val="16"/>
                      <w:szCs w:val="16"/>
                    </w:rPr>
                    <w:t>1,940.25</w:t>
                  </w: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ascii="宋体" w:hAnsi="宋体" w:cs="Arial"/>
                      <w:kern w:val="0"/>
                      <w:sz w:val="16"/>
                      <w:szCs w:val="16"/>
                    </w:rPr>
                    <w:t>1,940.25</w:t>
                  </w: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w:t>
                  </w:r>
                </w:p>
              </w:tc>
              <w:tc>
                <w:tcPr>
                  <w:tcW w:w="960" w:type="dxa"/>
                  <w:tcBorders>
                    <w:top w:val="nil"/>
                    <w:left w:val="nil"/>
                    <w:bottom w:val="single" w:color="000000" w:sz="4" w:space="0"/>
                    <w:right w:val="single" w:color="000000" w:sz="4" w:space="0"/>
                  </w:tcBorders>
                  <w:shd w:val="clear" w:color="000000" w:fill="FFFFFF"/>
                </w:tc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32</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w:t>
                  </w:r>
                </w:p>
              </w:tc>
              <w:tc>
                <w:tcPr>
                  <w:tcW w:w="960" w:type="dxa"/>
                  <w:tcBorders>
                    <w:top w:val="nil"/>
                    <w:left w:val="nil"/>
                    <w:bottom w:val="single" w:color="000000" w:sz="4" w:space="0"/>
                    <w:right w:val="single" w:color="000000" w:sz="4" w:space="0"/>
                  </w:tcBorders>
                  <w:shd w:val="clear" w:color="000000" w:fill="FFFFFF"/>
                </w:tc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33</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w:t>
                  </w:r>
                </w:p>
              </w:tc>
              <w:tc>
                <w:tcPr>
                  <w:tcW w:w="960" w:type="dxa"/>
                  <w:tcBorders>
                    <w:top w:val="nil"/>
                    <w:left w:val="nil"/>
                    <w:bottom w:val="single" w:color="000000" w:sz="4" w:space="0"/>
                    <w:right w:val="single" w:color="000000" w:sz="4" w:space="0"/>
                  </w:tcBorders>
                  <w:shd w:val="clear" w:color="000000" w:fill="FFFFFF"/>
                </w:tc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34</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5</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35</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6</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36</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7</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37</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8</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38</w:t>
                  </w:r>
                </w:p>
              </w:tc>
              <w:tc>
                <w:tcPr>
                  <w:tcW w:w="959" w:type="dxa"/>
                  <w:tcBorders>
                    <w:top w:val="nil"/>
                    <w:left w:val="nil"/>
                    <w:bottom w:val="single" w:color="000000" w:sz="4" w:space="0"/>
                    <w:right w:val="single" w:color="000000" w:sz="4" w:space="0"/>
                  </w:tcBorders>
                  <w:shd w:val="clear" w:color="000000" w:fill="FFFFFF"/>
                </w:tcPr>
                <w:p>
                  <w:pPr>
                    <w:widowControl/>
                    <w:jc w:val="right"/>
                    <w:rPr>
                      <w:rFonts w:ascii="宋体" w:cs="Arial"/>
                      <w:kern w:val="0"/>
                      <w:sz w:val="16"/>
                      <w:szCs w:val="16"/>
                    </w:rPr>
                  </w:pPr>
                  <w:r>
                    <w:rPr>
                      <w:rFonts w:ascii="宋体" w:hAnsi="宋体" w:cs="Arial"/>
                      <w:kern w:val="0"/>
                      <w:sz w:val="16"/>
                      <w:szCs w:val="16"/>
                    </w:rPr>
                    <w:t>144.12</w:t>
                  </w:r>
                </w:p>
              </w:tc>
              <w:tc>
                <w:tcPr>
                  <w:tcW w:w="1077" w:type="dxa"/>
                  <w:tcBorders>
                    <w:top w:val="nil"/>
                    <w:left w:val="nil"/>
                    <w:bottom w:val="single" w:color="000000" w:sz="4" w:space="0"/>
                    <w:right w:val="single" w:color="000000" w:sz="4" w:space="0"/>
                  </w:tcBorders>
                  <w:shd w:val="clear" w:color="000000" w:fill="FFFFFF"/>
                </w:tcPr>
                <w:p>
                  <w:pPr>
                    <w:widowControl/>
                    <w:jc w:val="right"/>
                    <w:rPr>
                      <w:rFonts w:ascii="宋体" w:cs="Arial"/>
                      <w:kern w:val="0"/>
                      <w:sz w:val="16"/>
                      <w:szCs w:val="16"/>
                    </w:rPr>
                  </w:pPr>
                  <w:r>
                    <w:rPr>
                      <w:rFonts w:ascii="宋体" w:hAnsi="宋体" w:cs="Arial"/>
                      <w:kern w:val="0"/>
                      <w:sz w:val="16"/>
                      <w:szCs w:val="16"/>
                    </w:rPr>
                    <w:t>41.00</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9</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39</w:t>
                  </w:r>
                </w:p>
              </w:tc>
              <w:tc>
                <w:tcPr>
                  <w:tcW w:w="959" w:type="dxa"/>
                  <w:tcBorders>
                    <w:top w:val="nil"/>
                    <w:left w:val="nil"/>
                    <w:bottom w:val="single" w:color="000000" w:sz="4" w:space="0"/>
                    <w:right w:val="single" w:color="000000" w:sz="4" w:space="0"/>
                  </w:tcBorders>
                  <w:shd w:val="clear" w:color="000000" w:fill="FFFFFF"/>
                </w:tcPr>
                <w:p>
                  <w:pPr>
                    <w:widowControl/>
                    <w:jc w:val="right"/>
                    <w:rPr>
                      <w:rFonts w:ascii="宋体" w:cs="Arial"/>
                      <w:kern w:val="0"/>
                      <w:sz w:val="16"/>
                      <w:szCs w:val="16"/>
                    </w:rPr>
                  </w:pPr>
                  <w:r>
                    <w:rPr>
                      <w:rFonts w:ascii="宋体" w:hAnsi="宋体" w:cs="Arial"/>
                      <w:kern w:val="0"/>
                      <w:sz w:val="16"/>
                      <w:szCs w:val="16"/>
                    </w:rPr>
                    <w:t>144.12</w:t>
                  </w:r>
                </w:p>
              </w:tc>
              <w:tc>
                <w:tcPr>
                  <w:tcW w:w="1077" w:type="dxa"/>
                  <w:tcBorders>
                    <w:top w:val="nil"/>
                    <w:left w:val="nil"/>
                    <w:bottom w:val="single" w:color="000000" w:sz="4" w:space="0"/>
                    <w:right w:val="single" w:color="000000" w:sz="4" w:space="0"/>
                  </w:tcBorders>
                  <w:shd w:val="clear" w:color="000000" w:fill="FFFFFF"/>
                </w:tcPr>
                <w:p>
                  <w:pPr>
                    <w:widowControl/>
                    <w:jc w:val="right"/>
                    <w:rPr>
                      <w:rFonts w:ascii="宋体" w:cs="Arial"/>
                      <w:kern w:val="0"/>
                      <w:sz w:val="16"/>
                      <w:szCs w:val="16"/>
                    </w:rPr>
                  </w:pPr>
                  <w:r>
                    <w:rPr>
                      <w:rFonts w:ascii="宋体" w:hAnsi="宋体" w:cs="Arial"/>
                      <w:kern w:val="0"/>
                      <w:sz w:val="16"/>
                      <w:szCs w:val="16"/>
                    </w:rPr>
                    <w:t>41.00</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10</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40</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11</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41</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12</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42</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13</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43</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14</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44</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15</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45</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16</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46</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17</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47</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18</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48</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19</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49</w:t>
                  </w:r>
                </w:p>
              </w:tc>
              <w:tc>
                <w:tcPr>
                  <w:tcW w:w="959" w:type="dxa"/>
                  <w:tcBorders>
                    <w:top w:val="nil"/>
                    <w:left w:val="nil"/>
                    <w:bottom w:val="single" w:color="000000" w:sz="4" w:space="0"/>
                    <w:right w:val="single" w:color="000000" w:sz="4" w:space="0"/>
                  </w:tcBorders>
                  <w:shd w:val="clear" w:color="000000" w:fill="FFFFFF"/>
                </w:tcPr>
                <w:p>
                  <w:pPr>
                    <w:rPr>
                      <w:rFonts w:ascii="宋体" w:cs="Arial"/>
                      <w:kern w:val="0"/>
                      <w:sz w:val="16"/>
                      <w:szCs w:val="16"/>
                    </w:rPr>
                  </w:pPr>
                  <w:r>
                    <w:rPr>
                      <w:rFonts w:ascii="宋体" w:hAnsi="宋体" w:cs="Arial"/>
                      <w:kern w:val="0"/>
                      <w:sz w:val="16"/>
                      <w:szCs w:val="16"/>
                    </w:rPr>
                    <w:t>63.36</w:t>
                  </w:r>
                </w:p>
              </w:tc>
              <w:tc>
                <w:tcPr>
                  <w:tcW w:w="1077" w:type="dxa"/>
                  <w:tcBorders>
                    <w:top w:val="nil"/>
                    <w:left w:val="nil"/>
                    <w:bottom w:val="single" w:color="000000" w:sz="4" w:space="0"/>
                    <w:right w:val="single" w:color="000000" w:sz="4" w:space="0"/>
                  </w:tcBorders>
                  <w:shd w:val="clear" w:color="000000" w:fill="FFFFFF"/>
                </w:tcPr>
                <w:p>
                  <w:pPr>
                    <w:rPr>
                      <w:rFonts w:ascii="宋体" w:cs="Arial"/>
                      <w:kern w:val="0"/>
                      <w:sz w:val="16"/>
                      <w:szCs w:val="16"/>
                    </w:rPr>
                  </w:pPr>
                  <w:r>
                    <w:rPr>
                      <w:rFonts w:ascii="宋体" w:hAnsi="宋体" w:cs="Arial"/>
                      <w:kern w:val="0"/>
                      <w:sz w:val="16"/>
                      <w:szCs w:val="16"/>
                    </w:rPr>
                    <w:t>63.36</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20</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50</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21</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51</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22</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52</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23</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53</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b/>
                      <w:bCs/>
                      <w:kern w:val="0"/>
                      <w:sz w:val="16"/>
                      <w:szCs w:val="16"/>
                    </w:rPr>
                  </w:pPr>
                  <w:r>
                    <w:rPr>
                      <w:rFonts w:hint="eastAsia" w:ascii="宋体" w:hAnsi="宋体" w:cs="Arial"/>
                      <w:b/>
                      <w:bCs/>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24</w:t>
                  </w:r>
                </w:p>
              </w:tc>
              <w:tc>
                <w:tcPr>
                  <w:tcW w:w="96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2,169.56</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b/>
                      <w:bCs/>
                      <w:kern w:val="0"/>
                      <w:sz w:val="16"/>
                      <w:szCs w:val="16"/>
                    </w:rPr>
                  </w:pPr>
                  <w:r>
                    <w:rPr>
                      <w:rFonts w:hint="eastAsia" w:ascii="宋体" w:hAnsi="宋体" w:cs="Arial"/>
                      <w:b/>
                      <w:bCs/>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77</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ascii="宋体" w:hAnsi="宋体" w:cs="Arial"/>
                      <w:kern w:val="0"/>
                      <w:sz w:val="16"/>
                      <w:szCs w:val="16"/>
                    </w:rPr>
                    <w:t>2,188.73</w:t>
                  </w: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ascii="宋体" w:hAnsi="宋体" w:cs="Arial"/>
                      <w:kern w:val="0"/>
                      <w:sz w:val="16"/>
                      <w:szCs w:val="16"/>
                    </w:rPr>
                    <w:t>2,188.73</w:t>
                  </w: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25</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78</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26</w:t>
                  </w:r>
                </w:p>
              </w:tc>
              <w:tc>
                <w:tcPr>
                  <w:tcW w:w="960" w:type="dxa"/>
                  <w:tcBorders>
                    <w:top w:val="nil"/>
                    <w:left w:val="nil"/>
                    <w:bottom w:val="single" w:color="000000" w:sz="4" w:space="0"/>
                    <w:right w:val="single" w:color="000000" w:sz="4" w:space="0"/>
                  </w:tcBorders>
                  <w:shd w:val="clear" w:color="000000" w:fill="FFFFFF"/>
                </w:tcPr>
                <w:p>
                  <w:pPr>
                    <w:rPr>
                      <w:sz w:val="15"/>
                      <w:szCs w:val="15"/>
                    </w:rPr>
                  </w:pPr>
                  <w:r>
                    <w:rPr>
                      <w:sz w:val="15"/>
                      <w:szCs w:val="15"/>
                    </w:rPr>
                    <w:t>19.18</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79</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27</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sz w:val="15"/>
                      <w:szCs w:val="15"/>
                    </w:rPr>
                    <w:t>19.18</w:t>
                  </w:r>
                  <w:r>
                    <w:rPr>
                      <w:rFonts w:hint="eastAsia" w:ascii="宋体" w:hAnsi="宋体" w:cs="Arial"/>
                      <w:kern w:val="0"/>
                      <w:sz w:val="15"/>
                      <w:szCs w:val="15"/>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ascii="宋体" w:hAnsi="宋体" w:cs="Arial"/>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80</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28</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ascii="宋体" w:hAnsi="宋体" w:cs="Arial"/>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81</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29</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kern w:val="0"/>
                      <w:sz w:val="16"/>
                      <w:szCs w:val="16"/>
                    </w:rPr>
                  </w:pPr>
                  <w:r>
                    <w:rPr>
                      <w:rFonts w:hint="eastAsia" w:ascii="宋体" w:hAnsi="宋体" w:cs="Arial"/>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82</w:t>
                  </w:r>
                </w:p>
              </w:tc>
              <w:tc>
                <w:tcPr>
                  <w:tcW w:w="95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cs="Arial"/>
                      <w:b/>
                      <w:bCs/>
                      <w:kern w:val="0"/>
                      <w:sz w:val="16"/>
                      <w:szCs w:val="16"/>
                    </w:rPr>
                  </w:pPr>
                  <w:r>
                    <w:rPr>
                      <w:rFonts w:hint="eastAsia" w:ascii="宋体" w:hAnsi="宋体" w:cs="Arial"/>
                      <w:b/>
                      <w:bCs/>
                      <w:kern w:val="0"/>
                      <w:sz w:val="16"/>
                      <w:szCs w:val="16"/>
                    </w:rPr>
                    <w:t>总计</w:t>
                  </w:r>
                </w:p>
              </w:tc>
              <w:tc>
                <w:tcPr>
                  <w:tcW w:w="376" w:type="dxa"/>
                  <w:tcBorders>
                    <w:top w:val="nil"/>
                    <w:left w:val="nil"/>
                    <w:bottom w:val="single" w:color="000000" w:sz="8"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30</w:t>
                  </w:r>
                </w:p>
              </w:tc>
              <w:tc>
                <w:tcPr>
                  <w:tcW w:w="96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6"/>
                      <w:szCs w:val="16"/>
                    </w:rPr>
                  </w:pPr>
                  <w:r>
                    <w:rPr>
                      <w:rFonts w:ascii="宋体" w:hAnsi="宋体" w:cs="Arial"/>
                      <w:kern w:val="0"/>
                      <w:sz w:val="16"/>
                      <w:szCs w:val="16"/>
                    </w:rPr>
                    <w:t>2,188.73</w:t>
                  </w:r>
                  <w:r>
                    <w:rPr>
                      <w:rFonts w:hint="eastAsia" w:ascii="宋体" w:hAnsi="宋体" w:cs="Arial"/>
                      <w:kern w:val="0"/>
                      <w:sz w:val="16"/>
                      <w:szCs w:val="16"/>
                    </w:rPr>
                    <w:t>　</w:t>
                  </w:r>
                </w:p>
              </w:tc>
              <w:tc>
                <w:tcPr>
                  <w:tcW w:w="2240" w:type="dxa"/>
                  <w:tcBorders>
                    <w:top w:val="nil"/>
                    <w:left w:val="nil"/>
                    <w:bottom w:val="single" w:color="000000" w:sz="8" w:space="0"/>
                    <w:right w:val="single" w:color="000000" w:sz="4" w:space="0"/>
                  </w:tcBorders>
                  <w:shd w:val="clear" w:color="FFFFFF" w:fill="FFFFFF"/>
                  <w:vAlign w:val="center"/>
                </w:tcPr>
                <w:p>
                  <w:pPr>
                    <w:widowControl/>
                    <w:jc w:val="center"/>
                    <w:rPr>
                      <w:rFonts w:ascii="宋体" w:cs="Arial"/>
                      <w:b/>
                      <w:bCs/>
                      <w:kern w:val="0"/>
                      <w:sz w:val="16"/>
                      <w:szCs w:val="16"/>
                    </w:rPr>
                  </w:pPr>
                  <w:r>
                    <w:rPr>
                      <w:rFonts w:hint="eastAsia" w:ascii="宋体" w:hAnsi="宋体" w:cs="Arial"/>
                      <w:b/>
                      <w:bCs/>
                      <w:kern w:val="0"/>
                      <w:sz w:val="16"/>
                      <w:szCs w:val="16"/>
                    </w:rPr>
                    <w:t>总计</w:t>
                  </w:r>
                </w:p>
              </w:tc>
              <w:tc>
                <w:tcPr>
                  <w:tcW w:w="440" w:type="dxa"/>
                  <w:tcBorders>
                    <w:top w:val="nil"/>
                    <w:left w:val="nil"/>
                    <w:bottom w:val="single" w:color="000000" w:sz="8"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83</w:t>
                  </w:r>
                </w:p>
              </w:tc>
              <w:tc>
                <w:tcPr>
                  <w:tcW w:w="959"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6"/>
                      <w:szCs w:val="16"/>
                    </w:rPr>
                  </w:pPr>
                  <w:r>
                    <w:rPr>
                      <w:rFonts w:ascii="宋体" w:hAnsi="宋体" w:cs="Arial"/>
                      <w:kern w:val="0"/>
                      <w:sz w:val="16"/>
                      <w:szCs w:val="16"/>
                    </w:rPr>
                    <w:t>2,188.73</w:t>
                  </w:r>
                  <w:r>
                    <w:rPr>
                      <w:rFonts w:hint="eastAsia" w:ascii="宋体" w:hAnsi="宋体" w:cs="Arial"/>
                      <w:kern w:val="0"/>
                      <w:sz w:val="16"/>
                      <w:szCs w:val="16"/>
                    </w:rPr>
                    <w:t>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6"/>
                      <w:szCs w:val="16"/>
                    </w:rPr>
                  </w:pPr>
                  <w:r>
                    <w:rPr>
                      <w:rFonts w:ascii="宋体" w:hAnsi="宋体" w:cs="Arial"/>
                      <w:kern w:val="0"/>
                      <w:sz w:val="16"/>
                      <w:szCs w:val="16"/>
                    </w:rPr>
                    <w:t>2,188.73</w:t>
                  </w:r>
                  <w:r>
                    <w:rPr>
                      <w:rFonts w:hint="eastAsia" w:ascii="宋体" w:hAnsi="宋体" w:cs="Arial"/>
                      <w:kern w:val="0"/>
                      <w:sz w:val="16"/>
                      <w:szCs w:val="16"/>
                    </w:rPr>
                    <w:t>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bl>
          <w:p>
            <w:pPr>
              <w:widowControl/>
              <w:jc w:val="left"/>
              <w:rPr>
                <w:rFonts w:ascii="Arial" w:hAnsi="Arial" w:cs="Arial"/>
                <w:kern w:val="0"/>
                <w:sz w:val="20"/>
                <w:szCs w:val="20"/>
              </w:rPr>
            </w:pPr>
          </w:p>
        </w:tc>
        <w:tc>
          <w:tcPr>
            <w:tcW w:w="376" w:type="dxa"/>
            <w:tcBorders>
              <w:top w:val="nil"/>
              <w:left w:val="nil"/>
              <w:bottom w:val="nil"/>
              <w:right w:val="nil"/>
            </w:tcBorders>
            <w:vAlign w:val="bottom"/>
          </w:tcPr>
          <w:p>
            <w:pPr>
              <w:widowControl/>
              <w:jc w:val="left"/>
              <w:rPr>
                <w:rFonts w:ascii="Arial" w:hAnsi="Arial" w:cs="Arial"/>
                <w:kern w:val="0"/>
                <w:sz w:val="20"/>
                <w:szCs w:val="20"/>
              </w:rPr>
            </w:pPr>
          </w:p>
        </w:tc>
        <w:tc>
          <w:tcPr>
            <w:tcW w:w="880" w:type="dxa"/>
            <w:tcBorders>
              <w:top w:val="nil"/>
              <w:left w:val="nil"/>
              <w:bottom w:val="nil"/>
              <w:right w:val="nil"/>
            </w:tcBorders>
            <w:vAlign w:val="bottom"/>
          </w:tcPr>
          <w:p>
            <w:pPr>
              <w:widowControl/>
              <w:jc w:val="left"/>
              <w:rPr>
                <w:rFonts w:ascii="Arial" w:hAnsi="Arial" w:cs="Arial"/>
                <w:kern w:val="0"/>
                <w:sz w:val="20"/>
                <w:szCs w:val="20"/>
              </w:rPr>
            </w:pPr>
          </w:p>
        </w:tc>
        <w:tc>
          <w:tcPr>
            <w:tcW w:w="2240" w:type="dxa"/>
            <w:tcBorders>
              <w:top w:val="nil"/>
              <w:left w:val="nil"/>
              <w:bottom w:val="nil"/>
              <w:right w:val="nil"/>
            </w:tcBorders>
            <w:vAlign w:val="bottom"/>
          </w:tcPr>
          <w:p>
            <w:pPr>
              <w:widowControl/>
              <w:jc w:val="left"/>
              <w:rPr>
                <w:rFonts w:ascii="Arial" w:hAnsi="Arial" w:cs="Arial"/>
                <w:kern w:val="0"/>
                <w:sz w:val="24"/>
                <w:szCs w:val="24"/>
              </w:rPr>
            </w:pPr>
          </w:p>
        </w:tc>
        <w:tc>
          <w:tcPr>
            <w:tcW w:w="440" w:type="dxa"/>
            <w:tcBorders>
              <w:top w:val="nil"/>
              <w:left w:val="nil"/>
              <w:bottom w:val="nil"/>
              <w:right w:val="nil"/>
            </w:tcBorders>
            <w:vAlign w:val="bottom"/>
          </w:tcPr>
          <w:p>
            <w:pPr>
              <w:widowControl/>
              <w:jc w:val="left"/>
              <w:rPr>
                <w:rFonts w:ascii="Arial" w:hAnsi="Arial" w:cs="Arial"/>
                <w:kern w:val="0"/>
                <w:sz w:val="20"/>
                <w:szCs w:val="20"/>
              </w:rPr>
            </w:pPr>
          </w:p>
        </w:tc>
        <w:tc>
          <w:tcPr>
            <w:tcW w:w="2821" w:type="dxa"/>
            <w:tcBorders>
              <w:top w:val="nil"/>
              <w:left w:val="nil"/>
              <w:bottom w:val="nil"/>
              <w:right w:val="nil"/>
            </w:tcBorders>
            <w:vAlign w:val="bottom"/>
          </w:tcPr>
          <w:p>
            <w:pPr>
              <w:widowControl/>
              <w:jc w:val="right"/>
              <w:rPr>
                <w:rFonts w:ascii="Arial" w:hAnsi="Arial" w:cs="Arial"/>
                <w:kern w:val="0"/>
                <w:sz w:val="20"/>
                <w:szCs w:val="20"/>
              </w:rPr>
            </w:pPr>
            <w:r>
              <w:rPr>
                <w:rFonts w:hint="eastAsia" w:ascii="宋体" w:hAnsi="宋体" w:cs="Arial"/>
                <w:kern w:val="0"/>
                <w:sz w:val="20"/>
                <w:szCs w:val="20"/>
              </w:rPr>
              <w:t>公开</w:t>
            </w:r>
            <w:r>
              <w:rPr>
                <w:rFonts w:ascii="Arial" w:hAnsi="Arial" w:cs="Arial"/>
                <w:kern w:val="0"/>
                <w:sz w:val="20"/>
                <w:szCs w:val="20"/>
              </w:rPr>
              <w:t>04</w:t>
            </w:r>
            <w:r>
              <w:rPr>
                <w:rFonts w:hint="eastAsia" w:ascii="宋体" w:hAnsi="宋体" w:cs="Arial"/>
                <w:kern w:val="0"/>
                <w:sz w:val="20"/>
                <w:szCs w:val="20"/>
              </w:rPr>
              <w:t>表</w:t>
            </w:r>
          </w:p>
        </w:tc>
      </w:tr>
      <w:tr>
        <w:tblPrEx>
          <w:tblCellMar>
            <w:top w:w="0" w:type="dxa"/>
            <w:left w:w="108" w:type="dxa"/>
            <w:bottom w:w="0" w:type="dxa"/>
            <w:right w:w="108" w:type="dxa"/>
          </w:tblCellMar>
        </w:tblPrEx>
        <w:trPr>
          <w:trHeight w:val="315" w:hRule="atLeast"/>
        </w:trPr>
        <w:tc>
          <w:tcPr>
            <w:tcW w:w="9605" w:type="dxa"/>
            <w:tcBorders>
              <w:top w:val="nil"/>
              <w:left w:val="nil"/>
              <w:bottom w:val="nil"/>
              <w:right w:val="nil"/>
            </w:tcBorders>
            <w:vAlign w:val="bottom"/>
          </w:tcPr>
          <w:p>
            <w:pPr>
              <w:widowControl/>
              <w:jc w:val="left"/>
              <w:rPr>
                <w:rFonts w:ascii="宋体" w:cs="Arial"/>
                <w:kern w:val="0"/>
                <w:sz w:val="24"/>
                <w:szCs w:val="24"/>
              </w:rPr>
            </w:pPr>
          </w:p>
        </w:tc>
        <w:tc>
          <w:tcPr>
            <w:tcW w:w="376" w:type="dxa"/>
            <w:tcBorders>
              <w:top w:val="nil"/>
              <w:left w:val="nil"/>
              <w:bottom w:val="nil"/>
              <w:right w:val="nil"/>
            </w:tcBorders>
            <w:vAlign w:val="bottom"/>
          </w:tcPr>
          <w:p>
            <w:pPr>
              <w:widowControl/>
              <w:jc w:val="left"/>
              <w:rPr>
                <w:rFonts w:ascii="Arial" w:hAnsi="Arial" w:cs="Arial"/>
                <w:kern w:val="0"/>
                <w:sz w:val="20"/>
                <w:szCs w:val="20"/>
              </w:rPr>
            </w:pPr>
          </w:p>
        </w:tc>
        <w:tc>
          <w:tcPr>
            <w:tcW w:w="880" w:type="dxa"/>
            <w:tcBorders>
              <w:top w:val="nil"/>
              <w:left w:val="nil"/>
              <w:bottom w:val="nil"/>
              <w:right w:val="nil"/>
            </w:tcBorders>
            <w:vAlign w:val="bottom"/>
          </w:tcPr>
          <w:p>
            <w:pPr>
              <w:widowControl/>
              <w:jc w:val="left"/>
              <w:rPr>
                <w:rFonts w:ascii="Arial" w:hAnsi="Arial" w:cs="Arial"/>
                <w:kern w:val="0"/>
                <w:sz w:val="20"/>
                <w:szCs w:val="20"/>
              </w:rPr>
            </w:pPr>
          </w:p>
        </w:tc>
        <w:tc>
          <w:tcPr>
            <w:tcW w:w="2240" w:type="dxa"/>
            <w:tcBorders>
              <w:top w:val="nil"/>
              <w:left w:val="nil"/>
              <w:bottom w:val="nil"/>
              <w:right w:val="nil"/>
            </w:tcBorders>
            <w:vAlign w:val="bottom"/>
          </w:tcPr>
          <w:p>
            <w:pPr>
              <w:widowControl/>
              <w:jc w:val="left"/>
              <w:rPr>
                <w:rFonts w:ascii="Arial" w:hAnsi="Arial" w:cs="Arial"/>
                <w:kern w:val="0"/>
                <w:sz w:val="20"/>
                <w:szCs w:val="20"/>
              </w:rPr>
            </w:pPr>
          </w:p>
        </w:tc>
        <w:tc>
          <w:tcPr>
            <w:tcW w:w="440" w:type="dxa"/>
            <w:tcBorders>
              <w:top w:val="nil"/>
              <w:left w:val="nil"/>
              <w:bottom w:val="nil"/>
              <w:right w:val="nil"/>
            </w:tcBorders>
            <w:vAlign w:val="bottom"/>
          </w:tcPr>
          <w:p>
            <w:pPr>
              <w:widowControl/>
              <w:jc w:val="left"/>
              <w:rPr>
                <w:rFonts w:ascii="Arial" w:hAnsi="Arial" w:cs="Arial"/>
                <w:kern w:val="0"/>
                <w:sz w:val="20"/>
                <w:szCs w:val="20"/>
              </w:rPr>
            </w:pPr>
          </w:p>
        </w:tc>
        <w:tc>
          <w:tcPr>
            <w:tcW w:w="2821" w:type="dxa"/>
            <w:tcBorders>
              <w:top w:val="nil"/>
              <w:left w:val="nil"/>
              <w:bottom w:val="nil"/>
              <w:right w:val="nil"/>
            </w:tcBorders>
            <w:vAlign w:val="bottom"/>
          </w:tcPr>
          <w:p>
            <w:pPr>
              <w:widowControl/>
              <w:jc w:val="right"/>
              <w:rPr>
                <w:rFonts w:ascii="Arial" w:hAnsi="Arial" w:cs="Arial"/>
                <w:kern w:val="0"/>
                <w:sz w:val="20"/>
                <w:szCs w:val="20"/>
              </w:rPr>
            </w:pPr>
            <w:r>
              <w:rPr>
                <w:rFonts w:hint="eastAsia" w:ascii="Arial" w:hAnsi="Arial" w:cs="Arial"/>
                <w:kern w:val="0"/>
                <w:sz w:val="20"/>
                <w:szCs w:val="20"/>
              </w:rPr>
              <w:t>金额单位：万元</w:t>
            </w:r>
          </w:p>
        </w:tc>
      </w:tr>
    </w:tbl>
    <w:p>
      <w:pPr>
        <w:autoSpaceDE w:val="0"/>
        <w:autoSpaceDN w:val="0"/>
        <w:adjustRightInd w:val="0"/>
        <w:spacing w:line="560" w:lineRule="exact"/>
        <w:ind w:firstLine="627"/>
        <w:jc w:val="center"/>
        <w:rPr>
          <w:rFonts w:ascii="??" w:hAnsi="Times New Roman" w:eastAsia="Times New Roman" w:cs="??"/>
          <w:sz w:val="28"/>
          <w:szCs w:val="28"/>
        </w:rPr>
      </w:pPr>
      <w:r>
        <w:rPr>
          <w:rFonts w:ascii="??" w:hAnsi="Times New Roman" w:eastAsia="Times New Roman" w:cs="??"/>
          <w:b/>
          <w:sz w:val="32"/>
          <w:szCs w:val="32"/>
        </w:rPr>
        <w:t>2016年度部门一般公共预算财政拨款支出决算表</w:t>
      </w:r>
    </w:p>
    <w:tbl>
      <w:tblPr>
        <w:tblStyle w:val="6"/>
        <w:tblW w:w="9575" w:type="dxa"/>
        <w:tblInd w:w="93" w:type="dxa"/>
        <w:tblLayout w:type="fixed"/>
        <w:tblCellMar>
          <w:top w:w="0" w:type="dxa"/>
          <w:left w:w="108" w:type="dxa"/>
          <w:bottom w:w="0" w:type="dxa"/>
          <w:right w:w="108" w:type="dxa"/>
        </w:tblCellMar>
      </w:tblPr>
      <w:tblGrid>
        <w:gridCol w:w="482"/>
        <w:gridCol w:w="482"/>
        <w:gridCol w:w="6"/>
        <w:gridCol w:w="476"/>
        <w:gridCol w:w="1754"/>
        <w:gridCol w:w="383"/>
        <w:gridCol w:w="802"/>
        <w:gridCol w:w="630"/>
        <w:gridCol w:w="340"/>
        <w:gridCol w:w="1180"/>
        <w:gridCol w:w="680"/>
        <w:gridCol w:w="840"/>
        <w:gridCol w:w="1520"/>
      </w:tblGrid>
      <w:tr>
        <w:tblPrEx>
          <w:tblCellMar>
            <w:top w:w="0" w:type="dxa"/>
            <w:left w:w="108" w:type="dxa"/>
            <w:bottom w:w="0" w:type="dxa"/>
            <w:right w:w="108" w:type="dxa"/>
          </w:tblCellMar>
        </w:tblPrEx>
        <w:trPr>
          <w:trHeight w:val="255" w:hRule="atLeast"/>
        </w:trPr>
        <w:tc>
          <w:tcPr>
            <w:tcW w:w="3200" w:type="dxa"/>
            <w:gridSpan w:val="5"/>
            <w:tcBorders>
              <w:top w:val="nil"/>
              <w:left w:val="nil"/>
              <w:bottom w:val="nil"/>
              <w:right w:val="nil"/>
            </w:tcBorders>
            <w:shd w:val="clear" w:color="000000" w:fill="FFFFFF"/>
            <w:vAlign w:val="bottom"/>
          </w:tcPr>
          <w:p>
            <w:pPr>
              <w:widowControl/>
              <w:jc w:val="center"/>
              <w:rPr>
                <w:rFonts w:ascii="Arial" w:hAnsi="Arial" w:cs="Arial"/>
                <w:kern w:val="0"/>
                <w:sz w:val="15"/>
                <w:szCs w:val="15"/>
              </w:rPr>
            </w:pPr>
            <w:r>
              <w:rPr>
                <w:rFonts w:hint="eastAsia" w:ascii="Arial" w:hAnsi="Arial" w:cs="Arial"/>
                <w:kern w:val="0"/>
                <w:sz w:val="15"/>
                <w:szCs w:val="15"/>
              </w:rPr>
              <w:t>　</w:t>
            </w:r>
          </w:p>
        </w:tc>
        <w:tc>
          <w:tcPr>
            <w:tcW w:w="1815" w:type="dxa"/>
            <w:gridSpan w:val="3"/>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1520" w:type="dxa"/>
            <w:gridSpan w:val="2"/>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3040" w:type="dxa"/>
            <w:gridSpan w:val="3"/>
            <w:tcBorders>
              <w:top w:val="nil"/>
              <w:left w:val="nil"/>
              <w:bottom w:val="nil"/>
              <w:right w:val="nil"/>
            </w:tcBorders>
            <w:shd w:val="clear" w:color="000000" w:fill="FFFFFF"/>
            <w:vAlign w:val="bottom"/>
          </w:tcPr>
          <w:p>
            <w:pPr>
              <w:widowControl/>
              <w:jc w:val="right"/>
              <w:rPr>
                <w:rFonts w:ascii="宋体" w:cs="Arial"/>
                <w:kern w:val="0"/>
                <w:sz w:val="15"/>
                <w:szCs w:val="15"/>
              </w:rPr>
            </w:pPr>
            <w:r>
              <w:rPr>
                <w:rFonts w:hint="eastAsia" w:ascii="宋体" w:hAnsi="宋体" w:cs="Arial"/>
                <w:kern w:val="0"/>
                <w:sz w:val="15"/>
                <w:szCs w:val="15"/>
              </w:rPr>
              <w:t>公开</w:t>
            </w:r>
            <w:r>
              <w:rPr>
                <w:rFonts w:ascii="宋体" w:hAnsi="宋体" w:cs="Arial"/>
                <w:kern w:val="0"/>
                <w:sz w:val="15"/>
                <w:szCs w:val="15"/>
              </w:rPr>
              <w:t>05</w:t>
            </w:r>
            <w:r>
              <w:rPr>
                <w:rFonts w:hint="eastAsia" w:ascii="宋体" w:hAnsi="宋体" w:cs="Arial"/>
                <w:kern w:val="0"/>
                <w:sz w:val="15"/>
                <w:szCs w:val="15"/>
              </w:rPr>
              <w:t>表</w:t>
            </w:r>
          </w:p>
        </w:tc>
      </w:tr>
      <w:tr>
        <w:tblPrEx>
          <w:tblCellMar>
            <w:top w:w="0" w:type="dxa"/>
            <w:left w:w="108" w:type="dxa"/>
            <w:bottom w:w="0" w:type="dxa"/>
            <w:right w:w="108" w:type="dxa"/>
          </w:tblCellMar>
        </w:tblPrEx>
        <w:trPr>
          <w:trHeight w:val="270" w:hRule="atLeast"/>
        </w:trPr>
        <w:tc>
          <w:tcPr>
            <w:tcW w:w="3200" w:type="dxa"/>
            <w:gridSpan w:val="5"/>
            <w:tcBorders>
              <w:top w:val="nil"/>
              <w:left w:val="nil"/>
              <w:bottom w:val="single" w:color="000000" w:sz="8" w:space="0"/>
              <w:right w:val="nil"/>
            </w:tcBorders>
            <w:shd w:val="clear" w:color="000000" w:fill="FFFFFF"/>
            <w:vAlign w:val="bottom"/>
          </w:tcPr>
          <w:p>
            <w:pPr>
              <w:widowControl/>
              <w:jc w:val="left"/>
              <w:rPr>
                <w:rFonts w:ascii="宋体" w:cs="Arial"/>
                <w:kern w:val="0"/>
                <w:sz w:val="15"/>
                <w:szCs w:val="15"/>
              </w:rPr>
            </w:pPr>
            <w:r>
              <w:rPr>
                <w:rFonts w:hint="eastAsia" w:ascii="宋体" w:hAnsi="宋体" w:cs="Arial"/>
                <w:kern w:val="0"/>
                <w:sz w:val="15"/>
                <w:szCs w:val="15"/>
              </w:rPr>
              <w:t>部门：</w:t>
            </w:r>
          </w:p>
        </w:tc>
        <w:tc>
          <w:tcPr>
            <w:tcW w:w="1815" w:type="dxa"/>
            <w:gridSpan w:val="3"/>
            <w:tcBorders>
              <w:top w:val="nil"/>
              <w:left w:val="nil"/>
              <w:bottom w:val="nil"/>
              <w:right w:val="nil"/>
            </w:tcBorders>
            <w:shd w:val="clear" w:color="000000" w:fill="FFFFFF"/>
            <w:vAlign w:val="bottom"/>
          </w:tcPr>
          <w:p>
            <w:pPr>
              <w:widowControl/>
              <w:jc w:val="center"/>
              <w:rPr>
                <w:rFonts w:ascii="宋体" w:cs="Arial"/>
                <w:kern w:val="0"/>
                <w:sz w:val="15"/>
                <w:szCs w:val="15"/>
              </w:rPr>
            </w:pPr>
            <w:r>
              <w:rPr>
                <w:rFonts w:hint="eastAsia" w:ascii="宋体" w:hAnsi="宋体" w:cs="Arial"/>
                <w:kern w:val="0"/>
                <w:sz w:val="15"/>
                <w:szCs w:val="15"/>
              </w:rPr>
              <w:t>　</w:t>
            </w:r>
          </w:p>
        </w:tc>
        <w:tc>
          <w:tcPr>
            <w:tcW w:w="1520" w:type="dxa"/>
            <w:gridSpan w:val="2"/>
            <w:tcBorders>
              <w:top w:val="nil"/>
              <w:left w:val="nil"/>
              <w:bottom w:val="nil"/>
              <w:right w:val="nil"/>
            </w:tcBorders>
            <w:shd w:val="clear" w:color="000000" w:fill="FFFFFF"/>
            <w:vAlign w:val="bottom"/>
          </w:tcPr>
          <w:p>
            <w:pPr>
              <w:widowControl/>
              <w:jc w:val="left"/>
              <w:rPr>
                <w:rFonts w:ascii="Arial" w:hAnsi="Arial" w:cs="Arial"/>
                <w:kern w:val="0"/>
                <w:sz w:val="15"/>
                <w:szCs w:val="15"/>
              </w:rPr>
            </w:pPr>
            <w:r>
              <w:rPr>
                <w:rFonts w:hint="eastAsia" w:ascii="Arial" w:hAnsi="Arial" w:cs="Arial"/>
                <w:kern w:val="0"/>
                <w:sz w:val="15"/>
                <w:szCs w:val="15"/>
              </w:rPr>
              <w:t>　</w:t>
            </w:r>
          </w:p>
        </w:tc>
        <w:tc>
          <w:tcPr>
            <w:tcW w:w="3040" w:type="dxa"/>
            <w:gridSpan w:val="3"/>
            <w:tcBorders>
              <w:top w:val="nil"/>
              <w:left w:val="nil"/>
              <w:bottom w:val="single" w:color="000000" w:sz="8" w:space="0"/>
              <w:right w:val="nil"/>
            </w:tcBorders>
            <w:shd w:val="clear" w:color="000000" w:fill="FFFFFF"/>
            <w:vAlign w:val="bottom"/>
          </w:tcPr>
          <w:p>
            <w:pPr>
              <w:widowControl/>
              <w:jc w:val="right"/>
              <w:rPr>
                <w:rFonts w:ascii="宋体" w:cs="Arial"/>
                <w:kern w:val="0"/>
                <w:sz w:val="15"/>
                <w:szCs w:val="15"/>
              </w:rPr>
            </w:pPr>
            <w:r>
              <w:rPr>
                <w:rFonts w:hint="eastAsia" w:ascii="宋体" w:hAnsi="宋体" w:cs="Arial"/>
                <w:kern w:val="0"/>
                <w:sz w:val="15"/>
                <w:szCs w:val="15"/>
              </w:rPr>
              <w:t>金额单位：万元</w:t>
            </w:r>
          </w:p>
        </w:tc>
      </w:tr>
      <w:tr>
        <w:tblPrEx>
          <w:tblCellMar>
            <w:top w:w="0" w:type="dxa"/>
            <w:left w:w="108" w:type="dxa"/>
            <w:bottom w:w="0" w:type="dxa"/>
            <w:right w:w="108" w:type="dxa"/>
          </w:tblCellMar>
        </w:tblPrEx>
        <w:trPr>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项目</w:t>
            </w:r>
          </w:p>
        </w:tc>
        <w:tc>
          <w:tcPr>
            <w:tcW w:w="1815"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备注</w:t>
            </w:r>
          </w:p>
        </w:tc>
      </w:tr>
      <w:tr>
        <w:tblPrEx>
          <w:tblCellMar>
            <w:top w:w="0" w:type="dxa"/>
            <w:left w:w="108" w:type="dxa"/>
            <w:bottom w:w="0" w:type="dxa"/>
            <w:right w:w="108" w:type="dxa"/>
          </w:tblCellMar>
        </w:tblPrEx>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科目名称</w:t>
            </w:r>
          </w:p>
        </w:tc>
        <w:tc>
          <w:tcPr>
            <w:tcW w:w="1815"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15"/>
                <w:szCs w:val="15"/>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815"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15"/>
                <w:szCs w:val="15"/>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815"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r>
      <w:tr>
        <w:tblPrEx>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类</w:t>
            </w:r>
          </w:p>
        </w:tc>
        <w:tc>
          <w:tcPr>
            <w:tcW w:w="48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款</w:t>
            </w:r>
          </w:p>
        </w:tc>
        <w:tc>
          <w:tcPr>
            <w:tcW w:w="48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项</w:t>
            </w: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栏次</w:t>
            </w:r>
          </w:p>
        </w:tc>
        <w:tc>
          <w:tcPr>
            <w:tcW w:w="1815"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ascii="宋体" w:hAnsi="宋体" w:cs="Arial"/>
                <w:kern w:val="0"/>
                <w:sz w:val="15"/>
                <w:szCs w:val="15"/>
              </w:rPr>
              <w:t>4</w:t>
            </w:r>
          </w:p>
        </w:tc>
      </w:tr>
      <w:tr>
        <w:tblPrEx>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5"/>
                <w:szCs w:val="15"/>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15"/>
                <w:szCs w:val="15"/>
              </w:rPr>
            </w:pP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合计</w:t>
            </w: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r>
              <w:rPr>
                <w:sz w:val="15"/>
                <w:szCs w:val="15"/>
              </w:rPr>
              <w:t>2,188.73</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1,028.69</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1,160.04</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201</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rFonts w:hint="eastAsia"/>
                <w:sz w:val="15"/>
                <w:szCs w:val="15"/>
              </w:rPr>
              <w:t>一般公共服务支出</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1,940.25</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20129</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rFonts w:hint="eastAsia"/>
                <w:sz w:val="15"/>
                <w:szCs w:val="15"/>
              </w:rPr>
              <w:t>群众团体事务</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1,940.25</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2012901</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 xml:space="preserve">  </w:t>
            </w:r>
            <w:r>
              <w:rPr>
                <w:rFonts w:hint="eastAsia"/>
                <w:sz w:val="15"/>
                <w:szCs w:val="15"/>
              </w:rPr>
              <w:t>行政运行</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461.21</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2012902</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 xml:space="preserve">  </w:t>
            </w:r>
            <w:r>
              <w:rPr>
                <w:rFonts w:hint="eastAsia"/>
                <w:sz w:val="15"/>
                <w:szCs w:val="15"/>
              </w:rPr>
              <w:t>一般行政管理事务</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248.57</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2012950</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 xml:space="preserve">  </w:t>
            </w:r>
            <w:r>
              <w:rPr>
                <w:rFonts w:hint="eastAsia"/>
                <w:sz w:val="15"/>
                <w:szCs w:val="15"/>
              </w:rPr>
              <w:t>事业运行</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319.00</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2012999</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 xml:space="preserve">  </w:t>
            </w:r>
            <w:r>
              <w:rPr>
                <w:rFonts w:hint="eastAsia"/>
                <w:sz w:val="15"/>
                <w:szCs w:val="15"/>
              </w:rPr>
              <w:t>其他群众团体事务支出</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911.47</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208</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rFonts w:hint="eastAsia"/>
                <w:sz w:val="15"/>
                <w:szCs w:val="15"/>
              </w:rPr>
              <w:t>社会保障和就业支出</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144.12</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20805</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rFonts w:hint="eastAsia"/>
                <w:sz w:val="15"/>
                <w:szCs w:val="15"/>
              </w:rPr>
              <w:t>行政事业单位离退休</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144.12</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2080504</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 xml:space="preserve">  </w:t>
            </w:r>
            <w:r>
              <w:rPr>
                <w:rFonts w:hint="eastAsia"/>
                <w:sz w:val="15"/>
                <w:szCs w:val="15"/>
              </w:rPr>
              <w:t>未归口管理的行政单位离退休</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58.10</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2080505</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 xml:space="preserve">  </w:t>
            </w:r>
            <w:r>
              <w:rPr>
                <w:rFonts w:hint="eastAsia"/>
                <w:sz w:val="15"/>
                <w:szCs w:val="15"/>
              </w:rPr>
              <w:t>机关事业单位基本养老保险缴费支出</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23.74</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2080506</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 xml:space="preserve">  </w:t>
            </w:r>
            <w:r>
              <w:rPr>
                <w:rFonts w:hint="eastAsia"/>
                <w:sz w:val="15"/>
                <w:szCs w:val="15"/>
              </w:rPr>
              <w:t>机关事业单位职业年金缴费支出</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62.27</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210</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rFonts w:hint="eastAsia"/>
                <w:sz w:val="15"/>
                <w:szCs w:val="15"/>
              </w:rPr>
              <w:t>医疗卫生与计划生育支出</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41.00</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21005</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rFonts w:hint="eastAsia"/>
                <w:sz w:val="15"/>
                <w:szCs w:val="15"/>
              </w:rPr>
              <w:t>医疗保障</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41.00</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2100501</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 xml:space="preserve">  </w:t>
            </w:r>
            <w:r>
              <w:rPr>
                <w:rFonts w:hint="eastAsia"/>
                <w:sz w:val="15"/>
                <w:szCs w:val="15"/>
              </w:rPr>
              <w:t>行政单位医疗</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26.69</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2100502</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 xml:space="preserve">  </w:t>
            </w:r>
            <w:r>
              <w:rPr>
                <w:rFonts w:hint="eastAsia"/>
                <w:sz w:val="15"/>
                <w:szCs w:val="15"/>
              </w:rPr>
              <w:t>事业单位医疗</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14.31</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221</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rFonts w:hint="eastAsia"/>
                <w:sz w:val="15"/>
                <w:szCs w:val="15"/>
              </w:rPr>
              <w:t>住房保障支出</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63.36</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22102</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rFonts w:hint="eastAsia"/>
                <w:sz w:val="15"/>
                <w:szCs w:val="15"/>
              </w:rPr>
              <w:t>住房改革支出</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63.36</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tcPr>
          <w:p>
            <w:pPr>
              <w:rPr>
                <w:sz w:val="15"/>
                <w:szCs w:val="15"/>
              </w:rPr>
            </w:pPr>
            <w:r>
              <w:rPr>
                <w:sz w:val="15"/>
                <w:szCs w:val="15"/>
              </w:rPr>
              <w:t>2210201</w:t>
            </w:r>
          </w:p>
        </w:tc>
        <w:tc>
          <w:tcPr>
            <w:tcW w:w="1754" w:type="dxa"/>
            <w:tcBorders>
              <w:top w:val="nil"/>
              <w:left w:val="nil"/>
              <w:bottom w:val="single" w:color="000000" w:sz="4"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4"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 xml:space="preserve">  </w:t>
            </w:r>
            <w:r>
              <w:rPr>
                <w:rFonts w:hint="eastAsia"/>
                <w:sz w:val="15"/>
                <w:szCs w:val="15"/>
              </w:rPr>
              <w:t>住房公积金</w:t>
            </w:r>
          </w:p>
        </w:tc>
        <w:tc>
          <w:tcPr>
            <w:tcW w:w="1520" w:type="dxa"/>
            <w:gridSpan w:val="2"/>
            <w:tcBorders>
              <w:top w:val="nil"/>
              <w:left w:val="nil"/>
              <w:bottom w:val="single" w:color="000000" w:sz="4" w:space="0"/>
              <w:right w:val="single" w:color="000000" w:sz="4" w:space="0"/>
            </w:tcBorders>
            <w:shd w:val="clear" w:color="000000" w:fill="FFFFFF"/>
          </w:tcPr>
          <w:p>
            <w:pPr>
              <w:rPr>
                <w:sz w:val="15"/>
                <w:szCs w:val="15"/>
              </w:rPr>
            </w:pPr>
            <w:r>
              <w:rPr>
                <w:sz w:val="15"/>
                <w:szCs w:val="15"/>
              </w:rPr>
              <w:t>55.36</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5"/>
                <w:szCs w:val="15"/>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tcPr>
          <w:p>
            <w:pPr>
              <w:rPr>
                <w:sz w:val="15"/>
                <w:szCs w:val="15"/>
              </w:rPr>
            </w:pPr>
            <w:r>
              <w:rPr>
                <w:sz w:val="15"/>
                <w:szCs w:val="15"/>
              </w:rPr>
              <w:t>2210203</w:t>
            </w:r>
          </w:p>
        </w:tc>
        <w:tc>
          <w:tcPr>
            <w:tcW w:w="1754" w:type="dxa"/>
            <w:tcBorders>
              <w:top w:val="nil"/>
              <w:left w:val="nil"/>
              <w:bottom w:val="single" w:color="000000" w:sz="8" w:space="0"/>
              <w:right w:val="single" w:color="000000" w:sz="4" w:space="0"/>
            </w:tcBorders>
            <w:shd w:val="clear" w:color="000000" w:fill="FFFFFF"/>
          </w:tcPr>
          <w:p>
            <w:pPr>
              <w:rPr>
                <w:sz w:val="15"/>
                <w:szCs w:val="15"/>
              </w:rPr>
            </w:pPr>
          </w:p>
        </w:tc>
        <w:tc>
          <w:tcPr>
            <w:tcW w:w="1815" w:type="dxa"/>
            <w:gridSpan w:val="3"/>
            <w:tcBorders>
              <w:top w:val="nil"/>
              <w:left w:val="nil"/>
              <w:bottom w:val="single" w:color="000000" w:sz="8" w:space="0"/>
              <w:right w:val="single" w:color="000000" w:sz="4" w:space="0"/>
            </w:tcBorders>
            <w:shd w:val="clear" w:color="000000" w:fill="FFFFFF"/>
          </w:tcPr>
          <w:p>
            <w:pPr>
              <w:rPr>
                <w:sz w:val="15"/>
                <w:szCs w:val="15"/>
              </w:rPr>
            </w:pPr>
          </w:p>
        </w:tc>
        <w:tc>
          <w:tcPr>
            <w:tcW w:w="1520" w:type="dxa"/>
            <w:gridSpan w:val="2"/>
            <w:tcBorders>
              <w:top w:val="nil"/>
              <w:left w:val="nil"/>
              <w:bottom w:val="single" w:color="000000" w:sz="8" w:space="0"/>
              <w:right w:val="single" w:color="000000" w:sz="4" w:space="0"/>
            </w:tcBorders>
            <w:shd w:val="clear" w:color="000000" w:fill="FFFFFF"/>
          </w:tcPr>
          <w:p>
            <w:pPr>
              <w:rPr>
                <w:sz w:val="15"/>
                <w:szCs w:val="15"/>
              </w:rPr>
            </w:pPr>
            <w:r>
              <w:rPr>
                <w:sz w:val="15"/>
                <w:szCs w:val="15"/>
              </w:rPr>
              <w:t xml:space="preserve">  </w:t>
            </w:r>
            <w:r>
              <w:rPr>
                <w:rFonts w:hint="eastAsia"/>
                <w:sz w:val="15"/>
                <w:szCs w:val="15"/>
              </w:rPr>
              <w:t>购房补贴</w:t>
            </w:r>
          </w:p>
        </w:tc>
        <w:tc>
          <w:tcPr>
            <w:tcW w:w="1520" w:type="dxa"/>
            <w:gridSpan w:val="2"/>
            <w:tcBorders>
              <w:top w:val="nil"/>
              <w:left w:val="nil"/>
              <w:bottom w:val="single" w:color="000000" w:sz="8" w:space="0"/>
              <w:right w:val="single" w:color="000000" w:sz="4" w:space="0"/>
            </w:tcBorders>
            <w:shd w:val="clear" w:color="000000" w:fill="FFFFFF"/>
          </w:tcPr>
          <w:p>
            <w:pPr>
              <w:rPr>
                <w:sz w:val="15"/>
                <w:szCs w:val="15"/>
              </w:rPr>
            </w:pPr>
            <w:r>
              <w:rPr>
                <w:sz w:val="15"/>
                <w:szCs w:val="15"/>
              </w:rPr>
              <w:t>8.00</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kern w:val="0"/>
                <w:sz w:val="15"/>
                <w:szCs w:val="15"/>
              </w:rPr>
            </w:pPr>
            <w:r>
              <w:rPr>
                <w:rFonts w:hint="eastAsia" w:ascii="宋体" w:hAnsi="宋体" w:cs="Arial"/>
                <w:kern w:val="0"/>
                <w:sz w:val="15"/>
                <w:szCs w:val="15"/>
              </w:rPr>
              <w:t>　</w:t>
            </w:r>
          </w:p>
        </w:tc>
      </w:tr>
      <w:tr>
        <w:tblPrEx>
          <w:tblCellMar>
            <w:top w:w="0" w:type="dxa"/>
            <w:left w:w="108" w:type="dxa"/>
            <w:bottom w:w="0" w:type="dxa"/>
            <w:right w:w="108" w:type="dxa"/>
          </w:tblCellMar>
        </w:tblPrEx>
        <w:trPr>
          <w:trHeight w:val="540" w:hRule="atLeast"/>
        </w:trPr>
        <w:tc>
          <w:tcPr>
            <w:tcW w:w="9575" w:type="dxa"/>
            <w:gridSpan w:val="13"/>
            <w:tcBorders>
              <w:top w:val="nil"/>
              <w:left w:val="nil"/>
              <w:bottom w:val="nil"/>
              <w:right w:val="nil"/>
            </w:tcBorders>
            <w:vAlign w:val="bottom"/>
          </w:tcPr>
          <w:p>
            <w:pPr>
              <w:widowControl/>
              <w:jc w:val="center"/>
              <w:rPr>
                <w:rFonts w:ascii="??" w:hAnsi="Times New Roman" w:eastAsia="Times New Roman" w:cs="??"/>
                <w:b/>
                <w:sz w:val="32"/>
                <w:szCs w:val="32"/>
              </w:rPr>
            </w:pPr>
          </w:p>
          <w:p>
            <w:pPr>
              <w:widowControl/>
              <w:jc w:val="center"/>
              <w:rPr>
                <w:rFonts w:ascii="??" w:hAnsi="Times New Roman" w:eastAsia="Times New Roman" w:cs="??"/>
                <w:b/>
                <w:sz w:val="32"/>
                <w:szCs w:val="32"/>
              </w:rPr>
            </w:pPr>
            <w:r>
              <w:rPr>
                <w:rFonts w:ascii="??" w:hAnsi="Times New Roman" w:eastAsia="Times New Roman" w:cs="??"/>
                <w:b/>
                <w:sz w:val="32"/>
                <w:szCs w:val="32"/>
              </w:rPr>
              <w:t>2016年度部门一般公共预算基本支出决算表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nil"/>
              <w:right w:val="nil"/>
            </w:tcBorders>
            <w:vAlign w:val="bottom"/>
          </w:tcPr>
          <w:p>
            <w:pPr>
              <w:widowControl/>
              <w:jc w:val="left"/>
              <w:rPr>
                <w:rFonts w:ascii="Arial" w:hAnsi="Arial" w:cs="Arial"/>
                <w:kern w:val="0"/>
                <w:sz w:val="15"/>
                <w:szCs w:val="15"/>
              </w:rPr>
            </w:pPr>
          </w:p>
        </w:tc>
        <w:tc>
          <w:tcPr>
            <w:tcW w:w="2613" w:type="dxa"/>
            <w:gridSpan w:val="3"/>
            <w:tcBorders>
              <w:top w:val="nil"/>
              <w:left w:val="nil"/>
              <w:bottom w:val="nil"/>
              <w:right w:val="nil"/>
            </w:tcBorders>
            <w:vAlign w:val="bottom"/>
          </w:tcPr>
          <w:p>
            <w:pPr>
              <w:widowControl/>
              <w:jc w:val="left"/>
              <w:rPr>
                <w:rFonts w:ascii="Arial" w:hAnsi="Arial" w:cs="Arial"/>
                <w:kern w:val="0"/>
                <w:sz w:val="15"/>
                <w:szCs w:val="15"/>
              </w:rPr>
            </w:pPr>
          </w:p>
        </w:tc>
        <w:tc>
          <w:tcPr>
            <w:tcW w:w="802" w:type="dxa"/>
            <w:tcBorders>
              <w:top w:val="nil"/>
              <w:left w:val="nil"/>
              <w:bottom w:val="nil"/>
              <w:right w:val="nil"/>
            </w:tcBorders>
            <w:vAlign w:val="bottom"/>
          </w:tcPr>
          <w:p>
            <w:pPr>
              <w:widowControl/>
              <w:jc w:val="left"/>
              <w:rPr>
                <w:rFonts w:ascii="Arial" w:hAnsi="Arial" w:cs="Arial"/>
                <w:kern w:val="0"/>
                <w:sz w:val="15"/>
                <w:szCs w:val="15"/>
              </w:rPr>
            </w:pPr>
          </w:p>
        </w:tc>
        <w:tc>
          <w:tcPr>
            <w:tcW w:w="970" w:type="dxa"/>
            <w:gridSpan w:val="2"/>
            <w:tcBorders>
              <w:top w:val="nil"/>
              <w:left w:val="nil"/>
              <w:bottom w:val="nil"/>
              <w:right w:val="nil"/>
            </w:tcBorders>
            <w:vAlign w:val="bottom"/>
          </w:tcPr>
          <w:p>
            <w:pPr>
              <w:widowControl/>
              <w:jc w:val="left"/>
              <w:rPr>
                <w:rFonts w:ascii="Arial" w:hAnsi="Arial" w:cs="Arial"/>
                <w:kern w:val="0"/>
                <w:sz w:val="15"/>
                <w:szCs w:val="15"/>
              </w:rPr>
            </w:pPr>
          </w:p>
        </w:tc>
        <w:tc>
          <w:tcPr>
            <w:tcW w:w="1860" w:type="dxa"/>
            <w:gridSpan w:val="2"/>
            <w:tcBorders>
              <w:top w:val="nil"/>
              <w:left w:val="nil"/>
              <w:bottom w:val="nil"/>
              <w:right w:val="nil"/>
            </w:tcBorders>
            <w:vAlign w:val="bottom"/>
          </w:tcPr>
          <w:p>
            <w:pPr>
              <w:widowControl/>
              <w:jc w:val="left"/>
              <w:rPr>
                <w:rFonts w:ascii="Arial" w:hAnsi="Arial" w:cs="Arial"/>
                <w:kern w:val="0"/>
                <w:sz w:val="15"/>
                <w:szCs w:val="15"/>
              </w:rPr>
            </w:pPr>
          </w:p>
        </w:tc>
        <w:tc>
          <w:tcPr>
            <w:tcW w:w="2360" w:type="dxa"/>
            <w:gridSpan w:val="2"/>
            <w:tcBorders>
              <w:top w:val="nil"/>
              <w:left w:val="nil"/>
              <w:bottom w:val="nil"/>
              <w:right w:val="nil"/>
            </w:tcBorders>
            <w:vAlign w:val="bottom"/>
          </w:tcPr>
          <w:p>
            <w:pPr>
              <w:widowControl/>
              <w:jc w:val="right"/>
              <w:rPr>
                <w:rFonts w:ascii="宋体" w:cs="Arial"/>
                <w:kern w:val="0"/>
                <w:sz w:val="15"/>
                <w:szCs w:val="15"/>
              </w:rPr>
            </w:pPr>
            <w:r>
              <w:rPr>
                <w:rFonts w:hint="eastAsia" w:ascii="宋体" w:hAnsi="宋体" w:cs="Arial"/>
                <w:kern w:val="0"/>
                <w:sz w:val="15"/>
                <w:szCs w:val="15"/>
              </w:rPr>
              <w:t>公开</w:t>
            </w:r>
            <w:r>
              <w:rPr>
                <w:rFonts w:ascii="宋体" w:hAnsi="宋体" w:cs="Arial"/>
                <w:kern w:val="0"/>
                <w:sz w:val="15"/>
                <w:szCs w:val="15"/>
              </w:rPr>
              <w:t>06</w:t>
            </w:r>
            <w:r>
              <w:rPr>
                <w:rFonts w:hint="eastAsia" w:ascii="宋体" w:hAnsi="宋体" w:cs="Arial"/>
                <w:kern w:val="0"/>
                <w:sz w:val="15"/>
                <w:szCs w:val="15"/>
              </w:rPr>
              <w:t>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single" w:color="auto" w:sz="4" w:space="0"/>
              <w:right w:val="nil"/>
            </w:tcBorders>
            <w:vAlign w:val="bottom"/>
          </w:tcPr>
          <w:p>
            <w:pPr>
              <w:widowControl/>
              <w:jc w:val="left"/>
              <w:rPr>
                <w:rFonts w:ascii="宋体" w:cs="Arial"/>
                <w:kern w:val="0"/>
                <w:sz w:val="15"/>
                <w:szCs w:val="15"/>
              </w:rPr>
            </w:pPr>
            <w:r>
              <w:rPr>
                <w:rFonts w:hint="eastAsia" w:ascii="宋体" w:hAnsi="宋体" w:cs="Arial"/>
                <w:kern w:val="0"/>
                <w:sz w:val="15"/>
                <w:szCs w:val="15"/>
              </w:rPr>
              <w:t>部门：</w:t>
            </w:r>
          </w:p>
        </w:tc>
        <w:tc>
          <w:tcPr>
            <w:tcW w:w="2613" w:type="dxa"/>
            <w:gridSpan w:val="3"/>
            <w:tcBorders>
              <w:top w:val="nil"/>
              <w:left w:val="nil"/>
              <w:bottom w:val="single" w:color="auto" w:sz="4" w:space="0"/>
              <w:right w:val="nil"/>
            </w:tcBorders>
            <w:vAlign w:val="bottom"/>
          </w:tcPr>
          <w:p>
            <w:pPr>
              <w:widowControl/>
              <w:jc w:val="left"/>
              <w:rPr>
                <w:rFonts w:ascii="Arial" w:hAnsi="Arial" w:cs="Arial"/>
                <w:kern w:val="0"/>
                <w:sz w:val="15"/>
                <w:szCs w:val="15"/>
              </w:rPr>
            </w:pPr>
          </w:p>
        </w:tc>
        <w:tc>
          <w:tcPr>
            <w:tcW w:w="802" w:type="dxa"/>
            <w:tcBorders>
              <w:top w:val="nil"/>
              <w:left w:val="nil"/>
              <w:bottom w:val="single" w:color="auto" w:sz="4" w:space="0"/>
              <w:right w:val="nil"/>
            </w:tcBorders>
            <w:vAlign w:val="bottom"/>
          </w:tcPr>
          <w:p>
            <w:pPr>
              <w:widowControl/>
              <w:jc w:val="left"/>
              <w:rPr>
                <w:rFonts w:ascii="Arial" w:hAnsi="Arial" w:cs="Arial"/>
                <w:kern w:val="0"/>
                <w:sz w:val="15"/>
                <w:szCs w:val="15"/>
              </w:rPr>
            </w:pPr>
          </w:p>
        </w:tc>
        <w:tc>
          <w:tcPr>
            <w:tcW w:w="970" w:type="dxa"/>
            <w:gridSpan w:val="2"/>
            <w:tcBorders>
              <w:top w:val="nil"/>
              <w:left w:val="nil"/>
              <w:bottom w:val="single" w:color="auto" w:sz="4" w:space="0"/>
              <w:right w:val="nil"/>
            </w:tcBorders>
            <w:vAlign w:val="bottom"/>
          </w:tcPr>
          <w:p>
            <w:pPr>
              <w:widowControl/>
              <w:jc w:val="left"/>
              <w:rPr>
                <w:rFonts w:ascii="Arial" w:hAnsi="Arial" w:cs="Arial"/>
                <w:kern w:val="0"/>
                <w:sz w:val="15"/>
                <w:szCs w:val="15"/>
              </w:rPr>
            </w:pPr>
          </w:p>
        </w:tc>
        <w:tc>
          <w:tcPr>
            <w:tcW w:w="1860" w:type="dxa"/>
            <w:gridSpan w:val="2"/>
            <w:tcBorders>
              <w:top w:val="nil"/>
              <w:left w:val="nil"/>
              <w:bottom w:val="single" w:color="auto" w:sz="4" w:space="0"/>
              <w:right w:val="nil"/>
            </w:tcBorders>
            <w:vAlign w:val="bottom"/>
          </w:tcPr>
          <w:p>
            <w:pPr>
              <w:widowControl/>
              <w:jc w:val="left"/>
              <w:rPr>
                <w:rFonts w:ascii="Arial" w:hAnsi="Arial" w:cs="Arial"/>
                <w:kern w:val="0"/>
                <w:sz w:val="15"/>
                <w:szCs w:val="15"/>
              </w:rPr>
            </w:pPr>
          </w:p>
        </w:tc>
        <w:tc>
          <w:tcPr>
            <w:tcW w:w="2360" w:type="dxa"/>
            <w:gridSpan w:val="2"/>
            <w:tcBorders>
              <w:top w:val="nil"/>
              <w:left w:val="nil"/>
              <w:bottom w:val="single" w:color="auto" w:sz="4" w:space="0"/>
              <w:right w:val="nil"/>
            </w:tcBorders>
            <w:vAlign w:val="bottom"/>
          </w:tcPr>
          <w:p>
            <w:pPr>
              <w:widowControl/>
              <w:jc w:val="right"/>
              <w:rPr>
                <w:rFonts w:ascii="宋体" w:cs="Arial"/>
                <w:kern w:val="0"/>
                <w:sz w:val="15"/>
                <w:szCs w:val="15"/>
              </w:rPr>
            </w:pPr>
            <w:r>
              <w:rPr>
                <w:rFonts w:hint="eastAsia" w:ascii="宋体" w:hAnsi="宋体" w:cs="Arial"/>
                <w:kern w:val="0"/>
                <w:sz w:val="15"/>
                <w:szCs w:val="15"/>
              </w:rPr>
              <w:t>金额单位：万元</w:t>
            </w:r>
          </w:p>
        </w:tc>
      </w:tr>
      <w:tr>
        <w:tblPrEx>
          <w:tblCellMar>
            <w:top w:w="0" w:type="dxa"/>
            <w:left w:w="108" w:type="dxa"/>
            <w:bottom w:w="0" w:type="dxa"/>
            <w:right w:w="108" w:type="dxa"/>
          </w:tblCellMar>
        </w:tblPrEx>
        <w:trPr>
          <w:trHeight w:val="308" w:hRule="atLeast"/>
        </w:trPr>
        <w:tc>
          <w:tcPr>
            <w:tcW w:w="4385" w:type="dxa"/>
            <w:gridSpan w:val="7"/>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人员经费</w:t>
            </w:r>
          </w:p>
        </w:tc>
        <w:tc>
          <w:tcPr>
            <w:tcW w:w="519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公用经费</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科目编码</w:t>
            </w:r>
          </w:p>
        </w:tc>
        <w:tc>
          <w:tcPr>
            <w:tcW w:w="2613"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科目名称</w:t>
            </w:r>
          </w:p>
        </w:tc>
        <w:tc>
          <w:tcPr>
            <w:tcW w:w="80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金额</w:t>
            </w: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科目编码</w:t>
            </w:r>
          </w:p>
        </w:tc>
        <w:tc>
          <w:tcPr>
            <w:tcW w:w="186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科目名称</w:t>
            </w:r>
          </w:p>
        </w:tc>
        <w:tc>
          <w:tcPr>
            <w:tcW w:w="236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kern w:val="0"/>
                <w:sz w:val="15"/>
                <w:szCs w:val="15"/>
              </w:rPr>
            </w:pPr>
            <w:r>
              <w:rPr>
                <w:rFonts w:hint="eastAsia" w:ascii="宋体" w:hAnsi="宋体" w:cs="Arial"/>
                <w:kern w:val="0"/>
                <w:sz w:val="15"/>
                <w:szCs w:val="15"/>
              </w:rPr>
              <w:t>金额</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301</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工资福利支出</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726.46</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商品和服务支出</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135.10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30101</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基本工资</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128.91</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30201</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办公费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10.28</w:t>
            </w:r>
          </w:p>
        </w:tc>
      </w:tr>
      <w:tr>
        <w:tblPrEx>
          <w:tblCellMar>
            <w:top w:w="0" w:type="dxa"/>
            <w:left w:w="108" w:type="dxa"/>
            <w:bottom w:w="0" w:type="dxa"/>
            <w:right w:w="108" w:type="dxa"/>
          </w:tblCellMar>
        </w:tblPrEx>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30102</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津贴补贴</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132.00</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30202</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印刷费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1.72</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30103</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奖金</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83.24</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30203</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咨询费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0.15</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30104</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其他社会保障缴费</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52.52</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30204</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手续费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0.37</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30106</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伙食补助费</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9.86</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30205</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水费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30107</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绩效工资</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186.08</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30206</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电费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30108</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机关事业单位基本养老保险缴费</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26.13</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30207</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邮电费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4.72</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30109</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职业年金缴费</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62.27</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30208</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取暖费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30199</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其他工资福利支出</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45.44</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30209</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物业管理费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对个人和家庭的补助</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162.95</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30211</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差旅费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11.27</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30301</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离休费</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30.92</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30212</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因公出国（境）费用</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3.19</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30302</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退休费</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27.66</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30213</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维修</w:t>
            </w:r>
            <w:r>
              <w:rPr>
                <w:sz w:val="15"/>
                <w:szCs w:val="15"/>
              </w:rPr>
              <w:t>(</w:t>
            </w:r>
            <w:r>
              <w:rPr>
                <w:rFonts w:hint="eastAsia"/>
                <w:sz w:val="15"/>
                <w:szCs w:val="15"/>
              </w:rPr>
              <w:t>护</w:t>
            </w:r>
            <w:r>
              <w:rPr>
                <w:sz w:val="15"/>
                <w:szCs w:val="15"/>
              </w:rPr>
              <w:t>)</w:t>
            </w:r>
            <w:r>
              <w:rPr>
                <w:rFonts w:hint="eastAsia"/>
                <w:sz w:val="15"/>
                <w:szCs w:val="15"/>
              </w:rPr>
              <w:t>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30303</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退职（役）费</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30214</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租赁费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30304</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抚恤金</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30215</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会议费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0.95</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30305</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生活补助</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30216</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培训费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6.69</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30306</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救济费</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30217</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公务接待费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1.38</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30307</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医疗费</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41.00</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30218</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专用材料费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30308</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助学金</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30224</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被装购置费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30309</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奖励金</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30225</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专用燃料费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30310</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生产补贴</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30226</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劳务费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25.36</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30311</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住房公积金</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55.36</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30227</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委托业务费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1.10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30312</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提租补贴</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30228</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工会经费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3.17</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30313</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购房补贴</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8.00</w:t>
            </w: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30229</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福利费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7.04</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30314</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采暖补贴</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30231</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公务用车运行维护费</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30315</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物业服务补贴</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30239</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其他交通费用</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37.77</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30399</w:t>
            </w: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其他对个人和家庭的补助支出</w:t>
            </w: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30240</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税金及附加费用</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30299</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其他商品和服务支出</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19.95</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304</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对事业单位的补贴</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30401</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企业政策性补贴</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30402</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事业单位补贴</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30403</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财政贴息</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30499</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其他对企事业单位的补贴</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其他资本性支出</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4.18</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31001</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房屋建筑物购建</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31002</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办公设备购置</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2.44</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31003</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专用设备购置</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31005</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基础设施建设</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31006</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大型修缮</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31007</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信息网络及软件购置更新</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1.74</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31008</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物资储备</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31009</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土地补偿</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31010</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安置补助</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31011</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地上附着物和青苗补偿</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31012</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拆迁补偿</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31013</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公务用车购置</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31019</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其他交通工具购置</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31099</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其他资本性支出</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399</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其他支出</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2613" w:type="dxa"/>
            <w:gridSpan w:val="3"/>
            <w:tcBorders>
              <w:top w:val="single" w:color="auto" w:sz="4" w:space="0"/>
              <w:left w:val="single" w:color="auto" w:sz="4" w:space="0"/>
              <w:bottom w:val="single" w:color="auto" w:sz="4" w:space="0"/>
              <w:right w:val="single" w:color="auto" w:sz="4" w:space="0"/>
            </w:tcBorders>
          </w:tcPr>
          <w:p>
            <w:pPr>
              <w:rPr>
                <w:sz w:val="15"/>
                <w:szCs w:val="15"/>
              </w:rPr>
            </w:pPr>
          </w:p>
        </w:tc>
        <w:tc>
          <w:tcPr>
            <w:tcW w:w="802" w:type="dxa"/>
            <w:tcBorders>
              <w:top w:val="single" w:color="auto" w:sz="4" w:space="0"/>
              <w:left w:val="single" w:color="auto" w:sz="4" w:space="0"/>
              <w:bottom w:val="single" w:color="auto" w:sz="4" w:space="0"/>
              <w:right w:val="single" w:color="auto" w:sz="4" w:space="0"/>
            </w:tcBorders>
          </w:tcPr>
          <w:p>
            <w:pPr>
              <w:rPr>
                <w:sz w:val="15"/>
                <w:szCs w:val="15"/>
              </w:rPr>
            </w:pPr>
          </w:p>
        </w:tc>
        <w:tc>
          <w:tcPr>
            <w:tcW w:w="970" w:type="dxa"/>
            <w:gridSpan w:val="2"/>
            <w:tcBorders>
              <w:top w:val="single" w:color="auto" w:sz="4" w:space="0"/>
              <w:left w:val="single" w:color="auto" w:sz="4" w:space="0"/>
              <w:bottom w:val="single" w:color="auto" w:sz="4" w:space="0"/>
              <w:right w:val="single" w:color="auto" w:sz="4" w:space="0"/>
            </w:tcBorders>
          </w:tcPr>
          <w:p>
            <w:pPr>
              <w:rPr>
                <w:sz w:val="15"/>
                <w:szCs w:val="15"/>
              </w:rPr>
            </w:pPr>
            <w:r>
              <w:rPr>
                <w:sz w:val="15"/>
                <w:szCs w:val="15"/>
              </w:rPr>
              <w:t>39906</w:t>
            </w:r>
          </w:p>
        </w:tc>
        <w:tc>
          <w:tcPr>
            <w:tcW w:w="1860" w:type="dxa"/>
            <w:gridSpan w:val="2"/>
            <w:tcBorders>
              <w:top w:val="single" w:color="auto" w:sz="4" w:space="0"/>
              <w:left w:val="single" w:color="auto" w:sz="4" w:space="0"/>
              <w:bottom w:val="single" w:color="auto" w:sz="4" w:space="0"/>
              <w:right w:val="single" w:color="auto" w:sz="4" w:space="0"/>
            </w:tcBorders>
          </w:tcPr>
          <w:p>
            <w:pPr>
              <w:rPr>
                <w:sz w:val="15"/>
                <w:szCs w:val="15"/>
              </w:rPr>
            </w:pPr>
            <w:r>
              <w:rPr>
                <w:rFonts w:hint="eastAsia"/>
                <w:sz w:val="15"/>
                <w:szCs w:val="15"/>
              </w:rPr>
              <w:t>赠与</w:t>
            </w:r>
          </w:p>
        </w:tc>
        <w:tc>
          <w:tcPr>
            <w:tcW w:w="2360" w:type="dxa"/>
            <w:gridSpan w:val="2"/>
            <w:tcBorders>
              <w:top w:val="single" w:color="auto" w:sz="4" w:space="0"/>
              <w:left w:val="single" w:color="auto" w:sz="4" w:space="0"/>
              <w:bottom w:val="single" w:color="auto" w:sz="4" w:space="0"/>
              <w:right w:val="single" w:color="auto" w:sz="4" w:space="0"/>
            </w:tcBorders>
          </w:tcPr>
          <w:p>
            <w:pPr>
              <w:rPr>
                <w:sz w:val="15"/>
                <w:szCs w:val="15"/>
              </w:rPr>
            </w:pPr>
          </w:p>
        </w:tc>
      </w:tr>
      <w:tr>
        <w:tblPrEx>
          <w:tblCellMar>
            <w:top w:w="0" w:type="dxa"/>
            <w:left w:w="108" w:type="dxa"/>
            <w:bottom w:w="0" w:type="dxa"/>
            <w:right w:w="108" w:type="dxa"/>
          </w:tblCellMar>
        </w:tblPrEx>
        <w:trPr>
          <w:trHeight w:val="255" w:hRule="atLeast"/>
        </w:trPr>
        <w:tc>
          <w:tcPr>
            <w:tcW w:w="3583" w:type="dxa"/>
            <w:gridSpan w:val="6"/>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Arial"/>
                <w:kern w:val="0"/>
                <w:sz w:val="15"/>
                <w:szCs w:val="15"/>
              </w:rPr>
            </w:pPr>
            <w:r>
              <w:rPr>
                <w:rFonts w:hint="eastAsia" w:ascii="宋体" w:hAnsi="宋体" w:cs="Arial"/>
                <w:kern w:val="0"/>
                <w:sz w:val="15"/>
                <w:szCs w:val="15"/>
              </w:rPr>
              <w:t>人员经费合计</w:t>
            </w:r>
          </w:p>
        </w:tc>
        <w:tc>
          <w:tcPr>
            <w:tcW w:w="802" w:type="dxa"/>
            <w:tcBorders>
              <w:top w:val="single" w:color="auto" w:sz="4" w:space="0"/>
              <w:left w:val="single" w:color="auto" w:sz="4" w:space="0"/>
              <w:bottom w:val="single" w:color="auto" w:sz="4" w:space="0"/>
              <w:right w:val="single" w:color="auto" w:sz="4" w:space="0"/>
            </w:tcBorders>
            <w:vAlign w:val="bottom"/>
          </w:tcPr>
          <w:p>
            <w:pPr>
              <w:widowControl/>
              <w:jc w:val="left"/>
              <w:rPr>
                <w:rFonts w:ascii="Arial" w:hAnsi="Arial" w:cs="Arial"/>
                <w:kern w:val="0"/>
                <w:sz w:val="15"/>
                <w:szCs w:val="15"/>
              </w:rPr>
            </w:pPr>
            <w:r>
              <w:rPr>
                <w:rFonts w:ascii="Arial" w:hAnsi="Arial" w:cs="Arial"/>
                <w:kern w:val="0"/>
                <w:sz w:val="15"/>
                <w:szCs w:val="15"/>
              </w:rPr>
              <w:t>889.41</w:t>
            </w:r>
            <w:r>
              <w:rPr>
                <w:rFonts w:hint="eastAsia" w:ascii="Arial" w:hAnsi="Arial" w:cs="Arial"/>
                <w:kern w:val="0"/>
                <w:sz w:val="15"/>
                <w:szCs w:val="15"/>
              </w:rPr>
              <w:t>　</w:t>
            </w:r>
          </w:p>
        </w:tc>
        <w:tc>
          <w:tcPr>
            <w:tcW w:w="2830"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Arial"/>
                <w:kern w:val="0"/>
                <w:sz w:val="15"/>
                <w:szCs w:val="15"/>
              </w:rPr>
            </w:pPr>
            <w:r>
              <w:rPr>
                <w:rFonts w:hint="eastAsia" w:ascii="宋体" w:hAnsi="宋体" w:cs="Arial"/>
                <w:kern w:val="0"/>
                <w:sz w:val="15"/>
                <w:szCs w:val="15"/>
              </w:rPr>
              <w:t>公用经费合计</w:t>
            </w:r>
          </w:p>
        </w:tc>
        <w:tc>
          <w:tcPr>
            <w:tcW w:w="2360" w:type="dxa"/>
            <w:gridSpan w:val="2"/>
            <w:tcBorders>
              <w:top w:val="single" w:color="auto" w:sz="4" w:space="0"/>
              <w:left w:val="single" w:color="auto" w:sz="4" w:space="0"/>
              <w:bottom w:val="single" w:color="auto" w:sz="4" w:space="0"/>
              <w:right w:val="single" w:color="auto" w:sz="4" w:space="0"/>
            </w:tcBorders>
            <w:vAlign w:val="bottom"/>
          </w:tcPr>
          <w:p>
            <w:pPr>
              <w:widowControl/>
              <w:jc w:val="left"/>
              <w:rPr>
                <w:rFonts w:ascii="Arial" w:hAnsi="Arial" w:cs="Arial"/>
                <w:kern w:val="0"/>
                <w:sz w:val="15"/>
                <w:szCs w:val="15"/>
              </w:rPr>
            </w:pPr>
            <w:r>
              <w:rPr>
                <w:rFonts w:hint="eastAsia" w:ascii="Arial" w:hAnsi="Arial" w:cs="Arial"/>
                <w:kern w:val="0"/>
                <w:sz w:val="15"/>
                <w:szCs w:val="15"/>
              </w:rPr>
              <w:t>　</w:t>
            </w:r>
            <w:r>
              <w:rPr>
                <w:rFonts w:ascii="Arial" w:hAnsi="Arial" w:cs="Arial"/>
                <w:kern w:val="0"/>
                <w:sz w:val="15"/>
                <w:szCs w:val="15"/>
              </w:rPr>
              <w:t>139.28</w:t>
            </w:r>
          </w:p>
        </w:tc>
      </w:tr>
    </w:tbl>
    <w:p>
      <w:pPr>
        <w:autoSpaceDE w:val="0"/>
        <w:autoSpaceDN w:val="0"/>
        <w:adjustRightInd w:val="0"/>
        <w:spacing w:line="560" w:lineRule="exact"/>
        <w:rPr>
          <w:rFonts w:ascii="??" w:hAnsi="Times New Roman" w:eastAsia="Times New Roman" w:cs="??"/>
          <w:b/>
          <w:sz w:val="32"/>
          <w:szCs w:val="32"/>
        </w:rPr>
      </w:pPr>
    </w:p>
    <w:tbl>
      <w:tblPr>
        <w:tblStyle w:val="6"/>
        <w:tblW w:w="18916" w:type="dxa"/>
        <w:tblInd w:w="93" w:type="dxa"/>
        <w:tblLayout w:type="fixed"/>
        <w:tblCellMar>
          <w:top w:w="0" w:type="dxa"/>
          <w:left w:w="108" w:type="dxa"/>
          <w:bottom w:w="0" w:type="dxa"/>
          <w:right w:w="108" w:type="dxa"/>
        </w:tblCellMar>
      </w:tblPr>
      <w:tblGrid>
        <w:gridCol w:w="9784"/>
        <w:gridCol w:w="436"/>
        <w:gridCol w:w="436"/>
        <w:gridCol w:w="2180"/>
        <w:gridCol w:w="1520"/>
        <w:gridCol w:w="1520"/>
        <w:gridCol w:w="3040"/>
      </w:tblGrid>
      <w:tr>
        <w:tblPrEx>
          <w:tblCellMar>
            <w:top w:w="0" w:type="dxa"/>
            <w:left w:w="108" w:type="dxa"/>
            <w:bottom w:w="0" w:type="dxa"/>
            <w:right w:w="108" w:type="dxa"/>
          </w:tblCellMar>
        </w:tblPrEx>
        <w:trPr>
          <w:trHeight w:val="255" w:hRule="atLeast"/>
        </w:trPr>
        <w:tc>
          <w:tcPr>
            <w:tcW w:w="9784" w:type="dxa"/>
            <w:tcBorders>
              <w:top w:val="nil"/>
              <w:left w:val="nil"/>
              <w:bottom w:val="nil"/>
              <w:right w:val="nil"/>
            </w:tcBorders>
            <w:vAlign w:val="bottom"/>
          </w:tcPr>
          <w:p>
            <w:pPr>
              <w:widowControl/>
              <w:jc w:val="left"/>
              <w:rPr>
                <w:rFonts w:ascii="Arial" w:hAnsi="Arial" w:cs="Arial"/>
                <w:kern w:val="0"/>
                <w:sz w:val="20"/>
                <w:szCs w:val="20"/>
              </w:rPr>
            </w:pPr>
          </w:p>
        </w:tc>
        <w:tc>
          <w:tcPr>
            <w:tcW w:w="436" w:type="dxa"/>
            <w:tcBorders>
              <w:top w:val="nil"/>
              <w:left w:val="nil"/>
              <w:bottom w:val="nil"/>
              <w:right w:val="nil"/>
            </w:tcBorders>
            <w:vAlign w:val="bottom"/>
          </w:tcPr>
          <w:p>
            <w:pPr>
              <w:widowControl/>
              <w:jc w:val="left"/>
              <w:rPr>
                <w:rFonts w:ascii="Arial" w:hAnsi="Arial" w:cs="Arial"/>
                <w:kern w:val="0"/>
                <w:sz w:val="20"/>
                <w:szCs w:val="20"/>
              </w:rPr>
            </w:pPr>
          </w:p>
        </w:tc>
        <w:tc>
          <w:tcPr>
            <w:tcW w:w="436" w:type="dxa"/>
            <w:tcBorders>
              <w:top w:val="nil"/>
              <w:left w:val="nil"/>
              <w:bottom w:val="nil"/>
              <w:right w:val="nil"/>
            </w:tcBorders>
            <w:vAlign w:val="bottom"/>
          </w:tcPr>
          <w:p>
            <w:pPr>
              <w:widowControl/>
              <w:jc w:val="left"/>
              <w:rPr>
                <w:rFonts w:ascii="Arial" w:hAnsi="Arial" w:cs="Arial"/>
                <w:kern w:val="0"/>
                <w:sz w:val="20"/>
                <w:szCs w:val="20"/>
              </w:rPr>
            </w:pPr>
          </w:p>
        </w:tc>
        <w:tc>
          <w:tcPr>
            <w:tcW w:w="2180" w:type="dxa"/>
            <w:tcBorders>
              <w:top w:val="nil"/>
              <w:left w:val="nil"/>
              <w:bottom w:val="nil"/>
              <w:right w:val="nil"/>
            </w:tcBorders>
            <w:vAlign w:val="bottom"/>
          </w:tcPr>
          <w:p>
            <w:pPr>
              <w:widowControl/>
              <w:jc w:val="left"/>
              <w:rPr>
                <w:rFonts w:ascii="Arial" w:hAnsi="Arial" w:cs="Arial"/>
                <w:kern w:val="0"/>
                <w:sz w:val="20"/>
                <w:szCs w:val="20"/>
              </w:rPr>
            </w:pPr>
          </w:p>
        </w:tc>
        <w:tc>
          <w:tcPr>
            <w:tcW w:w="1520" w:type="dxa"/>
            <w:tcBorders>
              <w:top w:val="nil"/>
              <w:left w:val="nil"/>
              <w:bottom w:val="nil"/>
              <w:right w:val="nil"/>
            </w:tcBorders>
            <w:vAlign w:val="bottom"/>
          </w:tcPr>
          <w:p>
            <w:pPr>
              <w:widowControl/>
              <w:jc w:val="left"/>
              <w:rPr>
                <w:rFonts w:ascii="Arial" w:hAnsi="Arial" w:cs="Arial"/>
                <w:kern w:val="0"/>
                <w:sz w:val="20"/>
                <w:szCs w:val="20"/>
              </w:rPr>
            </w:pPr>
          </w:p>
        </w:tc>
        <w:tc>
          <w:tcPr>
            <w:tcW w:w="1520" w:type="dxa"/>
            <w:tcBorders>
              <w:top w:val="nil"/>
              <w:left w:val="nil"/>
              <w:bottom w:val="nil"/>
              <w:right w:val="nil"/>
            </w:tcBorders>
            <w:vAlign w:val="bottom"/>
          </w:tcPr>
          <w:p>
            <w:pPr>
              <w:widowControl/>
              <w:jc w:val="left"/>
              <w:rPr>
                <w:rFonts w:ascii="Arial" w:hAnsi="Arial" w:cs="Arial"/>
                <w:kern w:val="0"/>
                <w:sz w:val="20"/>
                <w:szCs w:val="20"/>
              </w:rPr>
            </w:pPr>
          </w:p>
        </w:tc>
        <w:tc>
          <w:tcPr>
            <w:tcW w:w="3040" w:type="dxa"/>
            <w:tcBorders>
              <w:top w:val="nil"/>
              <w:left w:val="nil"/>
              <w:bottom w:val="nil"/>
              <w:right w:val="nil"/>
            </w:tcBorders>
            <w:vAlign w:val="bottom"/>
          </w:tcPr>
          <w:p>
            <w:pPr>
              <w:widowControl/>
              <w:jc w:val="right"/>
              <w:rPr>
                <w:rFonts w:ascii="宋体" w:cs="Arial"/>
                <w:kern w:val="0"/>
                <w:sz w:val="20"/>
                <w:szCs w:val="20"/>
              </w:rPr>
            </w:pPr>
            <w:r>
              <w:rPr>
                <w:rFonts w:hint="eastAsia" w:ascii="宋体" w:hAnsi="宋体" w:cs="Arial"/>
                <w:kern w:val="0"/>
                <w:sz w:val="20"/>
                <w:szCs w:val="20"/>
              </w:rPr>
              <w:t>公开</w:t>
            </w:r>
            <w:r>
              <w:rPr>
                <w:rFonts w:ascii="宋体" w:hAnsi="宋体" w:cs="Arial"/>
                <w:kern w:val="0"/>
                <w:sz w:val="20"/>
                <w:szCs w:val="20"/>
              </w:rPr>
              <w:t>05</w:t>
            </w:r>
            <w:r>
              <w:rPr>
                <w:rFonts w:hint="eastAsia" w:ascii="宋体" w:hAnsi="宋体" w:cs="Arial"/>
                <w:kern w:val="0"/>
                <w:sz w:val="20"/>
                <w:szCs w:val="20"/>
              </w:rPr>
              <w:t>表</w:t>
            </w:r>
          </w:p>
        </w:tc>
      </w:tr>
      <w:tr>
        <w:tblPrEx>
          <w:tblCellMar>
            <w:top w:w="0" w:type="dxa"/>
            <w:left w:w="108" w:type="dxa"/>
            <w:bottom w:w="0" w:type="dxa"/>
            <w:right w:w="108" w:type="dxa"/>
          </w:tblCellMar>
        </w:tblPrEx>
        <w:trPr>
          <w:trHeight w:val="270" w:hRule="atLeast"/>
        </w:trPr>
        <w:tc>
          <w:tcPr>
            <w:tcW w:w="9784" w:type="dxa"/>
            <w:tcBorders>
              <w:top w:val="nil"/>
              <w:left w:val="nil"/>
              <w:bottom w:val="nil"/>
              <w:right w:val="nil"/>
            </w:tcBorders>
            <w:vAlign w:val="bottom"/>
          </w:tcPr>
          <w:p>
            <w:pPr>
              <w:widowControl/>
              <w:jc w:val="left"/>
              <w:rPr>
                <w:rFonts w:ascii="宋体" w:cs="Arial"/>
                <w:kern w:val="0"/>
                <w:sz w:val="20"/>
                <w:szCs w:val="20"/>
              </w:rPr>
            </w:pPr>
          </w:p>
        </w:tc>
        <w:tc>
          <w:tcPr>
            <w:tcW w:w="436" w:type="dxa"/>
            <w:tcBorders>
              <w:top w:val="nil"/>
              <w:left w:val="nil"/>
              <w:bottom w:val="nil"/>
              <w:right w:val="nil"/>
            </w:tcBorders>
            <w:vAlign w:val="bottom"/>
          </w:tcPr>
          <w:p>
            <w:pPr>
              <w:widowControl/>
              <w:jc w:val="left"/>
              <w:rPr>
                <w:rFonts w:ascii="Arial" w:hAnsi="Arial" w:cs="Arial"/>
                <w:kern w:val="0"/>
                <w:sz w:val="20"/>
                <w:szCs w:val="20"/>
              </w:rPr>
            </w:pPr>
          </w:p>
        </w:tc>
        <w:tc>
          <w:tcPr>
            <w:tcW w:w="436" w:type="dxa"/>
            <w:tcBorders>
              <w:top w:val="nil"/>
              <w:left w:val="nil"/>
              <w:bottom w:val="nil"/>
              <w:right w:val="nil"/>
            </w:tcBorders>
            <w:vAlign w:val="bottom"/>
          </w:tcPr>
          <w:p>
            <w:pPr>
              <w:widowControl/>
              <w:jc w:val="left"/>
              <w:rPr>
                <w:rFonts w:ascii="Arial" w:hAnsi="Arial" w:cs="Arial"/>
                <w:kern w:val="0"/>
                <w:sz w:val="20"/>
                <w:szCs w:val="20"/>
              </w:rPr>
            </w:pPr>
          </w:p>
        </w:tc>
        <w:tc>
          <w:tcPr>
            <w:tcW w:w="2180" w:type="dxa"/>
            <w:tcBorders>
              <w:top w:val="nil"/>
              <w:left w:val="nil"/>
              <w:bottom w:val="nil"/>
              <w:right w:val="nil"/>
            </w:tcBorders>
            <w:vAlign w:val="bottom"/>
          </w:tcPr>
          <w:p>
            <w:pPr>
              <w:widowControl/>
              <w:jc w:val="left"/>
              <w:rPr>
                <w:rFonts w:ascii="Arial" w:hAnsi="Arial" w:cs="Arial"/>
                <w:kern w:val="0"/>
                <w:sz w:val="20"/>
                <w:szCs w:val="20"/>
              </w:rPr>
            </w:pPr>
          </w:p>
        </w:tc>
        <w:tc>
          <w:tcPr>
            <w:tcW w:w="1520" w:type="dxa"/>
            <w:tcBorders>
              <w:top w:val="nil"/>
              <w:left w:val="nil"/>
              <w:bottom w:val="nil"/>
              <w:right w:val="nil"/>
            </w:tcBorders>
            <w:vAlign w:val="bottom"/>
          </w:tcPr>
          <w:p>
            <w:pPr>
              <w:widowControl/>
              <w:jc w:val="center"/>
              <w:rPr>
                <w:rFonts w:ascii="宋体" w:cs="Arial"/>
                <w:kern w:val="0"/>
                <w:sz w:val="20"/>
                <w:szCs w:val="20"/>
              </w:rPr>
            </w:pPr>
          </w:p>
        </w:tc>
        <w:tc>
          <w:tcPr>
            <w:tcW w:w="1520" w:type="dxa"/>
            <w:tcBorders>
              <w:top w:val="nil"/>
              <w:left w:val="nil"/>
              <w:bottom w:val="nil"/>
              <w:right w:val="nil"/>
            </w:tcBorders>
            <w:vAlign w:val="bottom"/>
          </w:tcPr>
          <w:p>
            <w:pPr>
              <w:widowControl/>
              <w:jc w:val="left"/>
              <w:rPr>
                <w:rFonts w:ascii="Arial" w:hAnsi="Arial" w:cs="Arial"/>
                <w:kern w:val="0"/>
                <w:sz w:val="20"/>
                <w:szCs w:val="20"/>
              </w:rPr>
            </w:pPr>
          </w:p>
        </w:tc>
        <w:tc>
          <w:tcPr>
            <w:tcW w:w="3040" w:type="dxa"/>
            <w:tcBorders>
              <w:top w:val="nil"/>
              <w:left w:val="nil"/>
              <w:bottom w:val="single" w:color="000000" w:sz="8" w:space="0"/>
              <w:right w:val="nil"/>
            </w:tcBorders>
            <w:vAlign w:val="bottom"/>
          </w:tcPr>
          <w:p>
            <w:pPr>
              <w:widowControl/>
              <w:jc w:val="right"/>
              <w:rPr>
                <w:rFonts w:ascii="宋体" w:cs="Arial"/>
                <w:kern w:val="0"/>
                <w:sz w:val="20"/>
                <w:szCs w:val="20"/>
              </w:rPr>
            </w:pPr>
            <w:r>
              <w:rPr>
                <w:rFonts w:hint="eastAsia" w:ascii="宋体" w:hAnsi="宋体" w:cs="Arial"/>
                <w:kern w:val="0"/>
                <w:sz w:val="20"/>
                <w:szCs w:val="20"/>
              </w:rPr>
              <w:t>金额单位：万元</w:t>
            </w:r>
          </w:p>
        </w:tc>
      </w:tr>
    </w:tbl>
    <w:p>
      <w:pPr>
        <w:autoSpaceDE w:val="0"/>
        <w:autoSpaceDN w:val="0"/>
        <w:adjustRightInd w:val="0"/>
        <w:spacing w:line="560" w:lineRule="exact"/>
        <w:rPr>
          <w:rFonts w:ascii="??" w:hAnsi="Times New Roman" w:eastAsia="Times New Roman" w:cs="??"/>
          <w:b/>
          <w:sz w:val="32"/>
          <w:szCs w:val="32"/>
        </w:rPr>
      </w:pPr>
    </w:p>
    <w:p>
      <w:pPr>
        <w:autoSpaceDE w:val="0"/>
        <w:autoSpaceDN w:val="0"/>
        <w:adjustRightInd w:val="0"/>
        <w:spacing w:line="560" w:lineRule="exact"/>
        <w:jc w:val="center"/>
        <w:rPr>
          <w:rFonts w:ascii="??" w:hAnsi="Times New Roman" w:eastAsia="Times New Roman" w:cs="??"/>
          <w:b/>
          <w:sz w:val="32"/>
          <w:szCs w:val="32"/>
        </w:rPr>
      </w:pPr>
      <w:r>
        <w:rPr>
          <w:rFonts w:ascii="??" w:hAnsi="Times New Roman" w:eastAsia="Times New Roman" w:cs="??"/>
          <w:b/>
          <w:sz w:val="32"/>
          <w:szCs w:val="32"/>
        </w:rPr>
        <w:t>2016年度部门政府性基金收入支出决算表</w:t>
      </w:r>
    </w:p>
    <w:tbl>
      <w:tblPr>
        <w:tblStyle w:val="6"/>
        <w:tblW w:w="9428" w:type="dxa"/>
        <w:tblInd w:w="93" w:type="dxa"/>
        <w:tblLayout w:type="fixed"/>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CellMar>
            <w:top w:w="0" w:type="dxa"/>
            <w:left w:w="108" w:type="dxa"/>
            <w:bottom w:w="0" w:type="dxa"/>
            <w:right w:w="108" w:type="dxa"/>
          </w:tblCellMar>
        </w:tblPrEx>
        <w:trPr>
          <w:trHeight w:val="255" w:hRule="atLeast"/>
        </w:trPr>
        <w:tc>
          <w:tcPr>
            <w:tcW w:w="376" w:type="dxa"/>
            <w:tcBorders>
              <w:top w:val="nil"/>
              <w:left w:val="nil"/>
              <w:bottom w:val="nil"/>
              <w:right w:val="nil"/>
            </w:tcBorders>
            <w:vAlign w:val="bottom"/>
          </w:tcPr>
          <w:p>
            <w:pPr>
              <w:widowControl/>
              <w:jc w:val="left"/>
              <w:rPr>
                <w:rFonts w:ascii="Arial" w:hAnsi="Arial" w:cs="Arial"/>
                <w:kern w:val="0"/>
                <w:sz w:val="16"/>
                <w:szCs w:val="16"/>
              </w:rPr>
            </w:pPr>
          </w:p>
        </w:tc>
        <w:tc>
          <w:tcPr>
            <w:tcW w:w="376" w:type="dxa"/>
            <w:tcBorders>
              <w:top w:val="nil"/>
              <w:left w:val="nil"/>
              <w:bottom w:val="nil"/>
              <w:right w:val="nil"/>
            </w:tcBorders>
            <w:vAlign w:val="bottom"/>
          </w:tcPr>
          <w:p>
            <w:pPr>
              <w:widowControl/>
              <w:jc w:val="left"/>
              <w:rPr>
                <w:rFonts w:ascii="Arial" w:hAnsi="Arial" w:cs="Arial"/>
                <w:kern w:val="0"/>
                <w:sz w:val="16"/>
                <w:szCs w:val="16"/>
              </w:rPr>
            </w:pPr>
          </w:p>
        </w:tc>
        <w:tc>
          <w:tcPr>
            <w:tcW w:w="376" w:type="dxa"/>
            <w:tcBorders>
              <w:top w:val="nil"/>
              <w:left w:val="nil"/>
              <w:bottom w:val="nil"/>
              <w:right w:val="nil"/>
            </w:tcBorders>
            <w:vAlign w:val="bottom"/>
          </w:tcPr>
          <w:p>
            <w:pPr>
              <w:widowControl/>
              <w:jc w:val="left"/>
              <w:rPr>
                <w:rFonts w:ascii="Arial" w:hAnsi="Arial" w:cs="Arial"/>
                <w:kern w:val="0"/>
                <w:sz w:val="16"/>
                <w:szCs w:val="16"/>
              </w:rPr>
            </w:pPr>
          </w:p>
        </w:tc>
        <w:tc>
          <w:tcPr>
            <w:tcW w:w="1460" w:type="dxa"/>
            <w:tcBorders>
              <w:top w:val="nil"/>
              <w:left w:val="nil"/>
              <w:bottom w:val="nil"/>
              <w:right w:val="nil"/>
            </w:tcBorders>
            <w:vAlign w:val="bottom"/>
          </w:tcPr>
          <w:p>
            <w:pPr>
              <w:widowControl/>
              <w:jc w:val="left"/>
              <w:rPr>
                <w:rFonts w:ascii="Arial" w:hAnsi="Arial" w:cs="Arial"/>
                <w:kern w:val="0"/>
                <w:sz w:val="16"/>
                <w:szCs w:val="16"/>
              </w:rPr>
            </w:pPr>
          </w:p>
        </w:tc>
        <w:tc>
          <w:tcPr>
            <w:tcW w:w="1240" w:type="dxa"/>
            <w:tcBorders>
              <w:top w:val="nil"/>
              <w:left w:val="nil"/>
              <w:bottom w:val="nil"/>
              <w:right w:val="nil"/>
            </w:tcBorders>
            <w:vAlign w:val="bottom"/>
          </w:tcPr>
          <w:p>
            <w:pPr>
              <w:widowControl/>
              <w:jc w:val="left"/>
              <w:rPr>
                <w:rFonts w:ascii="Arial" w:hAnsi="Arial" w:cs="Arial"/>
                <w:kern w:val="0"/>
                <w:sz w:val="16"/>
                <w:szCs w:val="16"/>
              </w:rPr>
            </w:pPr>
          </w:p>
        </w:tc>
        <w:tc>
          <w:tcPr>
            <w:tcW w:w="1080" w:type="dxa"/>
            <w:tcBorders>
              <w:top w:val="nil"/>
              <w:left w:val="nil"/>
              <w:bottom w:val="nil"/>
              <w:right w:val="nil"/>
            </w:tcBorders>
            <w:vAlign w:val="bottom"/>
          </w:tcPr>
          <w:p>
            <w:pPr>
              <w:widowControl/>
              <w:jc w:val="left"/>
              <w:rPr>
                <w:rFonts w:ascii="Arial" w:hAnsi="Arial" w:cs="Arial"/>
                <w:kern w:val="0"/>
                <w:sz w:val="16"/>
                <w:szCs w:val="16"/>
              </w:rPr>
            </w:pPr>
          </w:p>
        </w:tc>
        <w:tc>
          <w:tcPr>
            <w:tcW w:w="1120" w:type="dxa"/>
            <w:tcBorders>
              <w:top w:val="nil"/>
              <w:left w:val="nil"/>
              <w:bottom w:val="nil"/>
              <w:right w:val="nil"/>
            </w:tcBorders>
            <w:vAlign w:val="bottom"/>
          </w:tcPr>
          <w:p>
            <w:pPr>
              <w:widowControl/>
              <w:jc w:val="left"/>
              <w:rPr>
                <w:rFonts w:ascii="Arial" w:hAnsi="Arial" w:cs="Arial"/>
                <w:kern w:val="0"/>
                <w:sz w:val="16"/>
                <w:szCs w:val="16"/>
              </w:rPr>
            </w:pPr>
          </w:p>
        </w:tc>
        <w:tc>
          <w:tcPr>
            <w:tcW w:w="1100" w:type="dxa"/>
            <w:tcBorders>
              <w:top w:val="nil"/>
              <w:left w:val="nil"/>
              <w:bottom w:val="nil"/>
              <w:right w:val="nil"/>
            </w:tcBorders>
            <w:vAlign w:val="bottom"/>
          </w:tcPr>
          <w:p>
            <w:pPr>
              <w:widowControl/>
              <w:jc w:val="left"/>
              <w:rPr>
                <w:rFonts w:ascii="Arial" w:hAnsi="Arial" w:cs="Arial"/>
                <w:kern w:val="0"/>
                <w:sz w:val="16"/>
                <w:szCs w:val="16"/>
              </w:rPr>
            </w:pPr>
          </w:p>
        </w:tc>
        <w:tc>
          <w:tcPr>
            <w:tcW w:w="1060" w:type="dxa"/>
            <w:tcBorders>
              <w:top w:val="nil"/>
              <w:left w:val="nil"/>
              <w:bottom w:val="nil"/>
              <w:right w:val="nil"/>
            </w:tcBorders>
            <w:vAlign w:val="bottom"/>
          </w:tcPr>
          <w:p>
            <w:pPr>
              <w:widowControl/>
              <w:jc w:val="left"/>
              <w:rPr>
                <w:rFonts w:ascii="Arial" w:hAnsi="Arial" w:cs="Arial"/>
                <w:kern w:val="0"/>
                <w:sz w:val="16"/>
                <w:szCs w:val="16"/>
              </w:rPr>
            </w:pPr>
          </w:p>
        </w:tc>
        <w:tc>
          <w:tcPr>
            <w:tcW w:w="1240" w:type="dxa"/>
            <w:tcBorders>
              <w:top w:val="nil"/>
              <w:left w:val="nil"/>
              <w:bottom w:val="nil"/>
              <w:right w:val="nil"/>
            </w:tcBorders>
            <w:vAlign w:val="bottom"/>
          </w:tcPr>
          <w:p>
            <w:pPr>
              <w:widowControl/>
              <w:jc w:val="right"/>
              <w:rPr>
                <w:rFonts w:ascii="宋体" w:cs="Arial"/>
                <w:kern w:val="0"/>
                <w:sz w:val="16"/>
                <w:szCs w:val="16"/>
              </w:rPr>
            </w:pPr>
            <w:r>
              <w:rPr>
                <w:rFonts w:hint="eastAsia" w:ascii="宋体" w:hAnsi="宋体" w:cs="Arial"/>
                <w:kern w:val="0"/>
                <w:sz w:val="16"/>
                <w:szCs w:val="16"/>
              </w:rPr>
              <w:t>公开</w:t>
            </w:r>
            <w:r>
              <w:rPr>
                <w:rFonts w:ascii="宋体" w:hAnsi="宋体" w:cs="Arial"/>
                <w:kern w:val="0"/>
                <w:sz w:val="16"/>
                <w:szCs w:val="16"/>
              </w:rPr>
              <w:t>07</w:t>
            </w:r>
            <w:r>
              <w:rPr>
                <w:rFonts w:hint="eastAsia" w:ascii="宋体" w:hAnsi="宋体" w:cs="Arial"/>
                <w:kern w:val="0"/>
                <w:sz w:val="16"/>
                <w:szCs w:val="16"/>
              </w:rPr>
              <w:t>表</w:t>
            </w:r>
          </w:p>
        </w:tc>
      </w:tr>
      <w:tr>
        <w:tblPrEx>
          <w:tblCellMar>
            <w:top w:w="0" w:type="dxa"/>
            <w:left w:w="108" w:type="dxa"/>
            <w:bottom w:w="0" w:type="dxa"/>
            <w:right w:w="108" w:type="dxa"/>
          </w:tblCellMar>
        </w:tblPrEx>
        <w:trPr>
          <w:trHeight w:val="255" w:hRule="atLeast"/>
        </w:trPr>
        <w:tc>
          <w:tcPr>
            <w:tcW w:w="1128" w:type="dxa"/>
            <w:gridSpan w:val="3"/>
            <w:tcBorders>
              <w:top w:val="nil"/>
              <w:left w:val="nil"/>
              <w:bottom w:val="nil"/>
              <w:right w:val="nil"/>
            </w:tcBorders>
            <w:vAlign w:val="bottom"/>
          </w:tcPr>
          <w:p>
            <w:pPr>
              <w:widowControl/>
              <w:jc w:val="left"/>
              <w:rPr>
                <w:rFonts w:ascii="宋体" w:cs="Arial"/>
                <w:kern w:val="0"/>
                <w:sz w:val="16"/>
                <w:szCs w:val="16"/>
              </w:rPr>
            </w:pPr>
            <w:r>
              <w:rPr>
                <w:rFonts w:hint="eastAsia" w:ascii="宋体" w:hAnsi="宋体" w:cs="Arial"/>
                <w:kern w:val="0"/>
                <w:sz w:val="16"/>
                <w:szCs w:val="16"/>
              </w:rPr>
              <w:t>部门：</w:t>
            </w:r>
          </w:p>
        </w:tc>
        <w:tc>
          <w:tcPr>
            <w:tcW w:w="1460" w:type="dxa"/>
            <w:tcBorders>
              <w:top w:val="nil"/>
              <w:left w:val="nil"/>
              <w:bottom w:val="nil"/>
              <w:right w:val="nil"/>
            </w:tcBorders>
            <w:vAlign w:val="bottom"/>
          </w:tcPr>
          <w:p>
            <w:pPr>
              <w:widowControl/>
              <w:jc w:val="left"/>
              <w:rPr>
                <w:rFonts w:ascii="Arial" w:hAnsi="Arial" w:cs="Arial"/>
                <w:kern w:val="0"/>
                <w:sz w:val="16"/>
                <w:szCs w:val="16"/>
              </w:rPr>
            </w:pPr>
          </w:p>
        </w:tc>
        <w:tc>
          <w:tcPr>
            <w:tcW w:w="1240" w:type="dxa"/>
            <w:tcBorders>
              <w:top w:val="nil"/>
              <w:left w:val="nil"/>
              <w:bottom w:val="nil"/>
              <w:right w:val="nil"/>
            </w:tcBorders>
            <w:vAlign w:val="bottom"/>
          </w:tcPr>
          <w:p>
            <w:pPr>
              <w:widowControl/>
              <w:jc w:val="left"/>
              <w:rPr>
                <w:rFonts w:ascii="Arial" w:hAnsi="Arial" w:cs="Arial"/>
                <w:kern w:val="0"/>
                <w:sz w:val="16"/>
                <w:szCs w:val="16"/>
              </w:rPr>
            </w:pPr>
          </w:p>
        </w:tc>
        <w:tc>
          <w:tcPr>
            <w:tcW w:w="1080" w:type="dxa"/>
            <w:tcBorders>
              <w:top w:val="nil"/>
              <w:left w:val="nil"/>
              <w:bottom w:val="nil"/>
              <w:right w:val="nil"/>
            </w:tcBorders>
            <w:vAlign w:val="bottom"/>
          </w:tcPr>
          <w:p>
            <w:pPr>
              <w:widowControl/>
              <w:jc w:val="left"/>
              <w:rPr>
                <w:rFonts w:ascii="Arial" w:hAnsi="Arial" w:cs="Arial"/>
                <w:kern w:val="0"/>
                <w:sz w:val="16"/>
                <w:szCs w:val="16"/>
              </w:rPr>
            </w:pPr>
          </w:p>
        </w:tc>
        <w:tc>
          <w:tcPr>
            <w:tcW w:w="1120" w:type="dxa"/>
            <w:tcBorders>
              <w:top w:val="nil"/>
              <w:left w:val="nil"/>
              <w:bottom w:val="nil"/>
              <w:right w:val="nil"/>
            </w:tcBorders>
            <w:vAlign w:val="bottom"/>
          </w:tcPr>
          <w:p>
            <w:pPr>
              <w:widowControl/>
              <w:jc w:val="left"/>
              <w:rPr>
                <w:rFonts w:ascii="Arial" w:hAnsi="Arial" w:cs="Arial"/>
                <w:kern w:val="0"/>
                <w:sz w:val="16"/>
                <w:szCs w:val="16"/>
              </w:rPr>
            </w:pPr>
          </w:p>
        </w:tc>
        <w:tc>
          <w:tcPr>
            <w:tcW w:w="1100" w:type="dxa"/>
            <w:tcBorders>
              <w:top w:val="nil"/>
              <w:left w:val="nil"/>
              <w:bottom w:val="nil"/>
              <w:right w:val="nil"/>
            </w:tcBorders>
            <w:vAlign w:val="bottom"/>
          </w:tcPr>
          <w:p>
            <w:pPr>
              <w:widowControl/>
              <w:jc w:val="left"/>
              <w:rPr>
                <w:rFonts w:ascii="Arial" w:hAnsi="Arial" w:cs="Arial"/>
                <w:kern w:val="0"/>
                <w:sz w:val="16"/>
                <w:szCs w:val="16"/>
              </w:rPr>
            </w:pPr>
          </w:p>
        </w:tc>
        <w:tc>
          <w:tcPr>
            <w:tcW w:w="1060" w:type="dxa"/>
            <w:tcBorders>
              <w:top w:val="nil"/>
              <w:left w:val="nil"/>
              <w:bottom w:val="nil"/>
              <w:right w:val="nil"/>
            </w:tcBorders>
            <w:vAlign w:val="bottom"/>
          </w:tcPr>
          <w:p>
            <w:pPr>
              <w:widowControl/>
              <w:jc w:val="left"/>
              <w:rPr>
                <w:rFonts w:ascii="Arial" w:hAnsi="Arial" w:cs="Arial"/>
                <w:kern w:val="0"/>
                <w:sz w:val="16"/>
                <w:szCs w:val="16"/>
              </w:rPr>
            </w:pPr>
          </w:p>
        </w:tc>
        <w:tc>
          <w:tcPr>
            <w:tcW w:w="1240" w:type="dxa"/>
            <w:tcBorders>
              <w:top w:val="nil"/>
              <w:left w:val="nil"/>
              <w:bottom w:val="nil"/>
              <w:right w:val="nil"/>
            </w:tcBorders>
            <w:vAlign w:val="bottom"/>
          </w:tcPr>
          <w:p>
            <w:pPr>
              <w:widowControl/>
              <w:jc w:val="right"/>
              <w:rPr>
                <w:rFonts w:ascii="宋体" w:cs="Arial"/>
                <w:kern w:val="0"/>
                <w:sz w:val="16"/>
                <w:szCs w:val="16"/>
              </w:rPr>
            </w:pPr>
            <w:r>
              <w:rPr>
                <w:rFonts w:hint="eastAsia" w:ascii="宋体" w:hAnsi="宋体" w:cs="Arial"/>
                <w:kern w:val="0"/>
                <w:sz w:val="16"/>
                <w:szCs w:val="16"/>
              </w:rPr>
              <w:t>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6"/>
                <w:szCs w:val="16"/>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6"/>
                <w:szCs w:val="16"/>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小</w:t>
            </w:r>
            <w:r>
              <w:rPr>
                <w:rFonts w:ascii="宋体" w:hAnsi="宋体" w:cs="Arial"/>
                <w:kern w:val="0"/>
                <w:sz w:val="16"/>
                <w:szCs w:val="16"/>
              </w:rPr>
              <w:t xml:space="preserve"> </w:t>
            </w:r>
            <w:r>
              <w:rPr>
                <w:rFonts w:hint="eastAsia" w:ascii="宋体" w:hAnsi="宋体" w:cs="Arial"/>
                <w:kern w:val="0"/>
                <w:sz w:val="16"/>
                <w:szCs w:val="16"/>
              </w:rPr>
              <w:t>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基本支出</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kern w:val="0"/>
                <w:sz w:val="16"/>
                <w:szCs w:val="16"/>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hint="eastAsia" w:ascii="宋体" w:hAnsi="宋体" w:cs="Arial"/>
                <w:kern w:val="0"/>
                <w:sz w:val="16"/>
                <w:szCs w:val="16"/>
              </w:rPr>
              <w:t>合</w:t>
            </w:r>
            <w:r>
              <w:rPr>
                <w:rFonts w:ascii="宋体" w:hAnsi="宋体" w:cs="Arial"/>
                <w:kern w:val="0"/>
                <w:sz w:val="16"/>
                <w:szCs w:val="16"/>
              </w:rPr>
              <w:t xml:space="preserve">  </w:t>
            </w:r>
            <w:r>
              <w:rPr>
                <w:rFonts w:hint="eastAsia" w:ascii="宋体" w:hAnsi="宋体" w:cs="Arial"/>
                <w:kern w:val="0"/>
                <w:sz w:val="16"/>
                <w:szCs w:val="16"/>
              </w:rPr>
              <w:t>计</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1</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2</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5</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kern w:val="0"/>
                <w:sz w:val="16"/>
                <w:szCs w:val="16"/>
              </w:rPr>
            </w:pPr>
            <w:r>
              <w:rPr>
                <w:rFonts w:ascii="宋体" w:hAnsi="宋体" w:cs="Arial"/>
                <w:kern w:val="0"/>
                <w:sz w:val="16"/>
                <w:szCs w:val="16"/>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16"/>
                <w:szCs w:val="16"/>
              </w:rPr>
            </w:pP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kern w:val="0"/>
                <w:sz w:val="16"/>
                <w:szCs w:val="16"/>
              </w:rPr>
            </w:pPr>
            <w:r>
              <w:rPr>
                <w:rFonts w:hint="eastAsia" w:ascii="宋体" w:hAnsi="宋体" w:cs="Arial"/>
                <w:kern w:val="0"/>
                <w:sz w:val="16"/>
                <w:szCs w:val="16"/>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460" w:type="dxa"/>
            <w:tcBorders>
              <w:top w:val="nil"/>
              <w:left w:val="nil"/>
              <w:bottom w:val="single" w:color="000000" w:sz="4" w:space="0"/>
              <w:right w:val="single" w:color="000000" w:sz="4" w:space="0"/>
            </w:tcBorders>
            <w:vAlign w:val="center"/>
          </w:tcPr>
          <w:p>
            <w:pPr>
              <w:widowControl/>
              <w:jc w:val="lef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kern w:val="0"/>
                <w:sz w:val="22"/>
              </w:rPr>
            </w:pPr>
            <w:r>
              <w:rPr>
                <w:rFonts w:hint="eastAsia" w:ascii="宋体" w:hAnsi="宋体" w:cs="Arial"/>
                <w:kern w:val="0"/>
                <w:sz w:val="22"/>
              </w:rPr>
              <w:t>　</w:t>
            </w:r>
          </w:p>
        </w:tc>
      </w:tr>
    </w:tbl>
    <w:p>
      <w:pPr>
        <w:widowControl/>
        <w:wordWrap w:val="0"/>
        <w:spacing w:line="288" w:lineRule="atLeast"/>
        <w:jc w:val="left"/>
        <w:rPr>
          <w:rFonts w:ascii="宋体" w:cs="宋体"/>
          <w:color w:val="000000"/>
          <w:kern w:val="0"/>
          <w:sz w:val="22"/>
        </w:rPr>
      </w:pPr>
      <w:r>
        <w:rPr>
          <w:rFonts w:ascii="宋体" w:hAnsi="宋体" w:cs="宋体"/>
          <w:color w:val="000000"/>
          <w:kern w:val="0"/>
          <w:sz w:val="22"/>
        </w:rPr>
        <w:t>2016 </w:t>
      </w:r>
      <w:r>
        <w:rPr>
          <w:rFonts w:hint="eastAsia" w:ascii="宋体" w:hAnsi="宋体" w:cs="宋体"/>
          <w:color w:val="000000"/>
          <w:kern w:val="0"/>
          <w:sz w:val="22"/>
        </w:rPr>
        <w:t>年度温州市妇女联合会未有政府性基金的预算和使用。</w:t>
      </w:r>
      <w:r>
        <w:rPr>
          <w:rFonts w:ascii="宋体" w:hAnsi="宋体" w:cs="宋体"/>
          <w:color w:val="000000"/>
          <w:kern w:val="0"/>
          <w:sz w:val="22"/>
        </w:rPr>
        <w:t xml:space="preserve"> </w:t>
      </w:r>
    </w:p>
    <w:p>
      <w:pPr>
        <w:tabs>
          <w:tab w:val="left" w:pos="6720"/>
        </w:tabs>
        <w:autoSpaceDE w:val="0"/>
        <w:autoSpaceDN w:val="0"/>
        <w:adjustRightInd w:val="0"/>
        <w:spacing w:line="560" w:lineRule="exact"/>
        <w:rPr>
          <w:rFonts w:ascii="??" w:hAnsi="Times New Roman" w:eastAsia="Times New Roman" w:cs="??"/>
          <w:b/>
          <w:sz w:val="32"/>
          <w:szCs w:val="32"/>
        </w:rPr>
      </w:pPr>
      <w:r>
        <w:rPr>
          <w:rFonts w:ascii="??" w:hAnsi="Times New Roman" w:eastAsia="Times New Roman" w:cs="??"/>
          <w:b/>
          <w:sz w:val="32"/>
          <w:szCs w:val="32"/>
        </w:rPr>
        <w:tab/>
      </w:r>
    </w:p>
    <w:p>
      <w:pPr>
        <w:autoSpaceDE w:val="0"/>
        <w:autoSpaceDN w:val="0"/>
        <w:adjustRightInd w:val="0"/>
        <w:spacing w:line="560" w:lineRule="exact"/>
        <w:ind w:firstLine="627"/>
        <w:jc w:val="center"/>
        <w:rPr>
          <w:rFonts w:ascii="??" w:hAnsi="Times New Roman" w:eastAsia="Times New Roman" w:cs="??"/>
          <w:b/>
          <w:sz w:val="32"/>
          <w:szCs w:val="32"/>
        </w:rPr>
      </w:pPr>
      <w:r>
        <w:rPr>
          <w:rFonts w:ascii="??" w:hAnsi="Times New Roman" w:eastAsia="Times New Roman" w:cs="??"/>
          <w:b/>
          <w:sz w:val="32"/>
          <w:szCs w:val="32"/>
        </w:rPr>
        <w:t>2016年度部门“三公”经费决算表</w:t>
      </w:r>
    </w:p>
    <w:p>
      <w:pPr>
        <w:autoSpaceDE w:val="0"/>
        <w:autoSpaceDN w:val="0"/>
        <w:adjustRightInd w:val="0"/>
        <w:spacing w:line="560" w:lineRule="exact"/>
        <w:ind w:firstLine="627"/>
        <w:jc w:val="center"/>
        <w:rPr>
          <w:rFonts w:ascii="??" w:hAnsi="Times New Roman" w:eastAsia="Times New Roman" w:cs="??"/>
          <w:szCs w:val="21"/>
        </w:rPr>
      </w:pPr>
      <w:r>
        <w:rPr>
          <w:rFonts w:ascii="??" w:hAnsi="Times New Roman" w:eastAsia="Times New Roman" w:cs="??"/>
          <w:szCs w:val="21"/>
        </w:rPr>
        <w:t>(“三公”经费决算数与部门预算“三公”经费公开的资金性质口径一致)</w:t>
      </w:r>
    </w:p>
    <w:tbl>
      <w:tblPr>
        <w:tblStyle w:val="6"/>
        <w:tblW w:w="8763" w:type="dxa"/>
        <w:tblInd w:w="93" w:type="dxa"/>
        <w:tblLayout w:type="fixed"/>
        <w:tblCellMar>
          <w:top w:w="0" w:type="dxa"/>
          <w:left w:w="108" w:type="dxa"/>
          <w:bottom w:w="0" w:type="dxa"/>
          <w:right w:w="108" w:type="dxa"/>
        </w:tblCellMar>
      </w:tblPr>
      <w:tblGrid>
        <w:gridCol w:w="2844"/>
        <w:gridCol w:w="216"/>
        <w:gridCol w:w="2813"/>
        <w:gridCol w:w="533"/>
        <w:gridCol w:w="2151"/>
        <w:gridCol w:w="206"/>
      </w:tblGrid>
      <w:tr>
        <w:tblPrEx>
          <w:tblCellMar>
            <w:top w:w="0" w:type="dxa"/>
            <w:left w:w="108" w:type="dxa"/>
            <w:bottom w:w="0" w:type="dxa"/>
            <w:right w:w="108" w:type="dxa"/>
          </w:tblCellMar>
        </w:tblPrEx>
        <w:trPr>
          <w:gridAfter w:val="1"/>
          <w:wAfter w:w="206" w:type="dxa"/>
          <w:trHeight w:val="255" w:hRule="atLeast"/>
        </w:trPr>
        <w:tc>
          <w:tcPr>
            <w:tcW w:w="2844" w:type="dxa"/>
            <w:tcBorders>
              <w:top w:val="nil"/>
              <w:left w:val="nil"/>
              <w:bottom w:val="nil"/>
              <w:right w:val="nil"/>
            </w:tcBorders>
          </w:tcPr>
          <w:p>
            <w:pPr>
              <w:rPr>
                <w:rFonts w:ascii="Arial" w:hAnsi="Arial" w:cs="Arial"/>
                <w:sz w:val="15"/>
                <w:szCs w:val="15"/>
              </w:rPr>
            </w:pPr>
          </w:p>
        </w:tc>
        <w:tc>
          <w:tcPr>
            <w:tcW w:w="3562" w:type="dxa"/>
            <w:gridSpan w:val="3"/>
            <w:tcBorders>
              <w:top w:val="nil"/>
              <w:left w:val="nil"/>
              <w:bottom w:val="nil"/>
              <w:right w:val="nil"/>
            </w:tcBorders>
            <w:vAlign w:val="bottom"/>
          </w:tcPr>
          <w:p>
            <w:pPr>
              <w:rPr>
                <w:rFonts w:ascii="Arial" w:hAnsi="Arial" w:cs="Arial"/>
                <w:sz w:val="15"/>
                <w:szCs w:val="15"/>
              </w:rPr>
            </w:pPr>
          </w:p>
        </w:tc>
        <w:tc>
          <w:tcPr>
            <w:tcW w:w="2151" w:type="dxa"/>
            <w:tcBorders>
              <w:top w:val="nil"/>
              <w:left w:val="nil"/>
              <w:bottom w:val="nil"/>
              <w:right w:val="nil"/>
            </w:tcBorders>
            <w:vAlign w:val="bottom"/>
          </w:tcPr>
          <w:p>
            <w:pPr>
              <w:rPr>
                <w:rFonts w:ascii="宋体" w:cs="Arial"/>
                <w:sz w:val="15"/>
                <w:szCs w:val="15"/>
              </w:rPr>
            </w:pPr>
            <w:r>
              <w:rPr>
                <w:rFonts w:hint="eastAsia" w:cs="Arial"/>
                <w:sz w:val="15"/>
                <w:szCs w:val="15"/>
              </w:rPr>
              <w:t>公开</w:t>
            </w:r>
            <w:r>
              <w:rPr>
                <w:rFonts w:cs="Arial"/>
                <w:sz w:val="15"/>
                <w:szCs w:val="15"/>
              </w:rPr>
              <w:t>08</w:t>
            </w:r>
            <w:r>
              <w:rPr>
                <w:rFonts w:hint="eastAsia" w:cs="Arial"/>
                <w:sz w:val="15"/>
                <w:szCs w:val="15"/>
              </w:rPr>
              <w:t>表</w:t>
            </w:r>
          </w:p>
        </w:tc>
      </w:tr>
      <w:tr>
        <w:tblPrEx>
          <w:tblCellMar>
            <w:top w:w="0" w:type="dxa"/>
            <w:left w:w="108" w:type="dxa"/>
            <w:bottom w:w="0" w:type="dxa"/>
            <w:right w:w="108" w:type="dxa"/>
          </w:tblCellMar>
        </w:tblPrEx>
        <w:trPr>
          <w:gridAfter w:val="1"/>
          <w:wAfter w:w="206" w:type="dxa"/>
          <w:trHeight w:val="270" w:hRule="atLeast"/>
        </w:trPr>
        <w:tc>
          <w:tcPr>
            <w:tcW w:w="2844" w:type="dxa"/>
            <w:tcBorders>
              <w:top w:val="nil"/>
              <w:left w:val="nil"/>
              <w:bottom w:val="nil"/>
              <w:right w:val="nil"/>
            </w:tcBorders>
          </w:tcPr>
          <w:p>
            <w:pPr>
              <w:rPr>
                <w:rFonts w:cs="Arial"/>
                <w:sz w:val="15"/>
                <w:szCs w:val="15"/>
              </w:rPr>
            </w:pPr>
            <w:r>
              <w:rPr>
                <w:rFonts w:hint="eastAsia" w:cs="Arial"/>
                <w:sz w:val="15"/>
                <w:szCs w:val="15"/>
              </w:rPr>
              <w:t>部门：</w:t>
            </w:r>
          </w:p>
        </w:tc>
        <w:tc>
          <w:tcPr>
            <w:tcW w:w="3562" w:type="dxa"/>
            <w:gridSpan w:val="3"/>
            <w:tcBorders>
              <w:top w:val="nil"/>
              <w:left w:val="nil"/>
              <w:bottom w:val="nil"/>
              <w:right w:val="nil"/>
            </w:tcBorders>
            <w:vAlign w:val="bottom"/>
          </w:tcPr>
          <w:p>
            <w:pPr>
              <w:rPr>
                <w:rFonts w:ascii="宋体" w:cs="Arial"/>
                <w:sz w:val="15"/>
                <w:szCs w:val="15"/>
              </w:rPr>
            </w:pPr>
          </w:p>
        </w:tc>
        <w:tc>
          <w:tcPr>
            <w:tcW w:w="2151" w:type="dxa"/>
            <w:tcBorders>
              <w:top w:val="nil"/>
              <w:left w:val="nil"/>
              <w:bottom w:val="single" w:color="000000" w:sz="8" w:space="0"/>
              <w:right w:val="nil"/>
            </w:tcBorders>
            <w:vAlign w:val="bottom"/>
          </w:tcPr>
          <w:p>
            <w:pPr>
              <w:rPr>
                <w:rFonts w:ascii="宋体" w:cs="Arial"/>
                <w:sz w:val="15"/>
                <w:szCs w:val="15"/>
              </w:rPr>
            </w:pPr>
            <w:r>
              <w:rPr>
                <w:rFonts w:hint="eastAsia" w:cs="Arial"/>
                <w:sz w:val="15"/>
                <w:szCs w:val="15"/>
              </w:rPr>
              <w:t>金额单位：万元</w:t>
            </w:r>
          </w:p>
        </w:tc>
      </w:tr>
      <w:tr>
        <w:tblPrEx>
          <w:tblCellMar>
            <w:top w:w="0" w:type="dxa"/>
            <w:left w:w="108" w:type="dxa"/>
            <w:bottom w:w="0" w:type="dxa"/>
            <w:right w:w="108" w:type="dxa"/>
          </w:tblCellMar>
        </w:tblPrEx>
        <w:trPr>
          <w:trHeight w:val="918"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kern w:val="0"/>
                <w:sz w:val="15"/>
                <w:szCs w:val="15"/>
              </w:rPr>
            </w:pPr>
            <w:r>
              <w:rPr>
                <w:rFonts w:hint="eastAsia" w:ascii="宋体" w:hAnsi="宋体" w:cs="Arial"/>
                <w:kern w:val="0"/>
                <w:sz w:val="15"/>
                <w:szCs w:val="15"/>
              </w:rPr>
              <w:t>项</w:t>
            </w:r>
            <w:r>
              <w:rPr>
                <w:rFonts w:ascii="宋体" w:hAnsi="宋体" w:cs="Arial"/>
                <w:kern w:val="0"/>
                <w:sz w:val="15"/>
                <w:szCs w:val="15"/>
              </w:rPr>
              <w:t xml:space="preserve">   </w:t>
            </w:r>
            <w:r>
              <w:rPr>
                <w:rFonts w:hint="eastAsia" w:ascii="宋体" w:hAnsi="宋体" w:cs="Arial"/>
                <w:kern w:val="0"/>
                <w:sz w:val="15"/>
                <w:szCs w:val="15"/>
              </w:rPr>
              <w:t>目</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kern w:val="0"/>
                <w:sz w:val="15"/>
                <w:szCs w:val="15"/>
              </w:rPr>
            </w:pPr>
          </w:p>
          <w:p>
            <w:pPr>
              <w:widowControl/>
              <w:rPr>
                <w:rFonts w:ascii="宋体" w:cs="Arial"/>
                <w:kern w:val="0"/>
                <w:sz w:val="15"/>
                <w:szCs w:val="15"/>
              </w:rPr>
            </w:pPr>
            <w:r>
              <w:rPr>
                <w:rFonts w:hint="eastAsia" w:ascii="宋体" w:hAnsi="宋体" w:cs="Arial"/>
                <w:kern w:val="0"/>
                <w:sz w:val="15"/>
                <w:szCs w:val="15"/>
              </w:rPr>
              <w:t>预算数</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kern w:val="0"/>
                <w:sz w:val="15"/>
                <w:szCs w:val="15"/>
              </w:rPr>
            </w:pPr>
            <w:r>
              <w:rPr>
                <w:rFonts w:hint="eastAsia" w:ascii="宋体" w:hAnsi="宋体" w:cs="Arial"/>
                <w:kern w:val="0"/>
                <w:sz w:val="15"/>
                <w:szCs w:val="15"/>
              </w:rPr>
              <w:t>决算数</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kern w:val="0"/>
                <w:sz w:val="15"/>
                <w:szCs w:val="15"/>
              </w:rPr>
            </w:pPr>
            <w:r>
              <w:rPr>
                <w:rFonts w:hint="eastAsia" w:ascii="宋体" w:hAnsi="宋体" w:cs="Arial"/>
                <w:kern w:val="0"/>
                <w:sz w:val="15"/>
                <w:szCs w:val="15"/>
              </w:rPr>
              <w:t>合</w:t>
            </w:r>
            <w:r>
              <w:rPr>
                <w:rFonts w:ascii="宋体" w:hAnsi="宋体" w:cs="Arial"/>
                <w:kern w:val="0"/>
                <w:sz w:val="15"/>
                <w:szCs w:val="15"/>
              </w:rPr>
              <w:t xml:space="preserve">   </w:t>
            </w:r>
            <w:r>
              <w:rPr>
                <w:rFonts w:hint="eastAsia" w:ascii="宋体" w:hAnsi="宋体" w:cs="Arial"/>
                <w:kern w:val="0"/>
                <w:sz w:val="15"/>
                <w:szCs w:val="15"/>
              </w:rPr>
              <w:t>计</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r>
              <w:rPr>
                <w:sz w:val="15"/>
                <w:szCs w:val="15"/>
              </w:rPr>
              <w:t>7.20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r>
              <w:rPr>
                <w:sz w:val="15"/>
                <w:szCs w:val="15"/>
              </w:rPr>
              <w:t>4.56</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kern w:val="0"/>
                <w:sz w:val="15"/>
                <w:szCs w:val="15"/>
              </w:rPr>
            </w:pPr>
            <w:r>
              <w:rPr>
                <w:rFonts w:ascii="宋体" w:hAnsi="宋体" w:cs="Arial"/>
                <w:kern w:val="0"/>
                <w:sz w:val="15"/>
                <w:szCs w:val="15"/>
              </w:rPr>
              <w:t>1.</w:t>
            </w:r>
            <w:r>
              <w:rPr>
                <w:rFonts w:hint="eastAsia" w:ascii="宋体" w:hAnsi="宋体" w:cs="Arial"/>
                <w:kern w:val="0"/>
                <w:sz w:val="15"/>
                <w:szCs w:val="15"/>
              </w:rPr>
              <w:t>因公出国（境）费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r>
              <w:rPr>
                <w:sz w:val="15"/>
                <w:szCs w:val="15"/>
              </w:rPr>
              <w:t>4.20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r>
              <w:rPr>
                <w:sz w:val="15"/>
                <w:szCs w:val="15"/>
              </w:rPr>
              <w:t>3.19</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kern w:val="0"/>
                <w:sz w:val="15"/>
                <w:szCs w:val="15"/>
              </w:rPr>
            </w:pPr>
            <w:r>
              <w:rPr>
                <w:rFonts w:ascii="宋体" w:hAnsi="宋体" w:cs="Arial"/>
                <w:kern w:val="0"/>
                <w:sz w:val="15"/>
                <w:szCs w:val="15"/>
              </w:rPr>
              <w:t>2.</w:t>
            </w:r>
            <w:r>
              <w:rPr>
                <w:rFonts w:hint="eastAsia" w:ascii="宋体" w:hAnsi="宋体" w:cs="Arial"/>
                <w:kern w:val="0"/>
                <w:sz w:val="15"/>
                <w:szCs w:val="15"/>
              </w:rPr>
              <w:t>公务接待费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r>
              <w:rPr>
                <w:sz w:val="15"/>
                <w:szCs w:val="15"/>
              </w:rPr>
              <w:t>3.00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r>
              <w:rPr>
                <w:sz w:val="15"/>
                <w:szCs w:val="15"/>
              </w:rPr>
              <w:t>1.38</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kern w:val="0"/>
                <w:sz w:val="15"/>
                <w:szCs w:val="15"/>
              </w:rPr>
            </w:pPr>
            <w:r>
              <w:rPr>
                <w:rFonts w:ascii="宋体" w:hAnsi="宋体" w:cs="Arial"/>
                <w:kern w:val="0"/>
                <w:sz w:val="15"/>
                <w:szCs w:val="15"/>
              </w:rPr>
              <w:t>3.</w:t>
            </w:r>
            <w:r>
              <w:rPr>
                <w:rFonts w:hint="eastAsia" w:ascii="宋体" w:hAnsi="宋体" w:cs="Arial"/>
                <w:kern w:val="0"/>
                <w:sz w:val="15"/>
                <w:szCs w:val="15"/>
              </w:rPr>
              <w:t>公务用车购置及运行费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kern w:val="0"/>
                <w:sz w:val="15"/>
                <w:szCs w:val="15"/>
              </w:rPr>
            </w:pPr>
            <w:r>
              <w:rPr>
                <w:rFonts w:hint="eastAsia" w:ascii="宋体" w:hAnsi="宋体" w:cs="Arial"/>
                <w:kern w:val="0"/>
                <w:sz w:val="15"/>
                <w:szCs w:val="15"/>
              </w:rPr>
              <w:t>其中：公务用车购置费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kern w:val="0"/>
                <w:sz w:val="15"/>
                <w:szCs w:val="15"/>
              </w:rPr>
            </w:pPr>
            <w:r>
              <w:rPr>
                <w:rFonts w:hint="eastAsia" w:ascii="宋体" w:hAnsi="宋体" w:cs="Arial"/>
                <w:kern w:val="0"/>
                <w:sz w:val="15"/>
                <w:szCs w:val="15"/>
              </w:rPr>
              <w:t>公务用车运行维护费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tcPr>
          <w:p>
            <w:pPr>
              <w:rPr>
                <w:sz w:val="15"/>
                <w:szCs w:val="15"/>
              </w:rPr>
            </w:pPr>
          </w:p>
        </w:tc>
      </w:tr>
    </w:tbl>
    <w:p>
      <w:pPr>
        <w:autoSpaceDE w:val="0"/>
        <w:autoSpaceDN w:val="0"/>
        <w:adjustRightInd w:val="0"/>
        <w:spacing w:line="560" w:lineRule="exact"/>
        <w:rPr>
          <w:rFonts w:ascii="??" w:hAnsi="Times New Roman" w:eastAsia="Times New Roman" w:cs="??"/>
          <w:sz w:val="32"/>
          <w:szCs w:val="32"/>
        </w:rPr>
      </w:pPr>
    </w:p>
    <w:p>
      <w:pPr>
        <w:autoSpaceDE w:val="0"/>
        <w:autoSpaceDN w:val="0"/>
        <w:adjustRightInd w:val="0"/>
        <w:spacing w:line="560" w:lineRule="exact"/>
        <w:ind w:firstLine="627"/>
        <w:rPr>
          <w:rFonts w:ascii="??" w:hAnsi="Times New Roman" w:eastAsia="Times New Roman" w:cs="??"/>
          <w:sz w:val="32"/>
          <w:szCs w:val="32"/>
        </w:rPr>
      </w:pPr>
      <w:r>
        <w:rPr>
          <w:rFonts w:hint="eastAsia" w:ascii="黑体" w:hAnsi="Times New Roman" w:eastAsia="黑体" w:cs="黑体"/>
          <w:sz w:val="32"/>
          <w:szCs w:val="32"/>
          <w:lang w:val="zh-CN"/>
        </w:rPr>
        <w:t>三、</w:t>
      </w:r>
      <w:r>
        <w:rPr>
          <w:rFonts w:ascii="黑体" w:hAnsi="Times New Roman" w:eastAsia="黑体" w:cs="黑体"/>
          <w:sz w:val="32"/>
          <w:szCs w:val="32"/>
        </w:rPr>
        <w:t>2016</w:t>
      </w:r>
      <w:r>
        <w:rPr>
          <w:rFonts w:hint="eastAsia" w:ascii="黑体" w:hAnsi="Times New Roman" w:eastAsia="黑体" w:cs="黑体"/>
          <w:sz w:val="32"/>
          <w:szCs w:val="32"/>
        </w:rPr>
        <w:t>年度部门决算情况说明</w:t>
      </w:r>
      <w:r>
        <w:rPr>
          <w:rFonts w:ascii="Times New Roman" w:hAnsi="Times New Roman" w:eastAsia="黑体"/>
          <w:sz w:val="32"/>
          <w:szCs w:val="32"/>
        </w:rPr>
        <w:br w:type="textWrapping"/>
      </w:r>
      <w:r>
        <w:rPr>
          <w:rFonts w:hint="eastAsia" w:ascii="仿宋_GB2312" w:hAnsi="Times New Roman" w:eastAsia="仿宋_GB2312" w:cs="仿宋_GB2312"/>
          <w:sz w:val="32"/>
          <w:szCs w:val="32"/>
        </w:rPr>
        <w:t>　　</w:t>
      </w:r>
      <w:r>
        <w:rPr>
          <w:rFonts w:ascii="??" w:hAnsi="Times New Roman" w:eastAsia="Times New Roman" w:cs="??"/>
          <w:sz w:val="32"/>
          <w:szCs w:val="32"/>
        </w:rPr>
        <w:t>（一）收入支出决算总体情况</w:t>
      </w:r>
    </w:p>
    <w:p>
      <w:pPr>
        <w:autoSpaceDE w:val="0"/>
        <w:autoSpaceDN w:val="0"/>
        <w:adjustRightInd w:val="0"/>
        <w:spacing w:line="560" w:lineRule="exact"/>
        <w:ind w:firstLine="627"/>
        <w:rPr>
          <w:rFonts w:ascii="??" w:hAnsi="Times New Roman" w:eastAsia="Times New Roman" w:cs="??"/>
          <w:sz w:val="32"/>
          <w:szCs w:val="32"/>
        </w:rPr>
      </w:pPr>
      <w:r>
        <w:rPr>
          <w:rFonts w:ascii="??" w:hAnsi="Times New Roman" w:eastAsia="Times New Roman" w:cs="??"/>
          <w:sz w:val="32"/>
          <w:szCs w:val="32"/>
        </w:rPr>
        <w:t>1、2016年度收入总计3431.94万元，其中本年收入3411.17万元。具体情况如下：</w:t>
      </w:r>
    </w:p>
    <w:p>
      <w:pPr>
        <w:autoSpaceDE w:val="0"/>
        <w:autoSpaceDN w:val="0"/>
        <w:adjustRightInd w:val="0"/>
        <w:spacing w:line="560" w:lineRule="exact"/>
        <w:ind w:firstLine="627"/>
        <w:rPr>
          <w:rFonts w:ascii="??" w:hAnsi="Times New Roman" w:cs="??"/>
          <w:sz w:val="32"/>
          <w:szCs w:val="32"/>
        </w:rPr>
      </w:pPr>
      <w:r>
        <w:rPr>
          <w:rFonts w:ascii="??" w:hAnsi="Times New Roman" w:eastAsia="Times New Roman" w:cs="??"/>
          <w:sz w:val="32"/>
          <w:szCs w:val="32"/>
        </w:rPr>
        <w:t>（1）财政拨款收入2169.56万元，较上年增加974.58万元，</w:t>
      </w:r>
      <w:r>
        <w:rPr>
          <w:rFonts w:hint="eastAsia" w:ascii="??" w:hAnsi="Times New Roman" w:cs="??"/>
          <w:sz w:val="32"/>
          <w:szCs w:val="32"/>
        </w:rPr>
        <w:t>活动中心增加</w:t>
      </w:r>
      <w:r>
        <w:rPr>
          <w:rFonts w:ascii="??" w:hAnsi="Times New Roman" w:cs="??"/>
          <w:sz w:val="32"/>
          <w:szCs w:val="32"/>
        </w:rPr>
        <w:t>850.47</w:t>
      </w:r>
      <w:r>
        <w:rPr>
          <w:rFonts w:hint="eastAsia" w:ascii="??" w:hAnsi="Times New Roman" w:cs="??"/>
          <w:sz w:val="32"/>
          <w:szCs w:val="32"/>
        </w:rPr>
        <w:t>万元，</w:t>
      </w:r>
      <w:r>
        <w:rPr>
          <w:rFonts w:ascii="??" w:hAnsi="Times New Roman" w:eastAsia="Times New Roman" w:cs="??"/>
          <w:sz w:val="32"/>
          <w:szCs w:val="32"/>
        </w:rPr>
        <w:t>增长81.56%，财政拨款收入2169.56万元，较上年增加974.58万元，增长81.56%，</w:t>
      </w:r>
      <w:r>
        <w:rPr>
          <w:rFonts w:hint="eastAsia" w:ascii="??" w:hAnsi="Times New Roman" w:cs="??"/>
          <w:sz w:val="32"/>
          <w:szCs w:val="32"/>
        </w:rPr>
        <w:t>温州市妇女联合会增加</w:t>
      </w:r>
      <w:r>
        <w:rPr>
          <w:rFonts w:ascii="??" w:hAnsi="Times New Roman" w:cs="??"/>
          <w:sz w:val="32"/>
          <w:szCs w:val="32"/>
        </w:rPr>
        <w:t>124.11</w:t>
      </w:r>
      <w:r>
        <w:rPr>
          <w:rFonts w:hint="eastAsia" w:ascii="??" w:hAnsi="Times New Roman" w:cs="??"/>
          <w:sz w:val="32"/>
          <w:szCs w:val="32"/>
        </w:rPr>
        <w:t>万元，主要原因是本年比上年增加了养老保险和职业年金的缴纳及省拔经费的增加；活动中心增加</w:t>
      </w:r>
      <w:r>
        <w:rPr>
          <w:rFonts w:ascii="??" w:hAnsi="Times New Roman" w:cs="??"/>
          <w:sz w:val="32"/>
          <w:szCs w:val="32"/>
        </w:rPr>
        <w:t>850.47</w:t>
      </w:r>
      <w:r>
        <w:rPr>
          <w:rFonts w:hint="eastAsia" w:ascii="??" w:hAnsi="Times New Roman" w:cs="??"/>
          <w:sz w:val="32"/>
          <w:szCs w:val="32"/>
        </w:rPr>
        <w:t>万元，</w:t>
      </w:r>
      <w:r>
        <w:rPr>
          <w:rFonts w:ascii="??" w:hAnsi="Times New Roman" w:eastAsia="Times New Roman" w:cs="??"/>
          <w:sz w:val="32"/>
          <w:szCs w:val="32"/>
        </w:rPr>
        <w:t>主要原因</w:t>
      </w:r>
      <w:r>
        <w:rPr>
          <w:rFonts w:hint="eastAsia" w:ascii="??" w:hAnsi="Times New Roman" w:cs="??"/>
          <w:sz w:val="32"/>
          <w:szCs w:val="32"/>
        </w:rPr>
        <w:t>是其中温州市妇女儿童活动中心二次装修和设施设备添置工程资金财政拨款</w:t>
      </w:r>
      <w:r>
        <w:rPr>
          <w:rFonts w:ascii="??" w:hAnsi="Times New Roman" w:cs="??"/>
          <w:sz w:val="32"/>
          <w:szCs w:val="32"/>
        </w:rPr>
        <w:t>779.36</w:t>
      </w:r>
      <w:r>
        <w:rPr>
          <w:rFonts w:hint="eastAsia" w:ascii="??" w:hAnsi="Times New Roman" w:cs="??"/>
          <w:sz w:val="32"/>
          <w:szCs w:val="32"/>
        </w:rPr>
        <w:t>万元、公益活动经费增加</w:t>
      </w:r>
      <w:r>
        <w:rPr>
          <w:rFonts w:ascii="??" w:hAnsi="Times New Roman" w:cs="??"/>
          <w:sz w:val="32"/>
          <w:szCs w:val="32"/>
        </w:rPr>
        <w:t>1.05</w:t>
      </w:r>
      <w:r>
        <w:rPr>
          <w:rFonts w:hint="eastAsia" w:ascii="??" w:hAnsi="Times New Roman" w:cs="??"/>
          <w:sz w:val="32"/>
          <w:szCs w:val="32"/>
        </w:rPr>
        <w:t>万元，大型设施设备维护费</w:t>
      </w:r>
      <w:r>
        <w:rPr>
          <w:rFonts w:ascii="??" w:hAnsi="Times New Roman" w:cs="??"/>
          <w:sz w:val="32"/>
          <w:szCs w:val="32"/>
        </w:rPr>
        <w:t>11.8</w:t>
      </w:r>
      <w:r>
        <w:rPr>
          <w:rFonts w:hint="eastAsia" w:ascii="??" w:hAnsi="Times New Roman" w:cs="??"/>
          <w:sz w:val="32"/>
          <w:szCs w:val="32"/>
        </w:rPr>
        <w:t>万元，人员经费增加</w:t>
      </w:r>
      <w:r>
        <w:rPr>
          <w:rFonts w:ascii="??" w:hAnsi="Times New Roman" w:cs="??"/>
          <w:sz w:val="32"/>
          <w:szCs w:val="32"/>
        </w:rPr>
        <w:t>58.26</w:t>
      </w:r>
      <w:r>
        <w:rPr>
          <w:rFonts w:hint="eastAsia" w:ascii="??" w:hAnsi="Times New Roman" w:cs="??"/>
          <w:sz w:val="32"/>
          <w:szCs w:val="32"/>
        </w:rPr>
        <w:t>万元（</w:t>
      </w:r>
      <w:r>
        <w:rPr>
          <w:rFonts w:ascii="??" w:hAnsi="Times New Roman" w:cs="??"/>
          <w:sz w:val="32"/>
          <w:szCs w:val="32"/>
        </w:rPr>
        <w:t>2016</w:t>
      </w:r>
      <w:r>
        <w:rPr>
          <w:rFonts w:hint="eastAsia" w:ascii="??" w:hAnsi="Times New Roman" w:cs="??"/>
          <w:sz w:val="32"/>
          <w:szCs w:val="32"/>
        </w:rPr>
        <w:t>年调入</w:t>
      </w:r>
      <w:r>
        <w:rPr>
          <w:rFonts w:ascii="??" w:hAnsi="Times New Roman" w:cs="??"/>
          <w:sz w:val="32"/>
          <w:szCs w:val="32"/>
        </w:rPr>
        <w:t>4</w:t>
      </w:r>
      <w:r>
        <w:rPr>
          <w:rFonts w:hint="eastAsia" w:ascii="??" w:hAnsi="Times New Roman" w:cs="??"/>
          <w:sz w:val="32"/>
          <w:szCs w:val="32"/>
        </w:rPr>
        <w:t>人，</w:t>
      </w:r>
      <w:r>
        <w:rPr>
          <w:rFonts w:ascii="??" w:hAnsi="Times New Roman" w:cs="??"/>
          <w:sz w:val="32"/>
          <w:szCs w:val="32"/>
        </w:rPr>
        <w:t>5</w:t>
      </w:r>
      <w:r>
        <w:rPr>
          <w:rFonts w:hint="eastAsia" w:ascii="??" w:hAnsi="Times New Roman" w:cs="??"/>
          <w:sz w:val="32"/>
          <w:szCs w:val="32"/>
        </w:rPr>
        <w:t>月份调出</w:t>
      </w:r>
      <w:r>
        <w:rPr>
          <w:rFonts w:ascii="??" w:hAnsi="Times New Roman" w:cs="??"/>
          <w:sz w:val="32"/>
          <w:szCs w:val="32"/>
        </w:rPr>
        <w:t>1</w:t>
      </w:r>
      <w:r>
        <w:rPr>
          <w:rFonts w:hint="eastAsia" w:ascii="??" w:hAnsi="Times New Roman" w:cs="??"/>
          <w:sz w:val="32"/>
          <w:szCs w:val="32"/>
        </w:rPr>
        <w:t>人）</w:t>
      </w:r>
    </w:p>
    <w:p>
      <w:pPr>
        <w:autoSpaceDE w:val="0"/>
        <w:autoSpaceDN w:val="0"/>
        <w:adjustRightInd w:val="0"/>
        <w:spacing w:line="560" w:lineRule="exact"/>
        <w:ind w:firstLine="627"/>
        <w:rPr>
          <w:rFonts w:ascii="??" w:hAnsi="Times New Roman" w:eastAsia="Times New Roman" w:cs="??"/>
          <w:sz w:val="32"/>
          <w:szCs w:val="32"/>
        </w:rPr>
      </w:pPr>
      <w:r>
        <w:rPr>
          <w:rFonts w:ascii="??" w:hAnsi="Times New Roman" w:eastAsia="Times New Roman" w:cs="??"/>
          <w:sz w:val="32"/>
          <w:szCs w:val="32"/>
        </w:rPr>
        <w:t>（2）事业收入432.17万元，较上年增加266.37万元，增长161%，主要原因</w:t>
      </w:r>
      <w:r>
        <w:rPr>
          <w:rFonts w:hint="eastAsia" w:ascii="??" w:hAnsi="Times New Roman" w:cs="??"/>
          <w:sz w:val="32"/>
          <w:szCs w:val="32"/>
        </w:rPr>
        <w:t>是温州市妇女儿童活动中心增加妇女儿童学员培训成本</w:t>
      </w:r>
      <w:r>
        <w:rPr>
          <w:rFonts w:ascii="??" w:hAnsi="Times New Roman" w:cs="??"/>
          <w:sz w:val="32"/>
          <w:szCs w:val="32"/>
        </w:rPr>
        <w:t>119.99</w:t>
      </w:r>
      <w:r>
        <w:rPr>
          <w:rFonts w:hint="eastAsia" w:ascii="??" w:hAnsi="Times New Roman" w:cs="??"/>
          <w:sz w:val="32"/>
          <w:szCs w:val="32"/>
        </w:rPr>
        <w:t>万元、专业比赛及教科研经费</w:t>
      </w:r>
      <w:r>
        <w:rPr>
          <w:rFonts w:ascii="??" w:hAnsi="Times New Roman" w:cs="??"/>
          <w:sz w:val="32"/>
          <w:szCs w:val="32"/>
        </w:rPr>
        <w:t>6.27</w:t>
      </w:r>
      <w:r>
        <w:rPr>
          <w:rFonts w:hint="eastAsia" w:ascii="??" w:hAnsi="Times New Roman" w:cs="??"/>
          <w:sz w:val="32"/>
          <w:szCs w:val="32"/>
        </w:rPr>
        <w:t>万元、办公设施设备购置费</w:t>
      </w:r>
      <w:r>
        <w:rPr>
          <w:rFonts w:ascii="??" w:hAnsi="Times New Roman" w:cs="??"/>
          <w:sz w:val="32"/>
          <w:szCs w:val="32"/>
        </w:rPr>
        <w:t>1.16</w:t>
      </w:r>
      <w:r>
        <w:rPr>
          <w:rFonts w:hint="eastAsia" w:ascii="??" w:hAnsi="Times New Roman" w:cs="??"/>
          <w:sz w:val="32"/>
          <w:szCs w:val="32"/>
        </w:rPr>
        <w:t>万元、专项水电费</w:t>
      </w:r>
      <w:r>
        <w:rPr>
          <w:rFonts w:ascii="??" w:hAnsi="Times New Roman" w:cs="??"/>
          <w:sz w:val="32"/>
          <w:szCs w:val="32"/>
        </w:rPr>
        <w:t>31.08</w:t>
      </w:r>
      <w:r>
        <w:rPr>
          <w:rFonts w:hint="eastAsia" w:ascii="??" w:hAnsi="Times New Roman" w:cs="??"/>
          <w:sz w:val="32"/>
          <w:szCs w:val="32"/>
        </w:rPr>
        <w:t>万元、物业管理费</w:t>
      </w:r>
      <w:r>
        <w:rPr>
          <w:rFonts w:ascii="??" w:hAnsi="Times New Roman" w:cs="??"/>
          <w:sz w:val="32"/>
          <w:szCs w:val="32"/>
        </w:rPr>
        <w:t>120.87</w:t>
      </w:r>
      <w:r>
        <w:rPr>
          <w:rFonts w:hint="eastAsia" w:ascii="??" w:hAnsi="Times New Roman" w:cs="??"/>
          <w:sz w:val="32"/>
          <w:szCs w:val="32"/>
        </w:rPr>
        <w:t>万元，社会公益活动</w:t>
      </w:r>
      <w:r>
        <w:rPr>
          <w:rFonts w:ascii="??" w:hAnsi="Times New Roman" w:cs="??"/>
          <w:sz w:val="32"/>
          <w:szCs w:val="32"/>
        </w:rPr>
        <w:t>-13</w:t>
      </w:r>
      <w:r>
        <w:rPr>
          <w:rFonts w:hint="eastAsia" w:ascii="??" w:hAnsi="Times New Roman" w:cs="??"/>
          <w:sz w:val="32"/>
          <w:szCs w:val="32"/>
        </w:rPr>
        <w:t>万元等项目经费。</w:t>
      </w:r>
    </w:p>
    <w:p>
      <w:pPr>
        <w:autoSpaceDE w:val="0"/>
        <w:autoSpaceDN w:val="0"/>
        <w:adjustRightInd w:val="0"/>
        <w:spacing w:line="560" w:lineRule="exact"/>
        <w:ind w:firstLine="627"/>
        <w:rPr>
          <w:rFonts w:ascii="??" w:hAnsi="Times New Roman" w:cs="??"/>
          <w:sz w:val="32"/>
          <w:szCs w:val="32"/>
        </w:rPr>
      </w:pPr>
      <w:r>
        <w:rPr>
          <w:rFonts w:ascii="??" w:hAnsi="Times New Roman" w:eastAsia="Times New Roman" w:cs="??"/>
          <w:sz w:val="32"/>
          <w:szCs w:val="32"/>
        </w:rPr>
        <w:t>（3）其他收入809.44万元，较上年增加802.84万元，</w:t>
      </w:r>
      <w:r>
        <w:rPr>
          <w:rFonts w:hint="eastAsia" w:ascii="??" w:hAnsi="Times New Roman" w:cs="??"/>
          <w:sz w:val="32"/>
          <w:szCs w:val="32"/>
        </w:rPr>
        <w:t>活动中心增加</w:t>
      </w:r>
      <w:r>
        <w:rPr>
          <w:rFonts w:ascii="??" w:hAnsi="Times New Roman" w:cs="??"/>
          <w:sz w:val="32"/>
          <w:szCs w:val="32"/>
        </w:rPr>
        <w:t>799.1</w:t>
      </w:r>
      <w:r>
        <w:rPr>
          <w:rFonts w:hint="eastAsia" w:ascii="??" w:hAnsi="Times New Roman" w:cs="??"/>
          <w:sz w:val="32"/>
          <w:szCs w:val="32"/>
        </w:rPr>
        <w:t>万元，</w:t>
      </w:r>
      <w:r>
        <w:rPr>
          <w:rFonts w:ascii="??" w:hAnsi="Times New Roman" w:eastAsia="Times New Roman" w:cs="??"/>
          <w:sz w:val="32"/>
          <w:szCs w:val="32"/>
        </w:rPr>
        <w:t>增长121.64倍，主要原因是</w:t>
      </w:r>
      <w:r>
        <w:rPr>
          <w:rFonts w:hint="eastAsia" w:ascii="??" w:hAnsi="Times New Roman" w:cs="??"/>
          <w:sz w:val="32"/>
          <w:szCs w:val="32"/>
        </w:rPr>
        <w:t>其中农办转入温州市妇女联合会用于创业大赛的工作经费</w:t>
      </w:r>
      <w:r>
        <w:rPr>
          <w:rFonts w:ascii="??" w:hAnsi="Times New Roman" w:cs="??"/>
          <w:sz w:val="32"/>
          <w:szCs w:val="32"/>
        </w:rPr>
        <w:t>20</w:t>
      </w:r>
      <w:r>
        <w:rPr>
          <w:rFonts w:hint="eastAsia" w:ascii="??" w:hAnsi="Times New Roman" w:cs="??"/>
          <w:sz w:val="32"/>
          <w:szCs w:val="32"/>
        </w:rPr>
        <w:t>万元，团市委转入春芽计划</w:t>
      </w:r>
      <w:r>
        <w:rPr>
          <w:rFonts w:ascii="??" w:hAnsi="Times New Roman" w:cs="??"/>
          <w:sz w:val="32"/>
          <w:szCs w:val="32"/>
        </w:rPr>
        <w:t>0.4</w:t>
      </w:r>
      <w:r>
        <w:rPr>
          <w:rFonts w:hint="eastAsia" w:ascii="??" w:hAnsi="Times New Roman" w:cs="??"/>
          <w:sz w:val="32"/>
          <w:szCs w:val="32"/>
        </w:rPr>
        <w:t>万元，较上年</w:t>
      </w:r>
      <w:r>
        <w:rPr>
          <w:rFonts w:ascii="??" w:hAnsi="Times New Roman" w:cs="??"/>
          <w:sz w:val="32"/>
          <w:szCs w:val="32"/>
        </w:rPr>
        <w:t>6.6</w:t>
      </w:r>
      <w:r>
        <w:rPr>
          <w:rFonts w:hint="eastAsia" w:ascii="??" w:hAnsi="Times New Roman" w:cs="??"/>
          <w:sz w:val="32"/>
          <w:szCs w:val="32"/>
        </w:rPr>
        <w:t>万元增加了</w:t>
      </w:r>
      <w:r>
        <w:rPr>
          <w:rFonts w:ascii="??" w:hAnsi="Times New Roman" w:cs="??"/>
          <w:sz w:val="32"/>
          <w:szCs w:val="32"/>
        </w:rPr>
        <w:t>13.8</w:t>
      </w:r>
      <w:r>
        <w:rPr>
          <w:rFonts w:hint="eastAsia" w:ascii="??" w:hAnsi="Times New Roman" w:cs="??"/>
          <w:sz w:val="32"/>
          <w:szCs w:val="32"/>
        </w:rPr>
        <w:t>万元；活动中心增加</w:t>
      </w:r>
      <w:r>
        <w:rPr>
          <w:rFonts w:ascii="??" w:hAnsi="Times New Roman" w:cs="??"/>
          <w:sz w:val="32"/>
          <w:szCs w:val="32"/>
        </w:rPr>
        <w:t>799.1</w:t>
      </w:r>
      <w:r>
        <w:rPr>
          <w:rFonts w:hint="eastAsia" w:ascii="??" w:hAnsi="Times New Roman" w:cs="??"/>
          <w:sz w:val="32"/>
          <w:szCs w:val="32"/>
        </w:rPr>
        <w:t>万元</w:t>
      </w:r>
      <w:r>
        <w:rPr>
          <w:rFonts w:ascii="??" w:hAnsi="Times New Roman" w:eastAsia="Times New Roman" w:cs="??"/>
          <w:sz w:val="32"/>
          <w:szCs w:val="32"/>
        </w:rPr>
        <w:t>，主要原因是</w:t>
      </w:r>
      <w:r>
        <w:rPr>
          <w:rFonts w:hint="eastAsia" w:ascii="??" w:hAnsi="Times New Roman" w:cs="??"/>
          <w:sz w:val="32"/>
          <w:szCs w:val="32"/>
        </w:rPr>
        <w:t>温州市妇女儿童活动中心二次装修和设施设备添置工程资金财政拨款</w:t>
      </w:r>
      <w:r>
        <w:rPr>
          <w:rFonts w:ascii="??" w:hAnsi="Times New Roman" w:cs="??"/>
          <w:sz w:val="32"/>
          <w:szCs w:val="32"/>
        </w:rPr>
        <w:t>789.04</w:t>
      </w:r>
      <w:r>
        <w:rPr>
          <w:rFonts w:hint="eastAsia" w:ascii="??" w:hAnsi="Times New Roman" w:cs="??"/>
          <w:sz w:val="32"/>
          <w:szCs w:val="32"/>
        </w:rPr>
        <w:t>万元，</w:t>
      </w:r>
      <w:r>
        <w:rPr>
          <w:rFonts w:ascii="??" w:hAnsi="Times New Roman" w:cs="??"/>
          <w:sz w:val="32"/>
          <w:szCs w:val="32"/>
        </w:rPr>
        <w:t>2016</w:t>
      </w:r>
      <w:r>
        <w:rPr>
          <w:rFonts w:hint="eastAsia" w:ascii="??" w:hAnsi="Times New Roman" w:cs="??"/>
          <w:sz w:val="32"/>
          <w:szCs w:val="32"/>
        </w:rPr>
        <w:t>年</w:t>
      </w:r>
      <w:r>
        <w:rPr>
          <w:rFonts w:ascii="??" w:hAnsi="Times New Roman" w:cs="??"/>
          <w:sz w:val="32"/>
          <w:szCs w:val="32"/>
        </w:rPr>
        <w:t>10</w:t>
      </w:r>
      <w:r>
        <w:rPr>
          <w:rFonts w:hint="eastAsia" w:ascii="??" w:hAnsi="Times New Roman" w:cs="??"/>
          <w:sz w:val="32"/>
          <w:szCs w:val="32"/>
        </w:rPr>
        <w:t>月份追加人员经费</w:t>
      </w:r>
      <w:r>
        <w:rPr>
          <w:rFonts w:ascii="??" w:hAnsi="Times New Roman" w:cs="??"/>
          <w:sz w:val="32"/>
          <w:szCs w:val="32"/>
        </w:rPr>
        <w:t>4</w:t>
      </w:r>
      <w:r>
        <w:rPr>
          <w:rFonts w:hint="eastAsia" w:ascii="??" w:hAnsi="Times New Roman" w:cs="??"/>
          <w:sz w:val="32"/>
          <w:szCs w:val="32"/>
        </w:rPr>
        <w:t>人（</w:t>
      </w:r>
      <w:r>
        <w:rPr>
          <w:rFonts w:ascii="??" w:hAnsi="Times New Roman" w:cs="??"/>
          <w:sz w:val="32"/>
          <w:szCs w:val="32"/>
        </w:rPr>
        <w:t>2016</w:t>
      </w:r>
      <w:r>
        <w:rPr>
          <w:rFonts w:hint="eastAsia" w:ascii="??" w:hAnsi="Times New Roman" w:cs="??"/>
          <w:sz w:val="32"/>
          <w:szCs w:val="32"/>
        </w:rPr>
        <w:t>年</w:t>
      </w:r>
      <w:r>
        <w:rPr>
          <w:rFonts w:ascii="??" w:hAnsi="Times New Roman" w:cs="??"/>
          <w:sz w:val="32"/>
          <w:szCs w:val="32"/>
        </w:rPr>
        <w:t>5</w:t>
      </w:r>
      <w:r>
        <w:rPr>
          <w:rFonts w:hint="eastAsia" w:ascii="??" w:hAnsi="Times New Roman" w:cs="??"/>
          <w:sz w:val="32"/>
          <w:szCs w:val="32"/>
        </w:rPr>
        <w:t>月份调出</w:t>
      </w:r>
      <w:r>
        <w:rPr>
          <w:rFonts w:ascii="??" w:hAnsi="Times New Roman" w:cs="??"/>
          <w:sz w:val="32"/>
          <w:szCs w:val="32"/>
        </w:rPr>
        <w:t>1</w:t>
      </w:r>
      <w:r>
        <w:rPr>
          <w:rFonts w:hint="eastAsia" w:ascii="??" w:hAnsi="Times New Roman" w:cs="??"/>
          <w:sz w:val="32"/>
          <w:szCs w:val="32"/>
        </w:rPr>
        <w:t>人），人员经费结余</w:t>
      </w:r>
      <w:r>
        <w:rPr>
          <w:rFonts w:ascii="??" w:hAnsi="Times New Roman" w:cs="??"/>
          <w:sz w:val="32"/>
          <w:szCs w:val="32"/>
        </w:rPr>
        <w:t>10.06</w:t>
      </w:r>
      <w:r>
        <w:rPr>
          <w:rFonts w:hint="eastAsia" w:ascii="??" w:hAnsi="Times New Roman" w:cs="??"/>
          <w:sz w:val="32"/>
          <w:szCs w:val="32"/>
        </w:rPr>
        <w:t>万元，由财政收回。</w:t>
      </w:r>
    </w:p>
    <w:p>
      <w:pPr>
        <w:autoSpaceDE w:val="0"/>
        <w:autoSpaceDN w:val="0"/>
        <w:adjustRightInd w:val="0"/>
        <w:spacing w:line="560" w:lineRule="exact"/>
        <w:ind w:firstLine="627"/>
        <w:rPr>
          <w:rFonts w:ascii="??" w:hAnsi="Times New Roman" w:cs="??"/>
          <w:sz w:val="32"/>
          <w:szCs w:val="32"/>
        </w:rPr>
      </w:pPr>
      <w:r>
        <w:rPr>
          <w:rFonts w:ascii="??" w:hAnsi="Times New Roman" w:eastAsia="Times New Roman" w:cs="??"/>
          <w:sz w:val="32"/>
          <w:szCs w:val="32"/>
        </w:rPr>
        <w:t>（6）年初结转和结余20.78万元，较上年增加8.89万元，增长74.77%，主要原因是</w:t>
      </w:r>
      <w:r>
        <w:rPr>
          <w:rFonts w:hint="eastAsia" w:ascii="??" w:hAnsi="Times New Roman" w:cs="??"/>
          <w:sz w:val="32"/>
          <w:szCs w:val="32"/>
        </w:rPr>
        <w:t>其中温州市妇女联合会较上年增加</w:t>
      </w:r>
      <w:r>
        <w:rPr>
          <w:rFonts w:ascii="??" w:hAnsi="Times New Roman" w:cs="??"/>
          <w:sz w:val="32"/>
          <w:szCs w:val="32"/>
        </w:rPr>
        <w:t>10.72</w:t>
      </w:r>
      <w:r>
        <w:rPr>
          <w:rFonts w:hint="eastAsia" w:ascii="??" w:hAnsi="Times New Roman" w:cs="??"/>
          <w:sz w:val="32"/>
          <w:szCs w:val="32"/>
        </w:rPr>
        <w:t>万元，按财政拨款要求其中</w:t>
      </w:r>
      <w:r>
        <w:rPr>
          <w:rFonts w:ascii="??" w:hAnsi="Times New Roman" w:cs="??"/>
          <w:sz w:val="32"/>
          <w:szCs w:val="32"/>
        </w:rPr>
        <w:t>9.12</w:t>
      </w:r>
      <w:r>
        <w:rPr>
          <w:rFonts w:hint="eastAsia" w:ascii="??" w:hAnsi="Times New Roman" w:cs="??"/>
          <w:sz w:val="32"/>
          <w:szCs w:val="32"/>
        </w:rPr>
        <w:t>万元来源为上年资金，</w:t>
      </w:r>
      <w:r>
        <w:rPr>
          <w:rFonts w:ascii="??" w:hAnsi="Times New Roman" w:cs="??"/>
          <w:sz w:val="32"/>
          <w:szCs w:val="32"/>
        </w:rPr>
        <w:t>1.6</w:t>
      </w:r>
      <w:r>
        <w:rPr>
          <w:rFonts w:hint="eastAsia" w:ascii="??" w:hAnsi="Times New Roman" w:cs="??"/>
          <w:sz w:val="32"/>
          <w:szCs w:val="32"/>
        </w:rPr>
        <w:t>万元为上年未使用的其他收入结余；活动中心减少</w:t>
      </w:r>
      <w:r>
        <w:rPr>
          <w:rFonts w:ascii="??" w:hAnsi="Times New Roman" w:cs="??"/>
          <w:sz w:val="32"/>
          <w:szCs w:val="32"/>
        </w:rPr>
        <w:t>1.83</w:t>
      </w:r>
      <w:r>
        <w:rPr>
          <w:rFonts w:hint="eastAsia" w:ascii="??" w:hAnsi="Times New Roman" w:cs="??"/>
          <w:sz w:val="32"/>
          <w:szCs w:val="32"/>
        </w:rPr>
        <w:t>万元，</w:t>
      </w:r>
      <w:r>
        <w:rPr>
          <w:rFonts w:ascii="??" w:hAnsi="Times New Roman" w:eastAsia="Times New Roman" w:cs="??"/>
          <w:sz w:val="32"/>
          <w:szCs w:val="32"/>
        </w:rPr>
        <w:t>主要原因</w:t>
      </w:r>
      <w:r>
        <w:rPr>
          <w:rFonts w:hint="eastAsia" w:ascii="??" w:hAnsi="Times New Roman" w:cs="??"/>
          <w:sz w:val="32"/>
          <w:szCs w:val="32"/>
        </w:rPr>
        <w:t>是温州市妇女儿童活动中心</w:t>
      </w:r>
      <w:r>
        <w:rPr>
          <w:rFonts w:ascii="??" w:hAnsi="Times New Roman" w:cs="??"/>
          <w:sz w:val="32"/>
          <w:szCs w:val="32"/>
        </w:rPr>
        <w:t>2015</w:t>
      </w:r>
      <w:r>
        <w:rPr>
          <w:rFonts w:hint="eastAsia" w:ascii="??" w:hAnsi="Times New Roman" w:cs="??"/>
          <w:sz w:val="32"/>
          <w:szCs w:val="32"/>
        </w:rPr>
        <w:t>年结余资金</w:t>
      </w:r>
      <w:r>
        <w:rPr>
          <w:rFonts w:ascii="??" w:hAnsi="Times New Roman" w:cs="??"/>
          <w:sz w:val="32"/>
          <w:szCs w:val="32"/>
        </w:rPr>
        <w:t>11.89</w:t>
      </w:r>
      <w:r>
        <w:rPr>
          <w:rFonts w:hint="eastAsia" w:ascii="??" w:hAnsi="Times New Roman" w:cs="??"/>
          <w:sz w:val="32"/>
          <w:szCs w:val="32"/>
        </w:rPr>
        <w:t>万元，</w:t>
      </w:r>
      <w:r>
        <w:rPr>
          <w:rFonts w:ascii="??" w:hAnsi="Times New Roman" w:cs="??"/>
          <w:sz w:val="32"/>
          <w:szCs w:val="32"/>
        </w:rPr>
        <w:t>2016</w:t>
      </w:r>
      <w:r>
        <w:rPr>
          <w:rFonts w:hint="eastAsia" w:ascii="??" w:hAnsi="Times New Roman" w:cs="??"/>
          <w:sz w:val="32"/>
          <w:szCs w:val="32"/>
        </w:rPr>
        <w:t>年结余资金</w:t>
      </w:r>
      <w:r>
        <w:rPr>
          <w:rFonts w:ascii="??" w:hAnsi="Times New Roman" w:cs="??"/>
          <w:sz w:val="32"/>
          <w:szCs w:val="32"/>
        </w:rPr>
        <w:t>10.06</w:t>
      </w:r>
      <w:r>
        <w:rPr>
          <w:rFonts w:hint="eastAsia" w:ascii="??" w:hAnsi="Times New Roman" w:cs="??"/>
          <w:sz w:val="32"/>
          <w:szCs w:val="32"/>
        </w:rPr>
        <w:t>万元。</w:t>
      </w:r>
    </w:p>
    <w:p>
      <w:pPr>
        <w:autoSpaceDE w:val="0"/>
        <w:autoSpaceDN w:val="0"/>
        <w:adjustRightInd w:val="0"/>
        <w:spacing w:line="560" w:lineRule="exact"/>
        <w:ind w:firstLine="640" w:firstLineChars="200"/>
        <w:rPr>
          <w:rFonts w:ascii="??" w:hAnsi="Times New Roman" w:eastAsia="Times New Roman" w:cs="??"/>
          <w:sz w:val="32"/>
          <w:szCs w:val="32"/>
        </w:rPr>
      </w:pPr>
      <w:r>
        <w:rPr>
          <w:rFonts w:ascii="??" w:hAnsi="Times New Roman" w:eastAsia="Times New Roman" w:cs="??"/>
          <w:sz w:val="32"/>
          <w:szCs w:val="32"/>
        </w:rPr>
        <w:t>2、2016年度支出总计</w:t>
      </w:r>
      <w:r>
        <w:rPr>
          <w:rFonts w:ascii="??" w:hAnsi="Times New Roman" w:eastAsia="Times New Roman" w:cs="??"/>
          <w:sz w:val="30"/>
          <w:szCs w:val="30"/>
          <w:lang w:val="zh-CN"/>
        </w:rPr>
        <w:t>3431.94</w:t>
      </w:r>
      <w:r>
        <w:rPr>
          <w:rFonts w:ascii="??" w:hAnsi="Times New Roman" w:eastAsia="Times New Roman" w:cs="??"/>
          <w:sz w:val="32"/>
          <w:szCs w:val="32"/>
        </w:rPr>
        <w:t>万元，其中本年支出3076.37万元。具体情况如下：</w:t>
      </w:r>
    </w:p>
    <w:p>
      <w:pPr>
        <w:autoSpaceDE w:val="0"/>
        <w:autoSpaceDN w:val="0"/>
        <w:adjustRightInd w:val="0"/>
        <w:spacing w:line="560" w:lineRule="exact"/>
        <w:ind w:firstLine="640" w:firstLineChars="200"/>
        <w:rPr>
          <w:rFonts w:ascii="??" w:hAnsi="Times New Roman" w:cs="??"/>
          <w:sz w:val="32"/>
          <w:szCs w:val="32"/>
        </w:rPr>
      </w:pPr>
      <w:r>
        <w:rPr>
          <w:rFonts w:ascii="??" w:hAnsi="Times New Roman" w:eastAsia="Times New Roman" w:cs="??"/>
          <w:sz w:val="32"/>
          <w:szCs w:val="32"/>
        </w:rPr>
        <w:t>（1）一般公共服务支出（类）群众团体事务（款）行政运行（项）事务461.21万元，主要用于温州市妇女联合会、温州市家庭暴力投诉中心人员工资、单位日常公用支出。较上年减少8.69万元，下降1.85%，主要原因</w:t>
      </w:r>
      <w:r>
        <w:rPr>
          <w:rFonts w:hint="eastAsia" w:ascii="??" w:hAnsi="Times New Roman" w:cs="??"/>
          <w:sz w:val="32"/>
          <w:szCs w:val="32"/>
        </w:rPr>
        <w:t>在职人员增加养老保险及职业年金的缴纳从而使工资福利支出增加</w:t>
      </w:r>
      <w:r>
        <w:rPr>
          <w:rFonts w:ascii="??" w:hAnsi="Times New Roman" w:cs="??"/>
          <w:sz w:val="32"/>
          <w:szCs w:val="32"/>
        </w:rPr>
        <w:t>87.47</w:t>
      </w:r>
      <w:r>
        <w:rPr>
          <w:rFonts w:hint="eastAsia" w:ascii="??" w:hAnsi="Times New Roman" w:cs="??"/>
          <w:sz w:val="32"/>
          <w:szCs w:val="32"/>
        </w:rPr>
        <w:t>万元，单位日常公用支出因被财务评为一档增加</w:t>
      </w:r>
      <w:r>
        <w:rPr>
          <w:rFonts w:ascii="??" w:hAnsi="Times New Roman" w:cs="??"/>
          <w:sz w:val="32"/>
          <w:szCs w:val="32"/>
        </w:rPr>
        <w:t>1.64</w:t>
      </w:r>
      <w:r>
        <w:rPr>
          <w:rFonts w:hint="eastAsia" w:ascii="??" w:hAnsi="Times New Roman" w:cs="??"/>
          <w:sz w:val="32"/>
          <w:szCs w:val="32"/>
        </w:rPr>
        <w:t>万元，其他资本性支出增加</w:t>
      </w:r>
      <w:r>
        <w:rPr>
          <w:rFonts w:ascii="??" w:hAnsi="Times New Roman" w:cs="??"/>
          <w:sz w:val="32"/>
          <w:szCs w:val="32"/>
        </w:rPr>
        <w:t>3.27</w:t>
      </w:r>
      <w:r>
        <w:rPr>
          <w:rFonts w:hint="eastAsia" w:ascii="??" w:hAnsi="Times New Roman" w:cs="??"/>
          <w:sz w:val="32"/>
          <w:szCs w:val="32"/>
        </w:rPr>
        <w:t>万元，但退休人员工资由单位转到社保发放减少</w:t>
      </w:r>
      <w:r>
        <w:rPr>
          <w:rFonts w:ascii="??" w:hAnsi="Times New Roman" w:cs="??"/>
          <w:sz w:val="32"/>
          <w:szCs w:val="32"/>
        </w:rPr>
        <w:t>101.07</w:t>
      </w:r>
      <w:r>
        <w:rPr>
          <w:rFonts w:hint="eastAsia" w:ascii="??" w:hAnsi="Times New Roman" w:cs="??"/>
          <w:sz w:val="32"/>
          <w:szCs w:val="32"/>
        </w:rPr>
        <w:t>万元。</w:t>
      </w:r>
    </w:p>
    <w:p>
      <w:pPr>
        <w:autoSpaceDE w:val="0"/>
        <w:autoSpaceDN w:val="0"/>
        <w:adjustRightInd w:val="0"/>
        <w:spacing w:line="560" w:lineRule="exact"/>
        <w:ind w:firstLine="480"/>
        <w:rPr>
          <w:rFonts w:ascii="??" w:hAnsi="Times New Roman" w:eastAsia="Times New Roman" w:cs="??"/>
          <w:sz w:val="32"/>
          <w:szCs w:val="32"/>
        </w:rPr>
      </w:pPr>
      <w:r>
        <w:rPr>
          <w:rFonts w:ascii="??" w:hAnsi="Times New Roman" w:eastAsia="Times New Roman" w:cs="??"/>
          <w:sz w:val="32"/>
          <w:szCs w:val="32"/>
        </w:rPr>
        <w:t>（2）一般公共服务支出（类）群众团体事务（款）一般行政管理事务（项）事务268.57支出主要用于开展全市妇女儿童发展专项活动</w:t>
      </w:r>
      <w:r>
        <w:rPr>
          <w:rFonts w:ascii="??" w:hAnsi="Times New Roman" w:eastAsia="Times New Roman" w:cs="??"/>
          <w:b/>
          <w:sz w:val="32"/>
          <w:szCs w:val="32"/>
        </w:rPr>
        <w:t>。</w:t>
      </w:r>
      <w:r>
        <w:rPr>
          <w:rFonts w:ascii="??" w:hAnsi="Times New Roman" w:eastAsia="Times New Roman" w:cs="??"/>
          <w:sz w:val="32"/>
          <w:szCs w:val="32"/>
        </w:rPr>
        <w:t xml:space="preserve">较上年减少0.23万元，下降0.09%，基本持平。 </w:t>
      </w:r>
    </w:p>
    <w:p>
      <w:pPr>
        <w:autoSpaceDE w:val="0"/>
        <w:autoSpaceDN w:val="0"/>
        <w:adjustRightInd w:val="0"/>
        <w:spacing w:line="560" w:lineRule="exact"/>
        <w:ind w:firstLine="627"/>
        <w:rPr>
          <w:rFonts w:ascii="??" w:hAnsi="Times New Roman" w:cs="??"/>
          <w:sz w:val="32"/>
          <w:szCs w:val="32"/>
        </w:rPr>
      </w:pPr>
      <w:r>
        <w:rPr>
          <w:rFonts w:ascii="??" w:hAnsi="Times New Roman" w:eastAsia="Times New Roman" w:cs="??"/>
          <w:sz w:val="32"/>
          <w:szCs w:val="32"/>
        </w:rPr>
        <w:t xml:space="preserve">  </w:t>
      </w:r>
      <w:r>
        <w:rPr>
          <w:rFonts w:hint="eastAsia" w:ascii="??" w:hAnsi="Times New Roman" w:cs="??"/>
          <w:sz w:val="32"/>
          <w:szCs w:val="32"/>
        </w:rPr>
        <w:t>（</w:t>
      </w:r>
      <w:r>
        <w:rPr>
          <w:rFonts w:ascii="??" w:hAnsi="Times New Roman" w:cs="??"/>
          <w:sz w:val="32"/>
          <w:szCs w:val="32"/>
        </w:rPr>
        <w:t>3</w:t>
      </w:r>
      <w:r>
        <w:rPr>
          <w:rFonts w:hint="eastAsia" w:ascii="??" w:hAnsi="Times New Roman" w:cs="??"/>
          <w:sz w:val="32"/>
          <w:szCs w:val="32"/>
        </w:rPr>
        <w:t>）一般公共服务支出（类）群众团体事务（款）事业运行（项）</w:t>
      </w:r>
      <w:r>
        <w:rPr>
          <w:rFonts w:ascii="??" w:hAnsi="Times New Roman" w:cs="??"/>
          <w:sz w:val="32"/>
          <w:szCs w:val="32"/>
        </w:rPr>
        <w:t>319</w:t>
      </w:r>
      <w:r>
        <w:rPr>
          <w:rFonts w:hint="eastAsia" w:ascii="??" w:hAnsi="Times New Roman" w:cs="??"/>
          <w:sz w:val="32"/>
          <w:szCs w:val="32"/>
        </w:rPr>
        <w:t>万元支出主要用于温州市妇女儿童活动中心人员工资社保缴费等。较上年增加</w:t>
      </w:r>
      <w:r>
        <w:rPr>
          <w:rFonts w:ascii="??" w:hAnsi="Times New Roman" w:cs="??"/>
          <w:sz w:val="32"/>
          <w:szCs w:val="32"/>
        </w:rPr>
        <w:t>49.3</w:t>
      </w:r>
      <w:r>
        <w:rPr>
          <w:rFonts w:hint="eastAsia" w:ascii="??" w:hAnsi="Times New Roman" w:cs="??"/>
          <w:sz w:val="32"/>
          <w:szCs w:val="32"/>
        </w:rPr>
        <w:t>万元，增长</w:t>
      </w:r>
      <w:r>
        <w:rPr>
          <w:rFonts w:ascii="??" w:hAnsi="Times New Roman" w:cs="??"/>
          <w:sz w:val="32"/>
          <w:szCs w:val="32"/>
        </w:rPr>
        <w:t>18.28%</w:t>
      </w:r>
      <w:r>
        <w:rPr>
          <w:rFonts w:hint="eastAsia" w:ascii="??" w:hAnsi="Times New Roman" w:cs="??"/>
          <w:sz w:val="32"/>
          <w:szCs w:val="32"/>
        </w:rPr>
        <w:t>，主要原因是温州市妇女儿童活动中心人员增加</w:t>
      </w:r>
      <w:r>
        <w:rPr>
          <w:rFonts w:ascii="??" w:hAnsi="Times New Roman" w:cs="??"/>
          <w:sz w:val="32"/>
          <w:szCs w:val="32"/>
        </w:rPr>
        <w:t>4</w:t>
      </w:r>
      <w:r>
        <w:rPr>
          <w:rFonts w:hint="eastAsia" w:ascii="??" w:hAnsi="Times New Roman" w:cs="??"/>
          <w:sz w:val="32"/>
          <w:szCs w:val="32"/>
        </w:rPr>
        <w:t>人，工资福利支出增加</w:t>
      </w:r>
      <w:r>
        <w:rPr>
          <w:rFonts w:ascii="??" w:hAnsi="Times New Roman" w:cs="??"/>
          <w:sz w:val="32"/>
          <w:szCs w:val="32"/>
        </w:rPr>
        <w:t>45.62</w:t>
      </w:r>
      <w:r>
        <w:rPr>
          <w:rFonts w:hint="eastAsia" w:ascii="??" w:hAnsi="Times New Roman" w:cs="??"/>
          <w:sz w:val="32"/>
          <w:szCs w:val="32"/>
        </w:rPr>
        <w:t>万元，其他商品和服务支出增加</w:t>
      </w:r>
      <w:r>
        <w:rPr>
          <w:rFonts w:ascii="??" w:hAnsi="Times New Roman" w:cs="??"/>
          <w:sz w:val="32"/>
          <w:szCs w:val="32"/>
        </w:rPr>
        <w:t>3.71</w:t>
      </w:r>
      <w:r>
        <w:rPr>
          <w:rFonts w:hint="eastAsia" w:ascii="??" w:hAnsi="Times New Roman" w:cs="??"/>
          <w:sz w:val="32"/>
          <w:szCs w:val="32"/>
        </w:rPr>
        <w:t>万元。</w:t>
      </w:r>
    </w:p>
    <w:p>
      <w:pPr>
        <w:autoSpaceDE w:val="0"/>
        <w:autoSpaceDN w:val="0"/>
        <w:adjustRightInd w:val="0"/>
        <w:spacing w:line="560" w:lineRule="exact"/>
        <w:ind w:firstLine="627"/>
        <w:rPr>
          <w:rFonts w:ascii="??" w:hAnsi="Times New Roman" w:cs="??"/>
          <w:sz w:val="32"/>
          <w:szCs w:val="32"/>
        </w:rPr>
      </w:pPr>
      <w:r>
        <w:rPr>
          <w:rFonts w:hint="eastAsia" w:ascii="??" w:hAnsi="Times New Roman" w:cs="??"/>
          <w:sz w:val="32"/>
          <w:szCs w:val="32"/>
        </w:rPr>
        <w:t>（</w:t>
      </w:r>
      <w:r>
        <w:rPr>
          <w:rFonts w:ascii="??" w:hAnsi="Times New Roman" w:cs="??"/>
          <w:sz w:val="32"/>
          <w:szCs w:val="32"/>
        </w:rPr>
        <w:t>4</w:t>
      </w:r>
      <w:r>
        <w:rPr>
          <w:rFonts w:hint="eastAsia" w:ascii="??" w:hAnsi="Times New Roman" w:cs="??"/>
          <w:sz w:val="32"/>
          <w:szCs w:val="32"/>
        </w:rPr>
        <w:t>）一般公共服务支出（类）群众团体事务（款）其他群众团体事务支出（项）</w:t>
      </w:r>
      <w:r>
        <w:rPr>
          <w:rFonts w:ascii="??" w:hAnsi="Times New Roman" w:cs="??"/>
          <w:sz w:val="32"/>
          <w:szCs w:val="32"/>
        </w:rPr>
        <w:t>1779.11</w:t>
      </w:r>
      <w:r>
        <w:rPr>
          <w:rFonts w:hint="eastAsia" w:ascii="??" w:hAnsi="Times New Roman" w:cs="??"/>
          <w:sz w:val="32"/>
          <w:szCs w:val="32"/>
        </w:rPr>
        <w:t>万元支出，较上年增加</w:t>
      </w:r>
      <w:r>
        <w:rPr>
          <w:rFonts w:ascii="??" w:hAnsi="Times New Roman" w:cs="??"/>
          <w:sz w:val="32"/>
          <w:szCs w:val="32"/>
        </w:rPr>
        <w:t>1515.51</w:t>
      </w:r>
      <w:r>
        <w:rPr>
          <w:rFonts w:hint="eastAsia" w:ascii="??" w:hAnsi="Times New Roman" w:cs="??"/>
          <w:sz w:val="32"/>
          <w:szCs w:val="32"/>
        </w:rPr>
        <w:t>万元，增长</w:t>
      </w:r>
      <w:r>
        <w:rPr>
          <w:rFonts w:ascii="??" w:hAnsi="Times New Roman" w:cs="??"/>
          <w:sz w:val="32"/>
          <w:szCs w:val="32"/>
        </w:rPr>
        <w:t>18.28%</w:t>
      </w:r>
      <w:r>
        <w:rPr>
          <w:rFonts w:hint="eastAsia" w:ascii="??" w:hAnsi="Times New Roman" w:cs="??"/>
          <w:sz w:val="32"/>
          <w:szCs w:val="32"/>
        </w:rPr>
        <w:t>，中心增加</w:t>
      </w:r>
      <w:r>
        <w:rPr>
          <w:rFonts w:ascii="??" w:hAnsi="Times New Roman" w:cs="??"/>
          <w:sz w:val="32"/>
          <w:szCs w:val="32"/>
        </w:rPr>
        <w:t>1487</w:t>
      </w:r>
      <w:r>
        <w:rPr>
          <w:rFonts w:hint="eastAsia" w:ascii="??" w:hAnsi="Times New Roman" w:cs="??"/>
          <w:sz w:val="32"/>
          <w:szCs w:val="32"/>
        </w:rPr>
        <w:t>万元，主要原因是温州市妇女儿童活动中心妇儿成本经费增加</w:t>
      </w:r>
      <w:r>
        <w:rPr>
          <w:rFonts w:ascii="??" w:hAnsi="Times New Roman" w:cs="??"/>
          <w:sz w:val="32"/>
          <w:szCs w:val="32"/>
        </w:rPr>
        <w:t>119.99</w:t>
      </w:r>
      <w:r>
        <w:rPr>
          <w:rFonts w:hint="eastAsia" w:ascii="??" w:hAnsi="Times New Roman" w:cs="??"/>
          <w:sz w:val="32"/>
          <w:szCs w:val="32"/>
        </w:rPr>
        <w:t>万元，社会公益活动经费增加</w:t>
      </w:r>
      <w:r>
        <w:rPr>
          <w:rFonts w:ascii="??" w:hAnsi="Times New Roman" w:cs="??"/>
          <w:sz w:val="32"/>
          <w:szCs w:val="32"/>
        </w:rPr>
        <w:t>1.05</w:t>
      </w:r>
      <w:r>
        <w:rPr>
          <w:rFonts w:hint="eastAsia" w:ascii="??" w:hAnsi="Times New Roman" w:cs="??"/>
          <w:sz w:val="32"/>
          <w:szCs w:val="32"/>
        </w:rPr>
        <w:t>万元，专项水电费增加</w:t>
      </w:r>
      <w:r>
        <w:rPr>
          <w:rFonts w:ascii="??" w:hAnsi="Times New Roman" w:cs="??"/>
          <w:sz w:val="32"/>
          <w:szCs w:val="32"/>
        </w:rPr>
        <w:t>31.08</w:t>
      </w:r>
      <w:r>
        <w:rPr>
          <w:rFonts w:hint="eastAsia" w:ascii="??" w:hAnsi="Times New Roman" w:cs="??"/>
          <w:sz w:val="32"/>
          <w:szCs w:val="32"/>
        </w:rPr>
        <w:t>万元，专业比赛及教科研活动经费增加</w:t>
      </w:r>
      <w:r>
        <w:rPr>
          <w:rFonts w:ascii="??" w:hAnsi="Times New Roman" w:cs="??"/>
          <w:sz w:val="32"/>
          <w:szCs w:val="32"/>
        </w:rPr>
        <w:t>6.27</w:t>
      </w:r>
      <w:r>
        <w:rPr>
          <w:rFonts w:hint="eastAsia" w:ascii="??" w:hAnsi="Times New Roman" w:cs="??"/>
          <w:sz w:val="32"/>
          <w:szCs w:val="32"/>
        </w:rPr>
        <w:t>万元，办公设备购置费增加</w:t>
      </w:r>
      <w:r>
        <w:rPr>
          <w:rFonts w:ascii="??" w:hAnsi="Times New Roman" w:cs="??"/>
          <w:sz w:val="32"/>
          <w:szCs w:val="32"/>
        </w:rPr>
        <w:t>1.16</w:t>
      </w:r>
      <w:r>
        <w:rPr>
          <w:rFonts w:hint="eastAsia" w:ascii="??" w:hAnsi="Times New Roman" w:cs="??"/>
          <w:sz w:val="32"/>
          <w:szCs w:val="32"/>
        </w:rPr>
        <w:t>万元，物业管理费增加</w:t>
      </w:r>
      <w:r>
        <w:rPr>
          <w:rFonts w:ascii="??" w:hAnsi="Times New Roman" w:cs="??"/>
          <w:sz w:val="32"/>
          <w:szCs w:val="32"/>
        </w:rPr>
        <w:t>79.27</w:t>
      </w:r>
      <w:r>
        <w:rPr>
          <w:rFonts w:hint="eastAsia" w:ascii="??" w:hAnsi="Times New Roman" w:cs="??"/>
          <w:sz w:val="32"/>
          <w:szCs w:val="32"/>
        </w:rPr>
        <w:t>万元，</w:t>
      </w:r>
      <w:r>
        <w:rPr>
          <w:rFonts w:ascii="??" w:hAnsi="Times New Roman" w:cs="??"/>
          <w:sz w:val="32"/>
          <w:szCs w:val="32"/>
        </w:rPr>
        <w:t>2014</w:t>
      </w:r>
      <w:r>
        <w:rPr>
          <w:rFonts w:hint="eastAsia" w:ascii="??" w:hAnsi="Times New Roman" w:cs="??"/>
          <w:sz w:val="32"/>
          <w:szCs w:val="32"/>
        </w:rPr>
        <w:t>年妇儿发展基金减少</w:t>
      </w:r>
      <w:r>
        <w:rPr>
          <w:rFonts w:ascii="??" w:hAnsi="Times New Roman" w:cs="??"/>
          <w:sz w:val="32"/>
          <w:szCs w:val="32"/>
        </w:rPr>
        <w:t>9.96</w:t>
      </w:r>
      <w:r>
        <w:rPr>
          <w:rFonts w:hint="eastAsia" w:ascii="??" w:hAnsi="Times New Roman" w:cs="??"/>
          <w:sz w:val="32"/>
          <w:szCs w:val="32"/>
        </w:rPr>
        <w:t>万元，二次装饰装修工程及教学设施设备添置工程资金增加</w:t>
      </w:r>
      <w:r>
        <w:rPr>
          <w:rFonts w:ascii="??" w:hAnsi="Times New Roman" w:cs="??"/>
          <w:sz w:val="32"/>
          <w:szCs w:val="32"/>
        </w:rPr>
        <w:t>779.36</w:t>
      </w:r>
      <w:r>
        <w:rPr>
          <w:rFonts w:hint="eastAsia" w:ascii="??" w:hAnsi="Times New Roman" w:cs="??"/>
          <w:sz w:val="32"/>
          <w:szCs w:val="32"/>
        </w:rPr>
        <w:t>万元，大型设施设备维护费增加</w:t>
      </w:r>
      <w:r>
        <w:rPr>
          <w:rFonts w:ascii="??" w:hAnsi="Times New Roman" w:cs="??"/>
          <w:sz w:val="32"/>
          <w:szCs w:val="32"/>
        </w:rPr>
        <w:t>11.81</w:t>
      </w:r>
      <w:r>
        <w:rPr>
          <w:rFonts w:hint="eastAsia" w:ascii="??" w:hAnsi="Times New Roman" w:cs="??"/>
          <w:sz w:val="32"/>
          <w:szCs w:val="32"/>
        </w:rPr>
        <w:t>万元，开展妇儿发展资金</w:t>
      </w:r>
      <w:r>
        <w:rPr>
          <w:rFonts w:ascii="??" w:hAnsi="Times New Roman" w:cs="??"/>
          <w:sz w:val="32"/>
          <w:szCs w:val="32"/>
        </w:rPr>
        <w:t>31.59</w:t>
      </w:r>
      <w:r>
        <w:rPr>
          <w:rFonts w:hint="eastAsia" w:ascii="??" w:hAnsi="Times New Roman" w:cs="??"/>
          <w:sz w:val="32"/>
          <w:szCs w:val="32"/>
        </w:rPr>
        <w:t>万元，拨入基本户拨款增加</w:t>
      </w:r>
      <w:r>
        <w:rPr>
          <w:rFonts w:ascii="??" w:hAnsi="Times New Roman" w:cs="??"/>
          <w:sz w:val="32"/>
          <w:szCs w:val="32"/>
        </w:rPr>
        <w:t>435.47</w:t>
      </w:r>
      <w:r>
        <w:rPr>
          <w:rFonts w:hint="eastAsia" w:ascii="??" w:hAnsi="Times New Roman" w:cs="??"/>
          <w:sz w:val="32"/>
          <w:szCs w:val="32"/>
        </w:rPr>
        <w:t>万元。</w:t>
      </w:r>
    </w:p>
    <w:p>
      <w:pPr>
        <w:autoSpaceDE w:val="0"/>
        <w:autoSpaceDN w:val="0"/>
        <w:adjustRightInd w:val="0"/>
        <w:spacing w:line="560" w:lineRule="exact"/>
        <w:ind w:firstLine="320" w:firstLineChars="100"/>
        <w:rPr>
          <w:rFonts w:ascii="??" w:hAnsi="Times New Roman" w:cs="??"/>
          <w:sz w:val="32"/>
          <w:szCs w:val="32"/>
        </w:rPr>
      </w:pPr>
      <w:r>
        <w:rPr>
          <w:rFonts w:ascii="??" w:hAnsi="Times New Roman" w:eastAsia="Times New Roman" w:cs="??"/>
          <w:sz w:val="32"/>
          <w:szCs w:val="32"/>
        </w:rPr>
        <w:t>（5）医疗卫生与计划生育支出（类）行政单位医疗26.69万元支出主要用于温州市妇女联合会、温州市家庭暴力投诉中心工作人员及离退休人员医疗补助。较上年增加3.89万元，增长17.06%，主要原因</w:t>
      </w:r>
      <w:r>
        <w:rPr>
          <w:rFonts w:hint="eastAsia" w:ascii="??" w:hAnsi="Times New Roman" w:cs="??"/>
          <w:sz w:val="32"/>
          <w:szCs w:val="32"/>
        </w:rPr>
        <w:t>医疗保险基数变化引起的</w:t>
      </w:r>
      <w:r>
        <w:rPr>
          <w:rFonts w:ascii="??" w:hAnsi="Times New Roman" w:eastAsia="Times New Roman" w:cs="??"/>
          <w:sz w:val="32"/>
          <w:szCs w:val="32"/>
        </w:rPr>
        <w:t>。</w:t>
      </w:r>
    </w:p>
    <w:p>
      <w:pPr>
        <w:autoSpaceDE w:val="0"/>
        <w:autoSpaceDN w:val="0"/>
        <w:adjustRightInd w:val="0"/>
        <w:spacing w:line="560" w:lineRule="exact"/>
        <w:ind w:firstLine="320" w:firstLineChars="100"/>
        <w:rPr>
          <w:rFonts w:ascii="??" w:hAnsi="Times New Roman" w:eastAsia="Times New Roman" w:cs="??"/>
          <w:sz w:val="32"/>
          <w:szCs w:val="32"/>
        </w:rPr>
      </w:pPr>
      <w:r>
        <w:rPr>
          <w:rFonts w:ascii="??" w:hAnsi="Times New Roman" w:eastAsia="Times New Roman" w:cs="??"/>
          <w:sz w:val="32"/>
          <w:szCs w:val="32"/>
        </w:rPr>
        <w:t>（6）医疗卫生与计划生育支出（类）事业单位医疗14.31万元支出主要用于温州市妇女活动中心工作人员医疗补助。较上年增加1.21万元，增长9.24%，主要原因温州市妇女儿童活动中心人员增加，2016年度调入</w:t>
      </w:r>
      <w:r>
        <w:rPr>
          <w:rFonts w:ascii="??" w:hAnsi="Times New Roman" w:cs="??"/>
          <w:sz w:val="32"/>
          <w:szCs w:val="32"/>
        </w:rPr>
        <w:t>4</w:t>
      </w:r>
      <w:r>
        <w:rPr>
          <w:rFonts w:ascii="??" w:hAnsi="Times New Roman" w:eastAsia="Times New Roman" w:cs="??"/>
          <w:sz w:val="32"/>
          <w:szCs w:val="32"/>
        </w:rPr>
        <w:t>人。</w:t>
      </w:r>
    </w:p>
    <w:p>
      <w:pPr>
        <w:autoSpaceDE w:val="0"/>
        <w:autoSpaceDN w:val="0"/>
        <w:adjustRightInd w:val="0"/>
        <w:spacing w:line="560" w:lineRule="exact"/>
        <w:ind w:firstLine="320" w:firstLineChars="100"/>
        <w:rPr>
          <w:rFonts w:ascii="??" w:hAnsi="Times New Roman" w:eastAsia="Times New Roman" w:cs="??"/>
          <w:sz w:val="32"/>
          <w:szCs w:val="32"/>
        </w:rPr>
      </w:pPr>
      <w:r>
        <w:rPr>
          <w:rFonts w:ascii="??" w:hAnsi="Times New Roman" w:eastAsia="Times New Roman" w:cs="??"/>
          <w:sz w:val="32"/>
          <w:szCs w:val="32"/>
        </w:rPr>
        <w:t>（7）住房保障支出（类）住房改革支出（款）住房公积金（项）55.36万元支出主要用于温州市妇女联合会、温州市家庭暴力投诉中心、温州市妇女儿童活动中心工作人员的住房公积金补助。较上年增加4.36万元，增长8.55%，主要原因是温州市妇女儿童活动中心人员增加，2016年度调入</w:t>
      </w:r>
      <w:r>
        <w:rPr>
          <w:rFonts w:ascii="??" w:hAnsi="Times New Roman" w:cs="??"/>
          <w:sz w:val="32"/>
          <w:szCs w:val="32"/>
        </w:rPr>
        <w:t>4</w:t>
      </w:r>
      <w:r>
        <w:rPr>
          <w:rFonts w:ascii="??" w:hAnsi="Times New Roman" w:eastAsia="Times New Roman" w:cs="??"/>
          <w:sz w:val="32"/>
          <w:szCs w:val="32"/>
        </w:rPr>
        <w:t>人。</w:t>
      </w:r>
    </w:p>
    <w:p>
      <w:pPr>
        <w:autoSpaceDE w:val="0"/>
        <w:autoSpaceDN w:val="0"/>
        <w:adjustRightInd w:val="0"/>
        <w:spacing w:line="560" w:lineRule="exact"/>
        <w:ind w:firstLine="320" w:firstLineChars="100"/>
        <w:rPr>
          <w:rFonts w:ascii="??" w:hAnsi="Times New Roman" w:eastAsia="Times New Roman" w:cs="??"/>
          <w:sz w:val="32"/>
          <w:szCs w:val="32"/>
        </w:rPr>
      </w:pPr>
      <w:r>
        <w:rPr>
          <w:rFonts w:ascii="??" w:hAnsi="Times New Roman" w:eastAsia="Times New Roman" w:cs="??"/>
          <w:sz w:val="32"/>
          <w:szCs w:val="32"/>
        </w:rPr>
        <w:t>（8）住房保障支出（类）住房改革支出（款）购房补贴（项）8万元支出主要用于温州市妇女联合会、温州市家庭暴力投诉中心、温州市妇女儿童活动中心工作人员的购房补助。较上年减少0.5万元，下降6.25%，主要原因是</w:t>
      </w:r>
      <w:r>
        <w:rPr>
          <w:rFonts w:hint="eastAsia" w:ascii="??" w:hAnsi="Times New Roman" w:cs="??"/>
          <w:sz w:val="32"/>
          <w:szCs w:val="32"/>
        </w:rPr>
        <w:t>人员变动基数变动</w:t>
      </w:r>
      <w:r>
        <w:rPr>
          <w:rFonts w:ascii="??" w:hAnsi="Times New Roman" w:eastAsia="Times New Roman" w:cs="??"/>
          <w:sz w:val="32"/>
          <w:szCs w:val="32"/>
        </w:rPr>
        <w:t>。</w:t>
      </w:r>
    </w:p>
    <w:p>
      <w:pPr>
        <w:autoSpaceDE w:val="0"/>
        <w:autoSpaceDN w:val="0"/>
        <w:adjustRightInd w:val="0"/>
        <w:spacing w:line="560" w:lineRule="exact"/>
        <w:ind w:firstLine="640" w:firstLineChars="200"/>
        <w:rPr>
          <w:rFonts w:ascii="??" w:hAnsi="Times New Roman" w:eastAsia="Times New Roman" w:cs="??"/>
          <w:sz w:val="32"/>
          <w:szCs w:val="32"/>
        </w:rPr>
      </w:pPr>
      <w:r>
        <w:rPr>
          <w:rFonts w:ascii="??" w:hAnsi="Times New Roman" w:eastAsia="Times New Roman" w:cs="??"/>
          <w:sz w:val="32"/>
          <w:szCs w:val="32"/>
        </w:rPr>
        <w:t>（9）社会保障和就业支出（类）行政事业单位离退休（款）未归口管理的行政单位离退休费58.1万元，主要用于离休人员工资及退休人员工资等</w:t>
      </w:r>
      <w:r>
        <w:rPr>
          <w:rFonts w:ascii="??" w:hAnsi="Times New Roman" w:eastAsia="Times New Roman" w:cs="??"/>
          <w:b/>
          <w:sz w:val="32"/>
          <w:szCs w:val="32"/>
        </w:rPr>
        <w:t>。</w:t>
      </w:r>
      <w:r>
        <w:rPr>
          <w:rFonts w:ascii="??" w:hAnsi="Times New Roman" w:eastAsia="Times New Roman" w:cs="??"/>
          <w:sz w:val="32"/>
          <w:szCs w:val="32"/>
        </w:rPr>
        <w:t>较上年减少50.8万元，下降46.65%，主要原因退休人员2016年5月起由社保发放不在单位核算。</w:t>
      </w:r>
    </w:p>
    <w:p>
      <w:pPr>
        <w:autoSpaceDE w:val="0"/>
        <w:autoSpaceDN w:val="0"/>
        <w:adjustRightInd w:val="0"/>
        <w:spacing w:line="560" w:lineRule="exact"/>
        <w:ind w:firstLine="627"/>
        <w:rPr>
          <w:rFonts w:ascii="??" w:hAnsi="Times New Roman" w:cs="??"/>
          <w:sz w:val="32"/>
          <w:szCs w:val="32"/>
        </w:rPr>
      </w:pPr>
      <w:r>
        <w:rPr>
          <w:rFonts w:hint="eastAsia" w:ascii="??" w:hAnsi="Times New Roman" w:cs="??"/>
          <w:sz w:val="32"/>
          <w:szCs w:val="32"/>
        </w:rPr>
        <w:t>（</w:t>
      </w:r>
      <w:r>
        <w:rPr>
          <w:rFonts w:ascii="??" w:hAnsi="Times New Roman" w:cs="??"/>
          <w:sz w:val="32"/>
          <w:szCs w:val="32"/>
        </w:rPr>
        <w:t>5</w:t>
      </w:r>
      <w:r>
        <w:rPr>
          <w:rFonts w:hint="eastAsia" w:ascii="??" w:hAnsi="Times New Roman" w:cs="??"/>
          <w:sz w:val="32"/>
          <w:szCs w:val="32"/>
        </w:rPr>
        <w:t>）年末结转和结余</w:t>
      </w:r>
      <w:r>
        <w:rPr>
          <w:rFonts w:ascii="??" w:hAnsi="Times New Roman" w:cs="??"/>
          <w:sz w:val="32"/>
          <w:szCs w:val="32"/>
        </w:rPr>
        <w:t>353.58</w:t>
      </w:r>
      <w:r>
        <w:rPr>
          <w:rFonts w:hint="eastAsia" w:ascii="??" w:hAnsi="Times New Roman" w:cs="??"/>
          <w:sz w:val="32"/>
          <w:szCs w:val="32"/>
        </w:rPr>
        <w:t>万元，主要用于温州市妇女儿童活动中心二次功能装饰装修工程及教学设施设备添置工程。较上年增加</w:t>
      </w:r>
      <w:r>
        <w:rPr>
          <w:rFonts w:ascii="??" w:hAnsi="Times New Roman" w:cs="??"/>
          <w:sz w:val="32"/>
          <w:szCs w:val="32"/>
        </w:rPr>
        <w:t>340.09</w:t>
      </w:r>
      <w:r>
        <w:rPr>
          <w:rFonts w:hint="eastAsia" w:ascii="??" w:hAnsi="Times New Roman" w:cs="??"/>
          <w:sz w:val="32"/>
          <w:szCs w:val="32"/>
        </w:rPr>
        <w:t>万元，增长</w:t>
      </w:r>
      <w:r>
        <w:rPr>
          <w:rFonts w:ascii="??" w:hAnsi="Times New Roman" w:cs="??"/>
          <w:sz w:val="32"/>
          <w:szCs w:val="32"/>
        </w:rPr>
        <w:t>2521.05%</w:t>
      </w:r>
      <w:r>
        <w:rPr>
          <w:rFonts w:hint="eastAsia" w:ascii="??" w:hAnsi="Times New Roman" w:cs="??"/>
          <w:sz w:val="32"/>
          <w:szCs w:val="32"/>
        </w:rPr>
        <w:t>，主要原因二功能装饰装修工程及教学设施设备添置工程中二次装修工程、信息化工程等未审价决算，工程尾款尚未支付，结转至下年支付。</w:t>
      </w:r>
    </w:p>
    <w:p>
      <w:pPr>
        <w:autoSpaceDE w:val="0"/>
        <w:autoSpaceDN w:val="0"/>
        <w:adjustRightInd w:val="0"/>
        <w:spacing w:line="560" w:lineRule="exact"/>
        <w:ind w:firstLine="640" w:firstLineChars="200"/>
        <w:rPr>
          <w:rFonts w:ascii="??" w:hAnsi="Times New Roman" w:eastAsia="Times New Roman" w:cs="??"/>
          <w:sz w:val="32"/>
          <w:szCs w:val="32"/>
        </w:rPr>
      </w:pPr>
      <w:r>
        <w:rPr>
          <w:rFonts w:ascii="??" w:hAnsi="Times New Roman" w:eastAsia="Times New Roman" w:cs="??"/>
          <w:sz w:val="32"/>
          <w:szCs w:val="32"/>
        </w:rPr>
        <w:t>（二）本年收入决算情况</w:t>
      </w:r>
      <w:r>
        <w:rPr>
          <w:rFonts w:ascii="??" w:hAnsi="Times New Roman" w:eastAsia="Times New Roman" w:cs="??"/>
          <w:sz w:val="32"/>
          <w:szCs w:val="32"/>
        </w:rPr>
        <w:br w:type="textWrapping"/>
      </w:r>
      <w:r>
        <w:rPr>
          <w:rFonts w:ascii="??" w:hAnsi="Times New Roman" w:eastAsia="Times New Roman" w:cs="??"/>
          <w:sz w:val="32"/>
          <w:szCs w:val="32"/>
        </w:rPr>
        <w:t>　　2016年度本年收入合计</w:t>
      </w:r>
      <w:r>
        <w:rPr>
          <w:rFonts w:ascii="??" w:hAnsi="Times New Roman" w:eastAsia="Times New Roman" w:cs="??"/>
          <w:sz w:val="30"/>
          <w:szCs w:val="30"/>
          <w:lang w:val="zh-CN"/>
        </w:rPr>
        <w:t>3,411.17</w:t>
      </w:r>
      <w:r>
        <w:rPr>
          <w:rFonts w:ascii="??" w:hAnsi="Times New Roman" w:eastAsia="Times New Roman" w:cs="??"/>
          <w:sz w:val="32"/>
          <w:szCs w:val="32"/>
        </w:rPr>
        <w:t>万元，其中：财政拨款2,169.56万元，占63.6%；事业收入</w:t>
      </w:r>
      <w:r>
        <w:rPr>
          <w:rFonts w:ascii="??" w:hAnsi="Times New Roman" w:eastAsia="Times New Roman" w:cs="??"/>
          <w:sz w:val="30"/>
          <w:szCs w:val="30"/>
          <w:lang w:val="zh-CN"/>
        </w:rPr>
        <w:t>432.17</w:t>
      </w:r>
      <w:r>
        <w:rPr>
          <w:rFonts w:ascii="??" w:hAnsi="Times New Roman" w:eastAsia="Times New Roman" w:cs="??"/>
          <w:sz w:val="32"/>
          <w:szCs w:val="32"/>
        </w:rPr>
        <w:t>万元，占12.67%；其他收入</w:t>
      </w:r>
      <w:r>
        <w:rPr>
          <w:rFonts w:ascii="??" w:hAnsi="Times New Roman" w:eastAsia="Times New Roman" w:cs="??"/>
          <w:sz w:val="30"/>
          <w:szCs w:val="30"/>
          <w:lang w:val="zh-CN"/>
        </w:rPr>
        <w:t>809.44</w:t>
      </w:r>
      <w:r>
        <w:rPr>
          <w:rFonts w:ascii="??" w:hAnsi="Times New Roman" w:eastAsia="Times New Roman" w:cs="??"/>
          <w:sz w:val="32"/>
          <w:szCs w:val="32"/>
        </w:rPr>
        <w:t>万元，占23.73%。</w:t>
      </w:r>
    </w:p>
    <w:p>
      <w:pPr>
        <w:autoSpaceDE w:val="0"/>
        <w:autoSpaceDN w:val="0"/>
        <w:adjustRightInd w:val="0"/>
        <w:spacing w:line="560" w:lineRule="exact"/>
        <w:ind w:firstLine="627"/>
        <w:rPr>
          <w:rFonts w:ascii="??" w:hAnsi="Times New Roman" w:eastAsia="Times New Roman" w:cs="??"/>
          <w:sz w:val="32"/>
          <w:szCs w:val="32"/>
        </w:rPr>
      </w:pPr>
      <w:r>
        <w:rPr>
          <w:rFonts w:ascii="??" w:hAnsi="Times New Roman" w:eastAsia="Times New Roman" w:cs="??"/>
          <w:sz w:val="32"/>
          <w:szCs w:val="32"/>
        </w:rPr>
        <w:t>（三）本年支出决算情况</w:t>
      </w:r>
      <w:r>
        <w:rPr>
          <w:rFonts w:ascii="??" w:hAnsi="Times New Roman" w:eastAsia="Times New Roman" w:cs="??"/>
          <w:sz w:val="32"/>
          <w:szCs w:val="32"/>
        </w:rPr>
        <w:br w:type="textWrapping"/>
      </w:r>
      <w:r>
        <w:rPr>
          <w:rFonts w:ascii="??" w:hAnsi="Times New Roman" w:eastAsia="Times New Roman" w:cs="??"/>
          <w:sz w:val="32"/>
          <w:szCs w:val="32"/>
        </w:rPr>
        <w:t>　　2016年度本年支出合计</w:t>
      </w:r>
      <w:r>
        <w:rPr>
          <w:rFonts w:ascii="??" w:hAnsi="Times New Roman" w:eastAsia="Times New Roman" w:cs="??"/>
          <w:sz w:val="30"/>
          <w:szCs w:val="30"/>
          <w:lang w:val="zh-CN"/>
        </w:rPr>
        <w:t>3,076.37</w:t>
      </w:r>
      <w:r>
        <w:rPr>
          <w:rFonts w:ascii="??" w:hAnsi="Times New Roman" w:eastAsia="Times New Roman" w:cs="??"/>
          <w:sz w:val="32"/>
          <w:szCs w:val="32"/>
        </w:rPr>
        <w:t>万元，其中：基本支出1,028.69万元，占33.44%；项目支出2,047.68万元，占66.56%。</w:t>
      </w:r>
    </w:p>
    <w:p>
      <w:pPr>
        <w:autoSpaceDE w:val="0"/>
        <w:autoSpaceDN w:val="0"/>
        <w:adjustRightInd w:val="0"/>
        <w:spacing w:line="560" w:lineRule="exact"/>
        <w:ind w:firstLine="630"/>
        <w:rPr>
          <w:rFonts w:ascii="??" w:hAnsi="Times New Roman" w:eastAsia="Times New Roman" w:cs="??"/>
          <w:sz w:val="32"/>
          <w:szCs w:val="32"/>
        </w:rPr>
      </w:pPr>
      <w:r>
        <w:rPr>
          <w:rFonts w:ascii="??" w:hAnsi="Times New Roman" w:eastAsia="Times New Roman" w:cs="??"/>
          <w:sz w:val="32"/>
          <w:szCs w:val="32"/>
        </w:rPr>
        <w:t>（四）财政拨款收入支出决算情况</w:t>
      </w:r>
    </w:p>
    <w:p>
      <w:pPr>
        <w:autoSpaceDE w:val="0"/>
        <w:autoSpaceDN w:val="0"/>
        <w:adjustRightInd w:val="0"/>
        <w:spacing w:line="560" w:lineRule="exact"/>
        <w:ind w:firstLine="627"/>
        <w:rPr>
          <w:rFonts w:ascii="??" w:hAnsi="Times New Roman" w:eastAsia="Times New Roman" w:cs="??"/>
          <w:sz w:val="32"/>
          <w:szCs w:val="32"/>
        </w:rPr>
      </w:pPr>
      <w:r>
        <w:rPr>
          <w:rFonts w:ascii="??" w:hAnsi="Times New Roman" w:eastAsia="Times New Roman" w:cs="??"/>
          <w:sz w:val="32"/>
          <w:szCs w:val="32"/>
        </w:rPr>
        <w:t>2016年度财政拨款收、支总计3431.94万元，与上年相比，财政拨款收支总计各增2052.67万元，增长148.82%，</w:t>
      </w:r>
      <w:r>
        <w:rPr>
          <w:rFonts w:hint="eastAsia" w:ascii="??" w:hAnsi="Times New Roman" w:cs="??"/>
          <w:sz w:val="32"/>
          <w:szCs w:val="32"/>
        </w:rPr>
        <w:t>其中温州市妇女联合会增</w:t>
      </w:r>
      <w:r>
        <w:rPr>
          <w:rFonts w:ascii="??" w:hAnsi="Times New Roman" w:cs="??"/>
          <w:sz w:val="32"/>
          <w:szCs w:val="32"/>
        </w:rPr>
        <w:t>148.62</w:t>
      </w:r>
      <w:r>
        <w:rPr>
          <w:rFonts w:hint="eastAsia" w:ascii="??" w:hAnsi="Times New Roman" w:cs="??"/>
          <w:sz w:val="32"/>
          <w:szCs w:val="32"/>
        </w:rPr>
        <w:t>万元，</w:t>
      </w:r>
      <w:r>
        <w:rPr>
          <w:rFonts w:ascii="??" w:hAnsi="Times New Roman" w:eastAsia="Times New Roman" w:cs="??"/>
          <w:sz w:val="32"/>
          <w:szCs w:val="32"/>
        </w:rPr>
        <w:t>主要原因是</w:t>
      </w:r>
      <w:r>
        <w:rPr>
          <w:rFonts w:ascii="??" w:hAnsi="Times New Roman" w:cs="??"/>
          <w:sz w:val="32"/>
          <w:szCs w:val="32"/>
        </w:rPr>
        <w:t>2016</w:t>
      </w:r>
      <w:r>
        <w:rPr>
          <w:rFonts w:hint="eastAsia" w:ascii="??" w:hAnsi="Times New Roman" w:cs="??"/>
          <w:sz w:val="32"/>
          <w:szCs w:val="32"/>
        </w:rPr>
        <w:t>年开始对在职人员缴纳基本养老保险金和职业年金</w:t>
      </w:r>
      <w:r>
        <w:rPr>
          <w:rFonts w:ascii="??" w:hAnsi="Times New Roman" w:cs="??"/>
          <w:sz w:val="32"/>
          <w:szCs w:val="32"/>
        </w:rPr>
        <w:t>60.14</w:t>
      </w:r>
      <w:r>
        <w:rPr>
          <w:rFonts w:hint="eastAsia" w:ascii="??" w:hAnsi="Times New Roman" w:cs="??"/>
          <w:sz w:val="32"/>
          <w:szCs w:val="32"/>
        </w:rPr>
        <w:t>万元，并且省拨经费比</w:t>
      </w:r>
      <w:r>
        <w:rPr>
          <w:rFonts w:ascii="??" w:hAnsi="Times New Roman" w:cs="??"/>
          <w:sz w:val="32"/>
          <w:szCs w:val="32"/>
        </w:rPr>
        <w:t>2015</w:t>
      </w:r>
      <w:r>
        <w:rPr>
          <w:rFonts w:hint="eastAsia" w:ascii="??" w:hAnsi="Times New Roman" w:cs="??"/>
          <w:sz w:val="32"/>
          <w:szCs w:val="32"/>
        </w:rPr>
        <w:t>年增加</w:t>
      </w:r>
      <w:r>
        <w:rPr>
          <w:rFonts w:ascii="??" w:hAnsi="Times New Roman" w:cs="??"/>
          <w:sz w:val="32"/>
          <w:szCs w:val="32"/>
        </w:rPr>
        <w:t>28.38</w:t>
      </w:r>
      <w:r>
        <w:rPr>
          <w:rFonts w:hint="eastAsia" w:ascii="??" w:hAnsi="Times New Roman" w:cs="??"/>
          <w:sz w:val="32"/>
          <w:szCs w:val="32"/>
        </w:rPr>
        <w:t>万元，项目经费比</w:t>
      </w:r>
      <w:r>
        <w:rPr>
          <w:rFonts w:ascii="??" w:hAnsi="Times New Roman" w:cs="??"/>
          <w:sz w:val="32"/>
          <w:szCs w:val="32"/>
        </w:rPr>
        <w:t>2015</w:t>
      </w:r>
      <w:r>
        <w:rPr>
          <w:rFonts w:hint="eastAsia" w:ascii="??" w:hAnsi="Times New Roman" w:cs="??"/>
          <w:sz w:val="32"/>
          <w:szCs w:val="32"/>
        </w:rPr>
        <w:t>年增加一个基层组织建设以奖代补项目</w:t>
      </w:r>
      <w:r>
        <w:rPr>
          <w:rFonts w:ascii="??" w:hAnsi="Times New Roman" w:cs="??"/>
          <w:sz w:val="32"/>
          <w:szCs w:val="32"/>
        </w:rPr>
        <w:t>33.37</w:t>
      </w:r>
      <w:r>
        <w:rPr>
          <w:rFonts w:hint="eastAsia" w:ascii="??" w:hAnsi="Times New Roman" w:cs="??"/>
          <w:sz w:val="32"/>
          <w:szCs w:val="32"/>
        </w:rPr>
        <w:t>万元等</w:t>
      </w:r>
      <w:r>
        <w:rPr>
          <w:rFonts w:ascii="??" w:hAnsi="Times New Roman" w:eastAsia="Times New Roman" w:cs="??"/>
          <w:sz w:val="32"/>
          <w:szCs w:val="32"/>
        </w:rPr>
        <w:t>。其中温州市妇女儿童活动中心增加1904.05万元，主要原因是温州市妇女儿童活动中心二次功能装饰装修工程及教学设施设备添置工程支出增加，其次是人员经费支出增加。</w:t>
      </w:r>
    </w:p>
    <w:p>
      <w:pPr>
        <w:autoSpaceDE w:val="0"/>
        <w:autoSpaceDN w:val="0"/>
        <w:adjustRightInd w:val="0"/>
        <w:spacing w:line="560" w:lineRule="exact"/>
        <w:ind w:firstLine="480" w:firstLineChars="150"/>
        <w:rPr>
          <w:rFonts w:ascii="??" w:hAnsi="Times New Roman" w:eastAsia="Times New Roman" w:cs="??"/>
          <w:sz w:val="32"/>
          <w:szCs w:val="32"/>
        </w:rPr>
      </w:pPr>
      <w:r>
        <w:rPr>
          <w:rFonts w:ascii="??" w:hAnsi="Times New Roman" w:eastAsia="Times New Roman" w:cs="??"/>
          <w:sz w:val="32"/>
          <w:szCs w:val="32"/>
        </w:rPr>
        <w:t>（五）一般公共预算财政拨款支出情况</w:t>
      </w:r>
    </w:p>
    <w:p>
      <w:pPr>
        <w:autoSpaceDE w:val="0"/>
        <w:autoSpaceDN w:val="0"/>
        <w:adjustRightInd w:val="0"/>
        <w:spacing w:line="560" w:lineRule="exact"/>
        <w:ind w:firstLine="480"/>
        <w:rPr>
          <w:rFonts w:ascii="??" w:hAnsi="Times New Roman" w:eastAsia="Times New Roman" w:cs="??"/>
          <w:sz w:val="32"/>
          <w:szCs w:val="32"/>
        </w:rPr>
      </w:pPr>
      <w:r>
        <w:rPr>
          <w:rFonts w:ascii="??" w:hAnsi="Times New Roman" w:eastAsia="Times New Roman" w:cs="??"/>
          <w:sz w:val="32"/>
          <w:szCs w:val="32"/>
        </w:rPr>
        <w:t>　2016年度部门决算一般公共预算财政拨款支出决算2188.73万元，比年初预算增加739.67万元，增长51.04%。具体情况如下：</w:t>
      </w:r>
    </w:p>
    <w:p>
      <w:pPr>
        <w:autoSpaceDE w:val="0"/>
        <w:autoSpaceDN w:val="0"/>
        <w:adjustRightInd w:val="0"/>
        <w:spacing w:line="560" w:lineRule="exact"/>
        <w:ind w:firstLine="627"/>
        <w:rPr>
          <w:rFonts w:ascii="??" w:hAnsi="Times New Roman" w:cs="??"/>
          <w:sz w:val="32"/>
          <w:szCs w:val="32"/>
        </w:rPr>
      </w:pPr>
      <w:r>
        <w:rPr>
          <w:rFonts w:ascii="??" w:hAnsi="Times New Roman" w:eastAsia="Times New Roman" w:cs="??"/>
          <w:sz w:val="32"/>
          <w:szCs w:val="32"/>
        </w:rPr>
        <w:t>1．</w:t>
      </w:r>
      <w:r>
        <w:rPr>
          <w:rFonts w:hint="eastAsia" w:ascii="??" w:hAnsi="Times New Roman" w:cs="??"/>
          <w:sz w:val="32"/>
          <w:szCs w:val="32"/>
        </w:rPr>
        <w:t>一般公共服务支出</w:t>
      </w:r>
      <w:r>
        <w:rPr>
          <w:rFonts w:ascii="??" w:hAnsi="Times New Roman" w:eastAsia="Times New Roman" w:cs="??"/>
          <w:sz w:val="32"/>
          <w:szCs w:val="32"/>
        </w:rPr>
        <w:t>（类）</w:t>
      </w:r>
      <w:r>
        <w:rPr>
          <w:rFonts w:hint="eastAsia" w:ascii="??" w:hAnsi="Times New Roman" w:cs="??"/>
          <w:sz w:val="32"/>
          <w:szCs w:val="32"/>
        </w:rPr>
        <w:t>群众团体事务</w:t>
      </w:r>
      <w:r>
        <w:rPr>
          <w:rFonts w:ascii="??" w:hAnsi="Times New Roman" w:eastAsia="Times New Roman" w:cs="??"/>
          <w:sz w:val="32"/>
          <w:szCs w:val="32"/>
        </w:rPr>
        <w:t>（款）</w:t>
      </w:r>
      <w:r>
        <w:rPr>
          <w:rFonts w:hint="eastAsia" w:ascii="??" w:hAnsi="Times New Roman" w:cs="??"/>
          <w:sz w:val="32"/>
          <w:szCs w:val="32"/>
        </w:rPr>
        <w:t>行政运行</w:t>
      </w:r>
      <w:r>
        <w:rPr>
          <w:rFonts w:ascii="??" w:hAnsi="Times New Roman" w:eastAsia="Times New Roman" w:cs="??"/>
          <w:sz w:val="32"/>
          <w:szCs w:val="32"/>
        </w:rPr>
        <w:t>（项）事务支出</w:t>
      </w:r>
      <w:r>
        <w:rPr>
          <w:rFonts w:ascii="??" w:hAnsi="Times New Roman" w:cs="??"/>
          <w:sz w:val="32"/>
          <w:szCs w:val="32"/>
        </w:rPr>
        <w:t>461.21</w:t>
      </w:r>
      <w:r>
        <w:rPr>
          <w:rFonts w:ascii="??" w:hAnsi="Times New Roman" w:eastAsia="Times New Roman" w:cs="??"/>
          <w:sz w:val="32"/>
          <w:szCs w:val="32"/>
        </w:rPr>
        <w:t>万元，比年初预算</w:t>
      </w:r>
      <w:r>
        <w:rPr>
          <w:rFonts w:ascii="??" w:hAnsi="Times New Roman" w:cs="??"/>
          <w:sz w:val="32"/>
          <w:szCs w:val="32"/>
        </w:rPr>
        <w:t>443.96</w:t>
      </w:r>
      <w:r>
        <w:rPr>
          <w:rFonts w:hint="eastAsia" w:ascii="??" w:hAnsi="Times New Roman" w:cs="??"/>
          <w:sz w:val="32"/>
          <w:szCs w:val="32"/>
        </w:rPr>
        <w:t>万元</w:t>
      </w:r>
      <w:r>
        <w:rPr>
          <w:rFonts w:ascii="??" w:hAnsi="Times New Roman" w:eastAsia="Times New Roman" w:cs="??"/>
          <w:sz w:val="32"/>
          <w:szCs w:val="32"/>
        </w:rPr>
        <w:t>增加</w:t>
      </w:r>
      <w:r>
        <w:rPr>
          <w:rFonts w:ascii="??" w:hAnsi="Times New Roman" w:cs="??"/>
          <w:sz w:val="32"/>
          <w:szCs w:val="32"/>
        </w:rPr>
        <w:t>17.25</w:t>
      </w:r>
      <w:r>
        <w:rPr>
          <w:rFonts w:ascii="??" w:hAnsi="Times New Roman" w:eastAsia="Times New Roman" w:cs="??"/>
          <w:sz w:val="32"/>
          <w:szCs w:val="32"/>
        </w:rPr>
        <w:t>万元，增长</w:t>
      </w:r>
      <w:r>
        <w:rPr>
          <w:rFonts w:ascii="??" w:hAnsi="Times New Roman" w:cs="??"/>
          <w:sz w:val="32"/>
          <w:szCs w:val="32"/>
        </w:rPr>
        <w:t>3.89</w:t>
      </w:r>
      <w:r>
        <w:rPr>
          <w:rFonts w:ascii="??" w:hAnsi="Times New Roman" w:eastAsia="Times New Roman" w:cs="??"/>
          <w:sz w:val="32"/>
          <w:szCs w:val="32"/>
        </w:rPr>
        <w:t>%。主要是</w:t>
      </w:r>
      <w:r>
        <w:rPr>
          <w:rFonts w:hint="eastAsia" w:ascii="??" w:hAnsi="Times New Roman" w:cs="??"/>
          <w:sz w:val="32"/>
          <w:szCs w:val="32"/>
        </w:rPr>
        <w:t>因为温州市妇女联合会、温州市家庭暴力投诉中心人员需养老保险及职业年金工资增加。</w:t>
      </w:r>
    </w:p>
    <w:p>
      <w:pPr>
        <w:autoSpaceDE w:val="0"/>
        <w:autoSpaceDN w:val="0"/>
        <w:adjustRightInd w:val="0"/>
        <w:spacing w:line="560" w:lineRule="exact"/>
        <w:ind w:firstLine="627"/>
        <w:rPr>
          <w:rFonts w:ascii="??" w:hAnsi="Times New Roman" w:cs="??"/>
          <w:sz w:val="32"/>
          <w:szCs w:val="32"/>
        </w:rPr>
      </w:pPr>
      <w:r>
        <w:rPr>
          <w:rFonts w:ascii="??" w:hAnsi="Times New Roman" w:cs="??"/>
          <w:sz w:val="32"/>
          <w:szCs w:val="32"/>
        </w:rPr>
        <w:t>2</w:t>
      </w:r>
      <w:r>
        <w:rPr>
          <w:rFonts w:ascii="??" w:hAnsi="Times New Roman" w:eastAsia="Times New Roman" w:cs="??"/>
          <w:sz w:val="32"/>
          <w:szCs w:val="32"/>
        </w:rPr>
        <w:t>．</w:t>
      </w:r>
      <w:r>
        <w:rPr>
          <w:rFonts w:hint="eastAsia" w:ascii="??" w:hAnsi="Times New Roman" w:cs="??"/>
          <w:sz w:val="32"/>
          <w:szCs w:val="32"/>
        </w:rPr>
        <w:t>一般公共服务支出</w:t>
      </w:r>
      <w:r>
        <w:rPr>
          <w:rFonts w:ascii="??" w:hAnsi="Times New Roman" w:eastAsia="Times New Roman" w:cs="??"/>
          <w:sz w:val="32"/>
          <w:szCs w:val="32"/>
        </w:rPr>
        <w:t>（类）</w:t>
      </w:r>
      <w:r>
        <w:rPr>
          <w:rFonts w:hint="eastAsia" w:ascii="??" w:hAnsi="Times New Roman" w:cs="??"/>
          <w:sz w:val="32"/>
          <w:szCs w:val="32"/>
        </w:rPr>
        <w:t>群众团体事务</w:t>
      </w:r>
      <w:r>
        <w:rPr>
          <w:rFonts w:ascii="??" w:hAnsi="Times New Roman" w:eastAsia="Times New Roman" w:cs="??"/>
          <w:sz w:val="32"/>
          <w:szCs w:val="32"/>
        </w:rPr>
        <w:t>（款）</w:t>
      </w:r>
      <w:r>
        <w:rPr>
          <w:rFonts w:hint="eastAsia" w:ascii="??" w:hAnsi="Times New Roman" w:cs="??"/>
          <w:sz w:val="32"/>
          <w:szCs w:val="32"/>
        </w:rPr>
        <w:t>一般行政管理事务</w:t>
      </w:r>
      <w:r>
        <w:rPr>
          <w:rFonts w:ascii="??" w:hAnsi="Times New Roman" w:eastAsia="Times New Roman" w:cs="??"/>
          <w:sz w:val="32"/>
          <w:szCs w:val="32"/>
        </w:rPr>
        <w:t>（项）事务支出</w:t>
      </w:r>
      <w:r>
        <w:rPr>
          <w:rFonts w:ascii="??" w:hAnsi="Times New Roman" w:cs="??"/>
          <w:sz w:val="32"/>
          <w:szCs w:val="32"/>
        </w:rPr>
        <w:t>248.57</w:t>
      </w:r>
      <w:r>
        <w:rPr>
          <w:rFonts w:hint="eastAsia" w:ascii="??" w:hAnsi="Times New Roman" w:cs="??"/>
          <w:sz w:val="32"/>
          <w:szCs w:val="32"/>
        </w:rPr>
        <w:t>万元，比年初预算</w:t>
      </w:r>
      <w:r>
        <w:rPr>
          <w:rFonts w:ascii="??" w:hAnsi="Times New Roman" w:cs="??"/>
          <w:sz w:val="32"/>
          <w:szCs w:val="32"/>
        </w:rPr>
        <w:t>345.2</w:t>
      </w:r>
      <w:r>
        <w:rPr>
          <w:rFonts w:hint="eastAsia" w:ascii="??" w:hAnsi="Times New Roman" w:cs="??"/>
          <w:sz w:val="32"/>
          <w:szCs w:val="32"/>
        </w:rPr>
        <w:t>减少</w:t>
      </w:r>
      <w:r>
        <w:rPr>
          <w:rFonts w:ascii="??" w:hAnsi="Times New Roman" w:cs="??"/>
          <w:sz w:val="32"/>
          <w:szCs w:val="32"/>
        </w:rPr>
        <w:t>96.63</w:t>
      </w:r>
      <w:r>
        <w:rPr>
          <w:rFonts w:hint="eastAsia" w:ascii="??" w:hAnsi="Times New Roman" w:cs="??"/>
          <w:sz w:val="32"/>
          <w:szCs w:val="32"/>
        </w:rPr>
        <w:t>万元，下降</w:t>
      </w:r>
      <w:r>
        <w:rPr>
          <w:rFonts w:ascii="??" w:hAnsi="Times New Roman" w:cs="??"/>
          <w:sz w:val="32"/>
          <w:szCs w:val="32"/>
        </w:rPr>
        <w:t>27.99</w:t>
      </w:r>
      <w:r>
        <w:rPr>
          <w:rFonts w:hint="eastAsia" w:ascii="??" w:hAnsi="Times New Roman" w:cs="??"/>
          <w:sz w:val="32"/>
          <w:szCs w:val="32"/>
        </w:rPr>
        <w:t>，主要妇联基层组织以奖代补不能由本单位直接付给各县市区，由财政局直接拨付给各县市区。</w:t>
      </w:r>
    </w:p>
    <w:p>
      <w:pPr>
        <w:autoSpaceDE w:val="0"/>
        <w:autoSpaceDN w:val="0"/>
        <w:adjustRightInd w:val="0"/>
        <w:spacing w:line="560" w:lineRule="exact"/>
        <w:ind w:firstLine="627"/>
        <w:rPr>
          <w:rFonts w:ascii="??" w:hAnsi="Times New Roman" w:cs="??"/>
          <w:sz w:val="32"/>
          <w:szCs w:val="32"/>
        </w:rPr>
      </w:pPr>
      <w:r>
        <w:rPr>
          <w:rFonts w:ascii="??" w:hAnsi="Times New Roman" w:cs="??"/>
          <w:sz w:val="32"/>
          <w:szCs w:val="32"/>
        </w:rPr>
        <w:t>3</w:t>
      </w:r>
      <w:r>
        <w:rPr>
          <w:rFonts w:ascii="??" w:hAnsi="Times New Roman" w:eastAsia="Times New Roman" w:cs="??"/>
          <w:sz w:val="32"/>
          <w:szCs w:val="32"/>
        </w:rPr>
        <w:t>．</w:t>
      </w:r>
      <w:r>
        <w:rPr>
          <w:rFonts w:hint="eastAsia" w:ascii="??" w:hAnsi="Times New Roman" w:cs="??"/>
          <w:sz w:val="32"/>
          <w:szCs w:val="32"/>
        </w:rPr>
        <w:t>一般公共服务支出（类）群众团体事务（款）事业运行（项）事务支出</w:t>
      </w:r>
      <w:r>
        <w:rPr>
          <w:rFonts w:ascii="??" w:hAnsi="Times New Roman" w:cs="??"/>
          <w:sz w:val="32"/>
          <w:szCs w:val="32"/>
        </w:rPr>
        <w:t>319.00</w:t>
      </w:r>
      <w:r>
        <w:rPr>
          <w:rFonts w:hint="eastAsia" w:ascii="??" w:hAnsi="Times New Roman" w:cs="??"/>
          <w:sz w:val="32"/>
          <w:szCs w:val="32"/>
        </w:rPr>
        <w:t>万元，比年初预算</w:t>
      </w:r>
      <w:r>
        <w:rPr>
          <w:rFonts w:ascii="??" w:hAnsi="Times New Roman" w:cs="??"/>
          <w:sz w:val="32"/>
          <w:szCs w:val="32"/>
        </w:rPr>
        <w:t>356.78</w:t>
      </w:r>
      <w:r>
        <w:rPr>
          <w:rFonts w:hint="eastAsia" w:ascii="??" w:hAnsi="Times New Roman" w:cs="??"/>
          <w:sz w:val="32"/>
          <w:szCs w:val="32"/>
        </w:rPr>
        <w:t>万元减少</w:t>
      </w:r>
      <w:r>
        <w:rPr>
          <w:rFonts w:ascii="??" w:hAnsi="Times New Roman" w:cs="??"/>
          <w:sz w:val="32"/>
          <w:szCs w:val="32"/>
        </w:rPr>
        <w:t>37.78</w:t>
      </w:r>
      <w:r>
        <w:rPr>
          <w:rFonts w:hint="eastAsia" w:ascii="??" w:hAnsi="Times New Roman" w:cs="??"/>
          <w:sz w:val="32"/>
          <w:szCs w:val="32"/>
        </w:rPr>
        <w:t>万元，下降</w:t>
      </w:r>
      <w:r>
        <w:rPr>
          <w:rFonts w:ascii="??" w:hAnsi="Times New Roman" w:cs="??"/>
          <w:sz w:val="32"/>
          <w:szCs w:val="32"/>
        </w:rPr>
        <w:t>10.59 %</w:t>
      </w:r>
      <w:r>
        <w:rPr>
          <w:rFonts w:hint="eastAsia" w:ascii="??" w:hAnsi="Times New Roman" w:cs="??"/>
          <w:sz w:val="32"/>
          <w:szCs w:val="32"/>
        </w:rPr>
        <w:t>。主要原因是温州市妇女儿童活动中心人员调入、调出，年初预算把握不准。</w:t>
      </w:r>
    </w:p>
    <w:p>
      <w:pPr>
        <w:autoSpaceDE w:val="0"/>
        <w:autoSpaceDN w:val="0"/>
        <w:adjustRightInd w:val="0"/>
        <w:spacing w:line="560" w:lineRule="exact"/>
        <w:ind w:firstLine="627"/>
        <w:rPr>
          <w:rFonts w:ascii="??" w:hAnsi="Times New Roman" w:cs="??"/>
          <w:sz w:val="32"/>
          <w:szCs w:val="32"/>
        </w:rPr>
      </w:pPr>
      <w:r>
        <w:rPr>
          <w:rFonts w:ascii="??" w:hAnsi="Times New Roman" w:cs="??"/>
          <w:sz w:val="32"/>
          <w:szCs w:val="32"/>
        </w:rPr>
        <w:t>4</w:t>
      </w:r>
      <w:r>
        <w:rPr>
          <w:rFonts w:hint="eastAsia" w:ascii="??" w:hAnsi="Times New Roman" w:cs="??"/>
          <w:sz w:val="32"/>
          <w:szCs w:val="32"/>
        </w:rPr>
        <w:t>．一般公共服务支出（类）群众团体事务（款）其他群众团体事务支出（项）事务支出</w:t>
      </w:r>
      <w:r>
        <w:rPr>
          <w:rFonts w:ascii="??" w:hAnsi="Times New Roman" w:cs="??"/>
          <w:sz w:val="32"/>
          <w:szCs w:val="32"/>
        </w:rPr>
        <w:t>911.47</w:t>
      </w:r>
      <w:r>
        <w:rPr>
          <w:rFonts w:hint="eastAsia" w:ascii="??" w:hAnsi="Times New Roman" w:cs="??"/>
          <w:sz w:val="32"/>
          <w:szCs w:val="32"/>
        </w:rPr>
        <w:t>万元，比年初预算</w:t>
      </w:r>
      <w:r>
        <w:rPr>
          <w:rFonts w:ascii="??" w:hAnsi="Times New Roman" w:cs="??"/>
          <w:sz w:val="32"/>
          <w:szCs w:val="32"/>
        </w:rPr>
        <w:t>545.79</w:t>
      </w:r>
      <w:r>
        <w:rPr>
          <w:rFonts w:hint="eastAsia" w:ascii="??" w:hAnsi="Times New Roman" w:cs="??"/>
          <w:sz w:val="32"/>
          <w:szCs w:val="32"/>
        </w:rPr>
        <w:t>万元增加</w:t>
      </w:r>
      <w:r>
        <w:rPr>
          <w:rFonts w:ascii="??" w:hAnsi="Times New Roman" w:cs="??"/>
          <w:sz w:val="32"/>
          <w:szCs w:val="32"/>
        </w:rPr>
        <w:t>365.68</w:t>
      </w:r>
      <w:r>
        <w:rPr>
          <w:rFonts w:hint="eastAsia" w:ascii="??" w:hAnsi="Times New Roman" w:cs="??"/>
          <w:sz w:val="32"/>
          <w:szCs w:val="32"/>
        </w:rPr>
        <w:t>万元，增长</w:t>
      </w:r>
      <w:r>
        <w:rPr>
          <w:rFonts w:ascii="??" w:hAnsi="Times New Roman" w:cs="??"/>
          <w:sz w:val="32"/>
          <w:szCs w:val="32"/>
        </w:rPr>
        <w:t>67 %</w:t>
      </w:r>
      <w:r>
        <w:rPr>
          <w:rFonts w:hint="eastAsia" w:ascii="??" w:hAnsi="Times New Roman" w:cs="??"/>
          <w:sz w:val="32"/>
          <w:szCs w:val="32"/>
        </w:rPr>
        <w:t>。其中温州市妇女联合会增加</w:t>
      </w:r>
      <w:r>
        <w:rPr>
          <w:rFonts w:ascii="??" w:hAnsi="Times New Roman" w:cs="??"/>
          <w:sz w:val="32"/>
          <w:szCs w:val="32"/>
        </w:rPr>
        <w:t>74.76</w:t>
      </w:r>
      <w:r>
        <w:rPr>
          <w:rFonts w:hint="eastAsia" w:ascii="??" w:hAnsi="Times New Roman" w:cs="??"/>
          <w:sz w:val="32"/>
          <w:szCs w:val="32"/>
        </w:rPr>
        <w:t>万元，主要是因为省拨经费不在年初预算中；温州市妇女儿童活动中心</w:t>
      </w:r>
      <w:r>
        <w:rPr>
          <w:rFonts w:ascii="??" w:hAnsi="Times New Roman" w:cs="??"/>
          <w:sz w:val="32"/>
          <w:szCs w:val="32"/>
        </w:rPr>
        <w:t>291.04</w:t>
      </w:r>
      <w:r>
        <w:rPr>
          <w:rFonts w:hint="eastAsia" w:ascii="??" w:hAnsi="Times New Roman" w:cs="??"/>
          <w:sz w:val="32"/>
          <w:szCs w:val="32"/>
        </w:rPr>
        <w:t>万元，主要是温州市妇女儿童活动中心二次装饰装修工程及设施设备添置工程支出增加。</w:t>
      </w:r>
    </w:p>
    <w:p>
      <w:pPr>
        <w:autoSpaceDE w:val="0"/>
        <w:autoSpaceDN w:val="0"/>
        <w:adjustRightInd w:val="0"/>
        <w:spacing w:line="560" w:lineRule="exact"/>
        <w:ind w:firstLine="627"/>
        <w:rPr>
          <w:rFonts w:ascii="??" w:hAnsi="Times New Roman" w:cs="??"/>
          <w:sz w:val="32"/>
          <w:szCs w:val="32"/>
        </w:rPr>
      </w:pPr>
      <w:r>
        <w:rPr>
          <w:rFonts w:ascii="??" w:hAnsi="Times New Roman" w:cs="??"/>
          <w:sz w:val="32"/>
          <w:szCs w:val="32"/>
        </w:rPr>
        <w:t>5</w:t>
      </w:r>
      <w:r>
        <w:rPr>
          <w:rFonts w:ascii="??" w:hAnsi="Times New Roman" w:eastAsia="Times New Roman" w:cs="??"/>
          <w:sz w:val="32"/>
          <w:szCs w:val="32"/>
        </w:rPr>
        <w:t>．</w:t>
      </w:r>
      <w:r>
        <w:rPr>
          <w:rFonts w:hint="eastAsia" w:ascii="??" w:hAnsi="Times New Roman" w:cs="??"/>
          <w:sz w:val="32"/>
          <w:szCs w:val="32"/>
        </w:rPr>
        <w:t>社会保障和就业支出</w:t>
      </w:r>
      <w:r>
        <w:rPr>
          <w:rFonts w:ascii="??" w:hAnsi="Times New Roman" w:eastAsia="Times New Roman" w:cs="??"/>
          <w:sz w:val="32"/>
          <w:szCs w:val="32"/>
        </w:rPr>
        <w:t>（类）</w:t>
      </w:r>
      <w:r>
        <w:rPr>
          <w:rFonts w:hint="eastAsia" w:ascii="??" w:hAnsi="Times New Roman" w:cs="??"/>
          <w:sz w:val="32"/>
          <w:szCs w:val="32"/>
        </w:rPr>
        <w:t>行政事业单位离退休费</w:t>
      </w:r>
      <w:r>
        <w:rPr>
          <w:rFonts w:ascii="??" w:hAnsi="Times New Roman" w:eastAsia="Times New Roman" w:cs="??"/>
          <w:sz w:val="32"/>
          <w:szCs w:val="32"/>
        </w:rPr>
        <w:t>（款）</w:t>
      </w:r>
      <w:r>
        <w:rPr>
          <w:rFonts w:hint="eastAsia" w:ascii="??" w:hAnsi="Times New Roman" w:cs="??"/>
          <w:sz w:val="32"/>
          <w:szCs w:val="32"/>
        </w:rPr>
        <w:t>未归口管理的行政单位离退休</w:t>
      </w:r>
      <w:r>
        <w:rPr>
          <w:rFonts w:ascii="??" w:hAnsi="Times New Roman" w:eastAsia="Times New Roman" w:cs="??"/>
          <w:sz w:val="32"/>
          <w:szCs w:val="32"/>
        </w:rPr>
        <w:t>（项）事务支出</w:t>
      </w:r>
      <w:r>
        <w:rPr>
          <w:rFonts w:ascii="??" w:hAnsi="Times New Roman" w:cs="??"/>
          <w:sz w:val="32"/>
          <w:szCs w:val="32"/>
        </w:rPr>
        <w:t>58.1</w:t>
      </w:r>
      <w:r>
        <w:rPr>
          <w:rFonts w:hint="eastAsia" w:ascii="??" w:hAnsi="Times New Roman" w:cs="??"/>
          <w:sz w:val="32"/>
          <w:szCs w:val="32"/>
        </w:rPr>
        <w:t>万元，比预算数</w:t>
      </w:r>
      <w:r>
        <w:rPr>
          <w:rFonts w:ascii="??" w:hAnsi="Times New Roman" w:cs="??"/>
          <w:sz w:val="32"/>
          <w:szCs w:val="32"/>
        </w:rPr>
        <w:t>108.7</w:t>
      </w:r>
      <w:r>
        <w:rPr>
          <w:rFonts w:hint="eastAsia" w:ascii="??" w:hAnsi="Times New Roman" w:cs="??"/>
          <w:sz w:val="32"/>
          <w:szCs w:val="32"/>
        </w:rPr>
        <w:t>万元，减少</w:t>
      </w:r>
      <w:r>
        <w:rPr>
          <w:rFonts w:ascii="??" w:hAnsi="Times New Roman" w:cs="??"/>
          <w:sz w:val="32"/>
          <w:szCs w:val="32"/>
        </w:rPr>
        <w:t>50.6</w:t>
      </w:r>
      <w:r>
        <w:rPr>
          <w:rFonts w:hint="eastAsia" w:ascii="??" w:hAnsi="Times New Roman" w:cs="??"/>
          <w:sz w:val="32"/>
          <w:szCs w:val="32"/>
        </w:rPr>
        <w:t>万元，下降</w:t>
      </w:r>
      <w:r>
        <w:rPr>
          <w:rFonts w:ascii="??" w:hAnsi="Times New Roman" w:cs="??"/>
          <w:sz w:val="32"/>
          <w:szCs w:val="32"/>
        </w:rPr>
        <w:t>46.55%</w:t>
      </w:r>
      <w:r>
        <w:rPr>
          <w:rFonts w:hint="eastAsia" w:ascii="??" w:hAnsi="Times New Roman" w:cs="??"/>
          <w:sz w:val="32"/>
          <w:szCs w:val="32"/>
        </w:rPr>
        <w:t>。主要原因是</w:t>
      </w:r>
      <w:r>
        <w:rPr>
          <w:rFonts w:ascii="??" w:hAnsi="Times New Roman" w:cs="??"/>
          <w:sz w:val="32"/>
          <w:szCs w:val="32"/>
        </w:rPr>
        <w:t>2016</w:t>
      </w:r>
      <w:r>
        <w:rPr>
          <w:rFonts w:hint="eastAsia" w:ascii="??" w:hAnsi="Times New Roman" w:cs="??"/>
          <w:sz w:val="32"/>
          <w:szCs w:val="32"/>
        </w:rPr>
        <w:t>年退休人员工资从</w:t>
      </w:r>
      <w:r>
        <w:rPr>
          <w:rFonts w:ascii="??" w:hAnsi="Times New Roman" w:cs="??"/>
          <w:sz w:val="32"/>
          <w:szCs w:val="32"/>
        </w:rPr>
        <w:t>5</w:t>
      </w:r>
      <w:r>
        <w:rPr>
          <w:rFonts w:hint="eastAsia" w:ascii="??" w:hAnsi="Times New Roman" w:cs="??"/>
          <w:sz w:val="32"/>
          <w:szCs w:val="32"/>
        </w:rPr>
        <w:t>月起由单位发放转到社保发放。</w:t>
      </w:r>
    </w:p>
    <w:p>
      <w:pPr>
        <w:autoSpaceDE w:val="0"/>
        <w:autoSpaceDN w:val="0"/>
        <w:adjustRightInd w:val="0"/>
        <w:spacing w:line="560" w:lineRule="exact"/>
        <w:ind w:firstLine="627"/>
        <w:rPr>
          <w:rFonts w:ascii="??" w:hAnsi="Times New Roman" w:cs="??"/>
          <w:sz w:val="32"/>
          <w:szCs w:val="32"/>
        </w:rPr>
      </w:pPr>
      <w:r>
        <w:rPr>
          <w:rFonts w:ascii="??" w:hAnsi="Times New Roman" w:cs="??"/>
          <w:sz w:val="32"/>
          <w:szCs w:val="32"/>
        </w:rPr>
        <w:t>6</w:t>
      </w:r>
      <w:r>
        <w:rPr>
          <w:rFonts w:ascii="??" w:hAnsi="Times New Roman" w:eastAsia="Times New Roman" w:cs="??"/>
          <w:sz w:val="32"/>
          <w:szCs w:val="32"/>
        </w:rPr>
        <w:t>．</w:t>
      </w:r>
      <w:r>
        <w:rPr>
          <w:rFonts w:hint="eastAsia" w:ascii="??" w:hAnsi="Times New Roman" w:cs="??"/>
          <w:sz w:val="32"/>
          <w:szCs w:val="32"/>
        </w:rPr>
        <w:t>社会保障和就业支出</w:t>
      </w:r>
      <w:r>
        <w:rPr>
          <w:rFonts w:ascii="??" w:hAnsi="Times New Roman" w:eastAsia="Times New Roman" w:cs="??"/>
          <w:sz w:val="32"/>
          <w:szCs w:val="32"/>
        </w:rPr>
        <w:t>（类）</w:t>
      </w:r>
      <w:r>
        <w:rPr>
          <w:rFonts w:hint="eastAsia" w:ascii="??" w:hAnsi="Times New Roman" w:cs="??"/>
          <w:sz w:val="32"/>
          <w:szCs w:val="32"/>
        </w:rPr>
        <w:t>行政事业单位离退休费</w:t>
      </w:r>
      <w:r>
        <w:rPr>
          <w:rFonts w:ascii="??" w:hAnsi="Times New Roman" w:eastAsia="Times New Roman" w:cs="??"/>
          <w:sz w:val="32"/>
          <w:szCs w:val="32"/>
        </w:rPr>
        <w:t>（款）</w:t>
      </w:r>
      <w:r>
        <w:rPr>
          <w:rFonts w:hint="eastAsia" w:ascii="??" w:hAnsi="Times New Roman" w:cs="??"/>
          <w:sz w:val="32"/>
          <w:szCs w:val="32"/>
        </w:rPr>
        <w:t>机关事业单位基本养老保险缴费支出</w:t>
      </w:r>
      <w:r>
        <w:rPr>
          <w:rFonts w:ascii="??" w:hAnsi="Times New Roman" w:eastAsia="Times New Roman" w:cs="??"/>
          <w:sz w:val="32"/>
          <w:szCs w:val="32"/>
        </w:rPr>
        <w:t>（项）事务支出</w:t>
      </w:r>
      <w:r>
        <w:rPr>
          <w:rFonts w:ascii="??" w:hAnsi="Times New Roman" w:cs="??"/>
          <w:sz w:val="32"/>
          <w:szCs w:val="32"/>
        </w:rPr>
        <w:t>23.74</w:t>
      </w:r>
      <w:r>
        <w:rPr>
          <w:rFonts w:hint="eastAsia" w:ascii="??" w:hAnsi="Times New Roman" w:cs="??"/>
          <w:sz w:val="32"/>
          <w:szCs w:val="32"/>
        </w:rPr>
        <w:t>万元，比预算数增加</w:t>
      </w:r>
      <w:r>
        <w:rPr>
          <w:rFonts w:ascii="??" w:hAnsi="Times New Roman" w:cs="??"/>
          <w:sz w:val="32"/>
          <w:szCs w:val="32"/>
        </w:rPr>
        <w:t>23.74</w:t>
      </w:r>
      <w:r>
        <w:rPr>
          <w:rFonts w:hint="eastAsia" w:ascii="??" w:hAnsi="Times New Roman" w:cs="??"/>
          <w:sz w:val="32"/>
          <w:szCs w:val="32"/>
        </w:rPr>
        <w:t>万元，上升</w:t>
      </w:r>
      <w:r>
        <w:rPr>
          <w:rFonts w:ascii="??" w:hAnsi="Times New Roman" w:cs="??"/>
          <w:sz w:val="32"/>
          <w:szCs w:val="32"/>
        </w:rPr>
        <w:t>100%</w:t>
      </w:r>
      <w:r>
        <w:rPr>
          <w:rFonts w:hint="eastAsia" w:ascii="??" w:hAnsi="Times New Roman" w:cs="??"/>
          <w:sz w:val="32"/>
          <w:szCs w:val="32"/>
        </w:rPr>
        <w:t>，主要原因是</w:t>
      </w:r>
      <w:r>
        <w:rPr>
          <w:rFonts w:ascii="??" w:hAnsi="Times New Roman" w:cs="??"/>
          <w:sz w:val="32"/>
          <w:szCs w:val="32"/>
        </w:rPr>
        <w:t>2016</w:t>
      </w:r>
      <w:r>
        <w:rPr>
          <w:rFonts w:hint="eastAsia" w:ascii="??" w:hAnsi="Times New Roman" w:cs="??"/>
          <w:sz w:val="32"/>
          <w:szCs w:val="32"/>
        </w:rPr>
        <w:t>年开始对行政事业单位的在职人员缴纳基本养老保险和职业年金的缴纳。</w:t>
      </w:r>
    </w:p>
    <w:p>
      <w:pPr>
        <w:autoSpaceDE w:val="0"/>
        <w:autoSpaceDN w:val="0"/>
        <w:adjustRightInd w:val="0"/>
        <w:spacing w:line="560" w:lineRule="exact"/>
        <w:ind w:firstLine="627"/>
        <w:rPr>
          <w:rFonts w:ascii="??" w:hAnsi="Times New Roman" w:cs="??"/>
          <w:sz w:val="32"/>
          <w:szCs w:val="32"/>
        </w:rPr>
      </w:pPr>
      <w:r>
        <w:rPr>
          <w:rFonts w:ascii="??" w:hAnsi="Times New Roman" w:cs="??"/>
          <w:sz w:val="32"/>
          <w:szCs w:val="32"/>
        </w:rPr>
        <w:t>7</w:t>
      </w:r>
      <w:r>
        <w:rPr>
          <w:rFonts w:ascii="??" w:hAnsi="Times New Roman" w:eastAsia="Times New Roman" w:cs="??"/>
          <w:sz w:val="32"/>
          <w:szCs w:val="32"/>
        </w:rPr>
        <w:t>．</w:t>
      </w:r>
      <w:r>
        <w:rPr>
          <w:rFonts w:hint="eastAsia" w:ascii="??" w:hAnsi="Times New Roman" w:cs="??"/>
          <w:sz w:val="32"/>
          <w:szCs w:val="32"/>
        </w:rPr>
        <w:t>社会保障和就业支出</w:t>
      </w:r>
      <w:r>
        <w:rPr>
          <w:rFonts w:ascii="??" w:hAnsi="Times New Roman" w:eastAsia="Times New Roman" w:cs="??"/>
          <w:sz w:val="32"/>
          <w:szCs w:val="32"/>
        </w:rPr>
        <w:t>（类）</w:t>
      </w:r>
      <w:r>
        <w:rPr>
          <w:rFonts w:hint="eastAsia" w:ascii="??" w:hAnsi="Times New Roman" w:cs="??"/>
          <w:sz w:val="32"/>
          <w:szCs w:val="32"/>
        </w:rPr>
        <w:t>行政事业单位离退休费</w:t>
      </w:r>
      <w:r>
        <w:rPr>
          <w:rFonts w:ascii="??" w:hAnsi="Times New Roman" w:eastAsia="Times New Roman" w:cs="??"/>
          <w:sz w:val="32"/>
          <w:szCs w:val="32"/>
        </w:rPr>
        <w:t>（款）</w:t>
      </w:r>
      <w:r>
        <w:rPr>
          <w:rFonts w:hint="eastAsia" w:ascii="??" w:hAnsi="Times New Roman" w:cs="??"/>
          <w:sz w:val="32"/>
          <w:szCs w:val="32"/>
        </w:rPr>
        <w:t>机关事业单位职业年金缴费支出</w:t>
      </w:r>
      <w:r>
        <w:rPr>
          <w:rFonts w:ascii="??" w:hAnsi="Times New Roman" w:eastAsia="Times New Roman" w:cs="??"/>
          <w:sz w:val="32"/>
          <w:szCs w:val="32"/>
        </w:rPr>
        <w:t>（项）事务支出</w:t>
      </w:r>
      <w:r>
        <w:rPr>
          <w:rFonts w:ascii="??" w:hAnsi="Times New Roman" w:cs="??"/>
          <w:sz w:val="32"/>
          <w:szCs w:val="32"/>
        </w:rPr>
        <w:t>62.27</w:t>
      </w:r>
      <w:r>
        <w:rPr>
          <w:rFonts w:hint="eastAsia" w:ascii="??" w:hAnsi="Times New Roman" w:cs="??"/>
          <w:sz w:val="32"/>
          <w:szCs w:val="32"/>
        </w:rPr>
        <w:t>万元，比预算数增加</w:t>
      </w:r>
      <w:r>
        <w:rPr>
          <w:rFonts w:ascii="??" w:hAnsi="Times New Roman" w:cs="??"/>
          <w:sz w:val="32"/>
          <w:szCs w:val="32"/>
        </w:rPr>
        <w:t>62.27</w:t>
      </w:r>
      <w:r>
        <w:rPr>
          <w:rFonts w:hint="eastAsia" w:ascii="??" w:hAnsi="Times New Roman" w:cs="??"/>
          <w:sz w:val="32"/>
          <w:szCs w:val="32"/>
        </w:rPr>
        <w:t>万元，上升</w:t>
      </w:r>
      <w:r>
        <w:rPr>
          <w:rFonts w:ascii="??" w:hAnsi="Times New Roman" w:cs="??"/>
          <w:sz w:val="32"/>
          <w:szCs w:val="32"/>
        </w:rPr>
        <w:t>100%</w:t>
      </w:r>
      <w:r>
        <w:rPr>
          <w:rFonts w:hint="eastAsia" w:ascii="??" w:hAnsi="Times New Roman" w:cs="??"/>
          <w:sz w:val="32"/>
          <w:szCs w:val="32"/>
        </w:rPr>
        <w:t>，主要原因是</w:t>
      </w:r>
      <w:r>
        <w:rPr>
          <w:rFonts w:ascii="??" w:hAnsi="Times New Roman" w:cs="??"/>
          <w:sz w:val="32"/>
          <w:szCs w:val="32"/>
        </w:rPr>
        <w:t>2016</w:t>
      </w:r>
      <w:r>
        <w:rPr>
          <w:rFonts w:hint="eastAsia" w:ascii="??" w:hAnsi="Times New Roman" w:cs="??"/>
          <w:sz w:val="32"/>
          <w:szCs w:val="32"/>
        </w:rPr>
        <w:t>年开始对行政事业单位的在职人员缴纳基本养老保险和职业年金的缴纳。</w:t>
      </w:r>
    </w:p>
    <w:p>
      <w:pPr>
        <w:autoSpaceDE w:val="0"/>
        <w:autoSpaceDN w:val="0"/>
        <w:adjustRightInd w:val="0"/>
        <w:spacing w:line="560" w:lineRule="exact"/>
        <w:ind w:firstLine="627"/>
        <w:rPr>
          <w:rFonts w:ascii="??" w:hAnsi="Times New Roman" w:cs="??"/>
          <w:sz w:val="32"/>
          <w:szCs w:val="32"/>
        </w:rPr>
      </w:pPr>
      <w:r>
        <w:rPr>
          <w:rFonts w:ascii="??" w:hAnsi="Times New Roman" w:cs="??"/>
          <w:sz w:val="32"/>
          <w:szCs w:val="32"/>
        </w:rPr>
        <w:t>8</w:t>
      </w:r>
      <w:r>
        <w:rPr>
          <w:rFonts w:hint="eastAsia" w:ascii="??" w:hAnsi="Times New Roman" w:cs="??"/>
          <w:sz w:val="32"/>
          <w:szCs w:val="32"/>
        </w:rPr>
        <w:t>．医疗卫生与计划生育支出（类）医疗保障（款）行政单位医疗（项）支出</w:t>
      </w:r>
      <w:r>
        <w:rPr>
          <w:rFonts w:ascii="??" w:hAnsi="Times New Roman" w:cs="??"/>
          <w:sz w:val="32"/>
          <w:szCs w:val="32"/>
        </w:rPr>
        <w:t>26.69</w:t>
      </w:r>
      <w:r>
        <w:rPr>
          <w:rFonts w:hint="eastAsia" w:ascii="??" w:hAnsi="Times New Roman" w:cs="??"/>
          <w:sz w:val="32"/>
          <w:szCs w:val="32"/>
        </w:rPr>
        <w:t>万元，比年初预算</w:t>
      </w:r>
      <w:r>
        <w:rPr>
          <w:rFonts w:ascii="??" w:hAnsi="Times New Roman" w:cs="??"/>
          <w:sz w:val="32"/>
          <w:szCs w:val="32"/>
        </w:rPr>
        <w:t>26</w:t>
      </w:r>
      <w:r>
        <w:rPr>
          <w:rFonts w:hint="eastAsia" w:ascii="??" w:hAnsi="Times New Roman" w:cs="??"/>
          <w:sz w:val="32"/>
          <w:szCs w:val="32"/>
        </w:rPr>
        <w:t>万元增加</w:t>
      </w:r>
      <w:r>
        <w:rPr>
          <w:rFonts w:ascii="??" w:hAnsi="Times New Roman" w:cs="??"/>
          <w:sz w:val="32"/>
          <w:szCs w:val="32"/>
        </w:rPr>
        <w:t>0.69</w:t>
      </w:r>
      <w:r>
        <w:rPr>
          <w:rFonts w:hint="eastAsia" w:ascii="??" w:hAnsi="Times New Roman" w:cs="??"/>
          <w:sz w:val="32"/>
          <w:szCs w:val="32"/>
        </w:rPr>
        <w:t>万元，增长</w:t>
      </w:r>
      <w:r>
        <w:rPr>
          <w:rFonts w:ascii="??" w:hAnsi="Times New Roman" w:cs="??"/>
          <w:sz w:val="32"/>
          <w:szCs w:val="32"/>
        </w:rPr>
        <w:t>2.65 %</w:t>
      </w:r>
      <w:r>
        <w:rPr>
          <w:rFonts w:hint="eastAsia" w:ascii="??" w:hAnsi="Times New Roman" w:cs="??"/>
          <w:sz w:val="32"/>
          <w:szCs w:val="32"/>
        </w:rPr>
        <w:t>。主要是因为用于温州市妇女联合会人员变动基数变化。</w:t>
      </w:r>
    </w:p>
    <w:p>
      <w:pPr>
        <w:autoSpaceDE w:val="0"/>
        <w:autoSpaceDN w:val="0"/>
        <w:adjustRightInd w:val="0"/>
        <w:spacing w:line="560" w:lineRule="exact"/>
        <w:ind w:firstLine="627"/>
        <w:rPr>
          <w:rFonts w:ascii="??" w:hAnsi="Times New Roman" w:cs="??"/>
          <w:sz w:val="32"/>
          <w:szCs w:val="32"/>
        </w:rPr>
      </w:pPr>
      <w:r>
        <w:rPr>
          <w:rFonts w:ascii="??" w:hAnsi="Times New Roman" w:cs="??"/>
          <w:sz w:val="32"/>
          <w:szCs w:val="32"/>
        </w:rPr>
        <w:t>9</w:t>
      </w:r>
      <w:r>
        <w:rPr>
          <w:rFonts w:hint="eastAsia" w:ascii="??" w:hAnsi="Times New Roman" w:cs="??"/>
          <w:sz w:val="32"/>
          <w:szCs w:val="32"/>
        </w:rPr>
        <w:t>．医疗卫生与计划生育支出（类）医疗保障（款）事业单位医疗（项）支出</w:t>
      </w:r>
      <w:r>
        <w:rPr>
          <w:rFonts w:ascii="??" w:hAnsi="Times New Roman" w:cs="??"/>
          <w:sz w:val="32"/>
          <w:szCs w:val="32"/>
        </w:rPr>
        <w:t>14.31</w:t>
      </w:r>
      <w:r>
        <w:rPr>
          <w:rFonts w:hint="eastAsia" w:ascii="??" w:hAnsi="Times New Roman" w:cs="??"/>
          <w:sz w:val="32"/>
          <w:szCs w:val="32"/>
        </w:rPr>
        <w:t>万元，比年初预算</w:t>
      </w:r>
      <w:r>
        <w:rPr>
          <w:rFonts w:ascii="??" w:hAnsi="Times New Roman" w:cs="??"/>
          <w:sz w:val="32"/>
          <w:szCs w:val="32"/>
        </w:rPr>
        <w:t>13.08</w:t>
      </w:r>
      <w:r>
        <w:rPr>
          <w:rFonts w:hint="eastAsia" w:ascii="??" w:hAnsi="Times New Roman" w:cs="??"/>
          <w:sz w:val="32"/>
          <w:szCs w:val="32"/>
        </w:rPr>
        <w:t>万元增加</w:t>
      </w:r>
      <w:r>
        <w:rPr>
          <w:rFonts w:ascii="??" w:hAnsi="Times New Roman" w:cs="??"/>
          <w:sz w:val="32"/>
          <w:szCs w:val="32"/>
        </w:rPr>
        <w:t>1.23</w:t>
      </w:r>
      <w:r>
        <w:rPr>
          <w:rFonts w:hint="eastAsia" w:ascii="??" w:hAnsi="Times New Roman" w:cs="??"/>
          <w:sz w:val="32"/>
          <w:szCs w:val="32"/>
        </w:rPr>
        <w:t>万元，增长</w:t>
      </w:r>
      <w:r>
        <w:rPr>
          <w:rFonts w:ascii="??" w:hAnsi="Times New Roman" w:cs="??"/>
          <w:sz w:val="32"/>
          <w:szCs w:val="32"/>
        </w:rPr>
        <w:t>9.40 %</w:t>
      </w:r>
      <w:r>
        <w:rPr>
          <w:rFonts w:hint="eastAsia" w:ascii="??" w:hAnsi="Times New Roman" w:cs="??"/>
          <w:sz w:val="32"/>
          <w:szCs w:val="32"/>
        </w:rPr>
        <w:t>。主要是温州市妇女儿童活动中心人员增加。</w:t>
      </w:r>
    </w:p>
    <w:p>
      <w:pPr>
        <w:autoSpaceDE w:val="0"/>
        <w:autoSpaceDN w:val="0"/>
        <w:adjustRightInd w:val="0"/>
        <w:spacing w:line="560" w:lineRule="exact"/>
        <w:ind w:firstLine="627"/>
        <w:rPr>
          <w:rFonts w:ascii="??" w:hAnsi="Times New Roman" w:cs="??"/>
          <w:sz w:val="32"/>
          <w:szCs w:val="32"/>
        </w:rPr>
      </w:pPr>
      <w:r>
        <w:rPr>
          <w:rFonts w:ascii="??" w:hAnsi="Times New Roman" w:cs="??"/>
          <w:sz w:val="32"/>
          <w:szCs w:val="32"/>
        </w:rPr>
        <w:t>10.</w:t>
      </w:r>
      <w:r>
        <w:rPr>
          <w:rFonts w:hint="eastAsia" w:ascii="??" w:hAnsi="Times New Roman" w:cs="??"/>
          <w:sz w:val="32"/>
          <w:szCs w:val="32"/>
        </w:rPr>
        <w:t>住房保障支出（类）住房改革支出（款）住房公积金（项）支出</w:t>
      </w:r>
      <w:r>
        <w:rPr>
          <w:rFonts w:ascii="??" w:hAnsi="Times New Roman" w:cs="??"/>
          <w:sz w:val="32"/>
          <w:szCs w:val="32"/>
        </w:rPr>
        <w:t>55.36</w:t>
      </w:r>
      <w:r>
        <w:rPr>
          <w:rFonts w:hint="eastAsia" w:ascii="??" w:hAnsi="Times New Roman" w:cs="??"/>
          <w:sz w:val="32"/>
          <w:szCs w:val="32"/>
        </w:rPr>
        <w:t>万元，比年初预算</w:t>
      </w:r>
      <w:r>
        <w:rPr>
          <w:rFonts w:ascii="??" w:hAnsi="Times New Roman" w:cs="??"/>
          <w:sz w:val="32"/>
          <w:szCs w:val="32"/>
        </w:rPr>
        <w:t>56.84</w:t>
      </w:r>
      <w:r>
        <w:rPr>
          <w:rFonts w:hint="eastAsia" w:ascii="??" w:hAnsi="Times New Roman" w:cs="??"/>
          <w:sz w:val="32"/>
          <w:szCs w:val="32"/>
        </w:rPr>
        <w:t>万元减少</w:t>
      </w:r>
      <w:r>
        <w:rPr>
          <w:rFonts w:ascii="??" w:hAnsi="Times New Roman" w:cs="??"/>
          <w:sz w:val="32"/>
          <w:szCs w:val="32"/>
        </w:rPr>
        <w:t>1.48</w:t>
      </w:r>
      <w:r>
        <w:rPr>
          <w:rFonts w:hint="eastAsia" w:ascii="??" w:hAnsi="Times New Roman" w:cs="??"/>
          <w:sz w:val="32"/>
          <w:szCs w:val="32"/>
        </w:rPr>
        <w:t>万元，下降</w:t>
      </w:r>
      <w:r>
        <w:rPr>
          <w:rFonts w:ascii="??" w:hAnsi="Times New Roman" w:cs="??"/>
          <w:sz w:val="32"/>
          <w:szCs w:val="32"/>
        </w:rPr>
        <w:t>2.6%</w:t>
      </w:r>
      <w:r>
        <w:rPr>
          <w:rFonts w:hint="eastAsia" w:ascii="??" w:hAnsi="Times New Roman" w:cs="??"/>
          <w:sz w:val="32"/>
          <w:szCs w:val="32"/>
        </w:rPr>
        <w:t>，主要是人员变动基数变化引起。</w:t>
      </w:r>
    </w:p>
    <w:p>
      <w:pPr>
        <w:autoSpaceDE w:val="0"/>
        <w:autoSpaceDN w:val="0"/>
        <w:adjustRightInd w:val="0"/>
        <w:spacing w:line="560" w:lineRule="exact"/>
        <w:ind w:firstLine="627"/>
        <w:rPr>
          <w:rFonts w:ascii="??" w:hAnsi="Times New Roman" w:cs="??"/>
          <w:sz w:val="32"/>
          <w:szCs w:val="32"/>
        </w:rPr>
      </w:pPr>
      <w:r>
        <w:rPr>
          <w:rFonts w:ascii="??" w:hAnsi="Times New Roman" w:cs="??"/>
          <w:sz w:val="32"/>
          <w:szCs w:val="32"/>
        </w:rPr>
        <w:t>11.</w:t>
      </w:r>
      <w:r>
        <w:rPr>
          <w:rFonts w:hint="eastAsia" w:ascii="??" w:hAnsi="Times New Roman" w:cs="??"/>
          <w:sz w:val="32"/>
          <w:szCs w:val="32"/>
        </w:rPr>
        <w:t>住房保障支出（类）住房改革支出（款）购房补贴（项）支出</w:t>
      </w:r>
      <w:r>
        <w:rPr>
          <w:rFonts w:ascii="??" w:hAnsi="Times New Roman" w:cs="??"/>
          <w:sz w:val="32"/>
          <w:szCs w:val="32"/>
        </w:rPr>
        <w:t>8</w:t>
      </w:r>
      <w:r>
        <w:rPr>
          <w:rFonts w:hint="eastAsia" w:ascii="??" w:hAnsi="Times New Roman" w:cs="??"/>
          <w:sz w:val="32"/>
          <w:szCs w:val="32"/>
        </w:rPr>
        <w:t>万元，比年初预算</w:t>
      </w:r>
      <w:r>
        <w:rPr>
          <w:rFonts w:ascii="??" w:hAnsi="Times New Roman" w:cs="??"/>
          <w:sz w:val="32"/>
          <w:szCs w:val="32"/>
        </w:rPr>
        <w:t>8.5</w:t>
      </w:r>
      <w:r>
        <w:rPr>
          <w:rFonts w:hint="eastAsia" w:ascii="??" w:hAnsi="Times New Roman" w:cs="??"/>
          <w:sz w:val="32"/>
          <w:szCs w:val="32"/>
        </w:rPr>
        <w:t>万元减少</w:t>
      </w:r>
      <w:r>
        <w:rPr>
          <w:rFonts w:ascii="??" w:hAnsi="Times New Roman" w:cs="??"/>
          <w:sz w:val="32"/>
          <w:szCs w:val="32"/>
        </w:rPr>
        <w:t>0.5</w:t>
      </w:r>
      <w:r>
        <w:rPr>
          <w:rFonts w:hint="eastAsia" w:ascii="??" w:hAnsi="Times New Roman" w:cs="??"/>
          <w:sz w:val="32"/>
          <w:szCs w:val="32"/>
        </w:rPr>
        <w:t>万元，下降</w:t>
      </w:r>
      <w:r>
        <w:rPr>
          <w:rFonts w:ascii="??" w:hAnsi="Times New Roman" w:cs="??"/>
          <w:sz w:val="32"/>
          <w:szCs w:val="32"/>
        </w:rPr>
        <w:t>6.25%</w:t>
      </w:r>
      <w:r>
        <w:rPr>
          <w:rFonts w:hint="eastAsia" w:ascii="??" w:hAnsi="Times New Roman" w:cs="??"/>
          <w:sz w:val="32"/>
          <w:szCs w:val="32"/>
        </w:rPr>
        <w:t>，主要是人员变动基数变化引起。</w:t>
      </w:r>
    </w:p>
    <w:p>
      <w:pPr>
        <w:autoSpaceDE w:val="0"/>
        <w:autoSpaceDN w:val="0"/>
        <w:adjustRightInd w:val="0"/>
        <w:spacing w:line="560" w:lineRule="exact"/>
        <w:ind w:firstLine="480"/>
        <w:rPr>
          <w:rFonts w:ascii="??" w:hAnsi="Times New Roman" w:eastAsia="Times New Roman" w:cs="??"/>
          <w:sz w:val="32"/>
          <w:szCs w:val="32"/>
        </w:rPr>
      </w:pPr>
      <w:r>
        <w:rPr>
          <w:rFonts w:ascii="??" w:hAnsi="Times New Roman" w:eastAsia="Times New Roman" w:cs="??"/>
          <w:sz w:val="32"/>
          <w:szCs w:val="32"/>
        </w:rPr>
        <w:t>（六）一般公共预算财政拨款基本支出情况</w:t>
      </w:r>
    </w:p>
    <w:p>
      <w:pPr>
        <w:autoSpaceDE w:val="0"/>
        <w:autoSpaceDN w:val="0"/>
        <w:adjustRightInd w:val="0"/>
        <w:spacing w:line="560" w:lineRule="exact"/>
        <w:ind w:firstLine="640" w:firstLineChars="200"/>
        <w:rPr>
          <w:rFonts w:ascii="??" w:hAnsi="Times New Roman" w:eastAsia="Times New Roman" w:cs="??"/>
          <w:sz w:val="32"/>
          <w:szCs w:val="32"/>
        </w:rPr>
      </w:pPr>
      <w:r>
        <w:rPr>
          <w:rFonts w:ascii="??" w:hAnsi="Times New Roman" w:eastAsia="Times New Roman" w:cs="??"/>
          <w:sz w:val="32"/>
          <w:szCs w:val="32"/>
        </w:rPr>
        <w:t>2016年度度一般公共预算财政拨款基本支出1028.69万元。其中：人员经费889.40万元，包括在职公务员及事业人员的工资支出、养老保险支出、医疗保险支出、公积金等缴纳；公用经费139.29万元，包括单位日常经费支出、一般公用经费支出等。</w:t>
      </w:r>
    </w:p>
    <w:p>
      <w:pPr>
        <w:autoSpaceDE w:val="0"/>
        <w:autoSpaceDN w:val="0"/>
        <w:adjustRightInd w:val="0"/>
        <w:spacing w:line="360" w:lineRule="auto"/>
        <w:ind w:firstLine="640" w:firstLineChars="200"/>
        <w:rPr>
          <w:rFonts w:ascii="??" w:hAnsi="Times New Roman" w:eastAsia="Times New Roman" w:cs="??"/>
          <w:sz w:val="32"/>
          <w:szCs w:val="32"/>
        </w:rPr>
      </w:pPr>
      <w:r>
        <w:rPr>
          <w:rFonts w:ascii="??" w:hAnsi="Times New Roman" w:eastAsia="Times New Roman" w:cs="??"/>
          <w:sz w:val="32"/>
          <w:szCs w:val="32"/>
        </w:rPr>
        <w:t>（七）政府性基金预算财政拨款收入支出情况（无发生支出，需零说明）</w:t>
      </w:r>
    </w:p>
    <w:p>
      <w:pPr>
        <w:autoSpaceDE w:val="0"/>
        <w:autoSpaceDN w:val="0"/>
        <w:adjustRightInd w:val="0"/>
        <w:spacing w:line="560" w:lineRule="exact"/>
        <w:ind w:firstLine="480"/>
        <w:rPr>
          <w:rFonts w:ascii="??" w:hAnsi="Times New Roman" w:eastAsia="Times New Roman" w:cs="??"/>
          <w:sz w:val="32"/>
          <w:szCs w:val="32"/>
        </w:rPr>
      </w:pPr>
      <w:r>
        <w:rPr>
          <w:rFonts w:ascii="??" w:hAnsi="Times New Roman" w:eastAsia="Times New Roman" w:cs="??"/>
          <w:sz w:val="32"/>
          <w:szCs w:val="32"/>
        </w:rPr>
        <w:t>2016 年度温州市妇女联合会未有政府性基金的预算和使用。</w:t>
      </w:r>
    </w:p>
    <w:p>
      <w:pPr>
        <w:autoSpaceDE w:val="0"/>
        <w:autoSpaceDN w:val="0"/>
        <w:adjustRightInd w:val="0"/>
        <w:spacing w:line="560" w:lineRule="exact"/>
        <w:ind w:firstLine="480"/>
        <w:rPr>
          <w:rFonts w:ascii="??" w:hAnsi="Times New Roman" w:eastAsia="Times New Roman" w:cs="??"/>
          <w:sz w:val="32"/>
          <w:szCs w:val="32"/>
        </w:rPr>
      </w:pPr>
      <w:r>
        <w:rPr>
          <w:rFonts w:ascii="??" w:hAnsi="Times New Roman" w:eastAsia="Times New Roman" w:cs="??"/>
          <w:sz w:val="32"/>
          <w:szCs w:val="32"/>
        </w:rPr>
        <w:t>（八） “三公”经费决算情况</w:t>
      </w:r>
    </w:p>
    <w:p>
      <w:pPr>
        <w:autoSpaceDE w:val="0"/>
        <w:autoSpaceDN w:val="0"/>
        <w:adjustRightInd w:val="0"/>
        <w:spacing w:line="560" w:lineRule="exact"/>
        <w:ind w:firstLine="600"/>
        <w:rPr>
          <w:rFonts w:ascii="??" w:hAnsi="Times New Roman" w:eastAsia="Times New Roman" w:cs="??"/>
          <w:sz w:val="30"/>
          <w:szCs w:val="30"/>
          <w:lang w:val="zh-CN"/>
        </w:rPr>
      </w:pPr>
      <w:r>
        <w:rPr>
          <w:rFonts w:ascii="??" w:hAnsi="Times New Roman" w:eastAsia="Times New Roman" w:cs="??"/>
          <w:sz w:val="32"/>
          <w:szCs w:val="32"/>
        </w:rPr>
        <w:t>1.因公出国（境）费用：</w:t>
      </w:r>
      <w:r>
        <w:rPr>
          <w:rFonts w:ascii="??" w:hAnsi="Times New Roman" w:eastAsia="Times New Roman" w:cs="??"/>
          <w:kern w:val="0"/>
          <w:sz w:val="32"/>
          <w:szCs w:val="32"/>
        </w:rPr>
        <w:t>根据外事部门安排的因公出国计划和实际工作需要，2016年度因公出国（境）支出</w:t>
      </w:r>
      <w:r>
        <w:rPr>
          <w:rFonts w:ascii="??" w:hAnsi="Times New Roman" w:eastAsia="Times New Roman" w:cs="??"/>
          <w:sz w:val="30"/>
          <w:szCs w:val="30"/>
          <w:lang w:val="zh-CN"/>
        </w:rPr>
        <w:t>3.19</w:t>
      </w:r>
      <w:r>
        <w:rPr>
          <w:rFonts w:ascii="??" w:hAnsi="Times New Roman" w:eastAsia="Times New Roman" w:cs="??"/>
          <w:kern w:val="0"/>
          <w:sz w:val="32"/>
          <w:szCs w:val="32"/>
        </w:rPr>
        <w:t>万元，</w:t>
      </w:r>
      <w:r>
        <w:rPr>
          <w:rFonts w:ascii="??" w:hAnsi="Times New Roman" w:eastAsia="Times New Roman" w:cs="??"/>
          <w:sz w:val="32"/>
          <w:szCs w:val="32"/>
        </w:rPr>
        <w:t>比年初预算减少1.01万元，下降24.05%，主要原因是出国安排经费由省妇联采购比预算节约；比上年决算数增加3.19万元，增长100%，主要原因是2015年本单位没有安排人员出国。因公出国（境）费用</w:t>
      </w:r>
      <w:r>
        <w:rPr>
          <w:rFonts w:ascii="??" w:hAnsi="Times New Roman" w:eastAsia="Times New Roman" w:cs="??"/>
          <w:kern w:val="0"/>
          <w:sz w:val="32"/>
          <w:szCs w:val="32"/>
        </w:rPr>
        <w:t>主要用于机关人员的公务出国（境）的住宿费、国际旅费、培训费、公杂费等支出。本部门全年组织因公出国(境)团组</w:t>
      </w:r>
      <w:r>
        <w:rPr>
          <w:rFonts w:ascii="??" w:hAnsi="Times New Roman" w:eastAsia="Times New Roman" w:cs="??"/>
          <w:sz w:val="30"/>
          <w:szCs w:val="30"/>
          <w:lang w:val="zh-CN"/>
        </w:rPr>
        <w:t>0</w:t>
      </w:r>
      <w:r>
        <w:rPr>
          <w:rFonts w:ascii="??" w:hAnsi="Times New Roman" w:eastAsia="Times New Roman" w:cs="??"/>
          <w:kern w:val="0"/>
          <w:sz w:val="32"/>
          <w:szCs w:val="32"/>
        </w:rPr>
        <w:t>个；本部门全年因公出国(境)累计</w:t>
      </w:r>
      <w:r>
        <w:rPr>
          <w:rFonts w:ascii="??" w:hAnsi="Times New Roman" w:eastAsia="Times New Roman" w:cs="??"/>
          <w:sz w:val="30"/>
          <w:szCs w:val="30"/>
          <w:lang w:val="zh-CN"/>
        </w:rPr>
        <w:t>1</w:t>
      </w:r>
      <w:r>
        <w:rPr>
          <w:rFonts w:ascii="??" w:hAnsi="Times New Roman" w:eastAsia="Times New Roman" w:cs="??"/>
          <w:kern w:val="0"/>
          <w:sz w:val="32"/>
          <w:szCs w:val="32"/>
        </w:rPr>
        <w:t>人次，较上年增加1人次。</w:t>
      </w:r>
    </w:p>
    <w:p>
      <w:pPr>
        <w:tabs>
          <w:tab w:val="left" w:pos="2706"/>
        </w:tabs>
        <w:autoSpaceDE w:val="0"/>
        <w:autoSpaceDN w:val="0"/>
        <w:adjustRightInd w:val="0"/>
        <w:spacing w:line="560" w:lineRule="exact"/>
        <w:ind w:firstLine="600"/>
        <w:jc w:val="left"/>
        <w:rPr>
          <w:rFonts w:ascii="??" w:hAnsi="Times New Roman" w:eastAsia="Times New Roman" w:cs="??"/>
          <w:sz w:val="32"/>
          <w:szCs w:val="32"/>
        </w:rPr>
      </w:pPr>
      <w:r>
        <w:rPr>
          <w:rFonts w:ascii="??" w:hAnsi="Times New Roman" w:eastAsia="Times New Roman" w:cs="??"/>
          <w:sz w:val="32"/>
          <w:szCs w:val="32"/>
        </w:rPr>
        <w:t>2.公务接待费：2016年度公务接待费支出</w:t>
      </w:r>
      <w:r>
        <w:rPr>
          <w:rFonts w:ascii="??" w:hAnsi="Times New Roman" w:eastAsia="Times New Roman" w:cs="??"/>
          <w:sz w:val="30"/>
          <w:szCs w:val="30"/>
          <w:lang w:val="zh-CN"/>
        </w:rPr>
        <w:t>1.38</w:t>
      </w:r>
      <w:r>
        <w:rPr>
          <w:rFonts w:ascii="??" w:hAnsi="Times New Roman" w:eastAsia="Times New Roman" w:cs="??"/>
          <w:sz w:val="32"/>
          <w:szCs w:val="32"/>
        </w:rPr>
        <w:t>万元，比年初预算减少2.62万元，下降65.5%，主要原因是本单位按照厉行节约的原则，只对市外来访的客人进行接待，并严格控制接待标准；比上年决算数增加0.09万元，增长7%，增加的主要原因是2016年接等来访人员比2015年人数增加。公务接待费主要用于接待市外及海外来宾等支出。</w:t>
      </w:r>
      <w:r>
        <w:rPr>
          <w:rFonts w:ascii="??" w:hAnsi="Times New Roman" w:eastAsia="Times New Roman" w:cs="??"/>
          <w:kern w:val="0"/>
          <w:sz w:val="32"/>
          <w:szCs w:val="32"/>
        </w:rPr>
        <w:t>其中，本部门国内公务接待</w:t>
      </w:r>
      <w:r>
        <w:rPr>
          <w:rFonts w:ascii="??" w:hAnsi="Times New Roman" w:eastAsia="Times New Roman" w:cs="??"/>
          <w:sz w:val="30"/>
          <w:szCs w:val="30"/>
          <w:lang w:val="zh-CN"/>
        </w:rPr>
        <w:t>13</w:t>
      </w:r>
      <w:r>
        <w:rPr>
          <w:rFonts w:ascii="??" w:hAnsi="Times New Roman" w:eastAsia="Times New Roman" w:cs="??"/>
          <w:kern w:val="0"/>
          <w:sz w:val="32"/>
          <w:szCs w:val="32"/>
        </w:rPr>
        <w:t>批次，</w:t>
      </w:r>
      <w:r>
        <w:rPr>
          <w:rFonts w:ascii="??" w:hAnsi="Times New Roman" w:eastAsia="Times New Roman" w:cs="??"/>
          <w:sz w:val="30"/>
          <w:szCs w:val="30"/>
          <w:lang w:val="zh-CN"/>
        </w:rPr>
        <w:t>134</w:t>
      </w:r>
      <w:r>
        <w:rPr>
          <w:rFonts w:ascii="??" w:hAnsi="Times New Roman" w:eastAsia="Times New Roman" w:cs="??"/>
          <w:kern w:val="0"/>
          <w:sz w:val="32"/>
          <w:szCs w:val="32"/>
        </w:rPr>
        <w:t>人次，支出1.38万元；国（境）外事接待</w:t>
      </w:r>
      <w:r>
        <w:rPr>
          <w:rFonts w:ascii="??" w:hAnsi="Times New Roman" w:eastAsia="Times New Roman" w:cs="??"/>
          <w:sz w:val="30"/>
          <w:szCs w:val="30"/>
          <w:lang w:val="zh-CN"/>
        </w:rPr>
        <w:t>0</w:t>
      </w:r>
      <w:r>
        <w:rPr>
          <w:rFonts w:ascii="??" w:hAnsi="Times New Roman" w:eastAsia="Times New Roman" w:cs="??"/>
          <w:kern w:val="0"/>
          <w:sz w:val="32"/>
          <w:szCs w:val="32"/>
        </w:rPr>
        <w:t>批次，</w:t>
      </w:r>
      <w:r>
        <w:rPr>
          <w:rFonts w:ascii="??" w:hAnsi="Times New Roman" w:eastAsia="Times New Roman" w:cs="??"/>
          <w:sz w:val="30"/>
          <w:szCs w:val="30"/>
          <w:lang w:val="zh-CN"/>
        </w:rPr>
        <w:t>0</w:t>
      </w:r>
      <w:r>
        <w:rPr>
          <w:rFonts w:ascii="??" w:hAnsi="Times New Roman" w:eastAsia="Times New Roman" w:cs="??"/>
          <w:kern w:val="0"/>
          <w:sz w:val="32"/>
          <w:szCs w:val="32"/>
        </w:rPr>
        <w:t>人次，支出</w:t>
      </w:r>
      <w:r>
        <w:rPr>
          <w:rFonts w:ascii="??" w:hAnsi="Times New Roman" w:eastAsia="Times New Roman" w:cs="??"/>
          <w:sz w:val="30"/>
          <w:szCs w:val="30"/>
          <w:lang w:val="zh-CN"/>
        </w:rPr>
        <w:t xml:space="preserve"> 0</w:t>
      </w:r>
      <w:r>
        <w:rPr>
          <w:rFonts w:ascii="??" w:hAnsi="Times New Roman" w:eastAsia="Times New Roman" w:cs="??"/>
          <w:kern w:val="0"/>
          <w:sz w:val="32"/>
          <w:szCs w:val="32"/>
        </w:rPr>
        <w:t>万元。</w:t>
      </w:r>
    </w:p>
    <w:p>
      <w:pPr>
        <w:pStyle w:val="5"/>
        <w:spacing w:line="444" w:lineRule="atLeast"/>
        <w:ind w:firstLine="480"/>
        <w:rPr>
          <w:rFonts w:ascii="??" w:hAnsi="Times New Roman" w:eastAsia="Times New Roman" w:cs="??"/>
          <w:sz w:val="32"/>
          <w:szCs w:val="32"/>
        </w:rPr>
      </w:pPr>
      <w:r>
        <w:rPr>
          <w:rFonts w:ascii="??" w:hAnsi="Times New Roman" w:eastAsia="Times New Roman" w:cs="??"/>
          <w:sz w:val="32"/>
          <w:szCs w:val="32"/>
        </w:rPr>
        <w:t>3.公务用车购置及运行维护费：2016年度公务用车购置及运行维护费支出0万元，比年初预算增加0万元，增长0 %，主要原因是公车改革；比上年决算数增加0万元，增长0 %。具体内容如下：</w:t>
      </w:r>
    </w:p>
    <w:p>
      <w:pPr>
        <w:pStyle w:val="5"/>
        <w:spacing w:line="444" w:lineRule="atLeast"/>
        <w:ind w:firstLine="480"/>
        <w:rPr>
          <w:rFonts w:ascii="??" w:hAnsi="Times New Roman" w:eastAsia="Times New Roman" w:cs="??"/>
          <w:sz w:val="32"/>
          <w:szCs w:val="32"/>
        </w:rPr>
      </w:pPr>
      <w:r>
        <w:rPr>
          <w:rFonts w:ascii="??" w:hAnsi="Times New Roman" w:eastAsia="Times New Roman" w:cs="??"/>
          <w:sz w:val="32"/>
          <w:szCs w:val="32"/>
        </w:rPr>
        <w:t>公务用车购置支出0万元（含购置税等附加费用）。</w:t>
      </w:r>
    </w:p>
    <w:p>
      <w:pPr>
        <w:pStyle w:val="5"/>
        <w:spacing w:line="444" w:lineRule="atLeast"/>
        <w:ind w:firstLine="480"/>
        <w:rPr>
          <w:rFonts w:ascii="??" w:hAnsi="Times New Roman" w:eastAsia="Times New Roman" w:cs="??"/>
          <w:sz w:val="32"/>
          <w:szCs w:val="32"/>
        </w:rPr>
      </w:pPr>
      <w:r>
        <w:rPr>
          <w:rFonts w:ascii="??" w:hAnsi="Times New Roman" w:eastAsia="Times New Roman" w:cs="??"/>
          <w:sz w:val="32"/>
          <w:szCs w:val="32"/>
        </w:rPr>
        <w:t>公务用车运行维护费支出0万元。</w:t>
      </w:r>
    </w:p>
    <w:p>
      <w:pPr>
        <w:autoSpaceDE w:val="0"/>
        <w:autoSpaceDN w:val="0"/>
        <w:adjustRightInd w:val="0"/>
        <w:spacing w:line="560" w:lineRule="exact"/>
        <w:ind w:firstLine="600"/>
        <w:rPr>
          <w:rFonts w:ascii="??" w:hAnsi="Times New Roman" w:eastAsia="Times New Roman" w:cs="??"/>
          <w:kern w:val="0"/>
          <w:sz w:val="32"/>
          <w:szCs w:val="32"/>
        </w:rPr>
      </w:pPr>
      <w:r>
        <w:rPr>
          <w:rFonts w:ascii="??" w:hAnsi="Times New Roman" w:eastAsia="Times New Roman" w:cs="??"/>
          <w:kern w:val="0"/>
          <w:sz w:val="32"/>
          <w:szCs w:val="32"/>
        </w:rPr>
        <w:t>（九）其他重要事项情况说明</w:t>
      </w:r>
    </w:p>
    <w:p>
      <w:pPr>
        <w:autoSpaceDE w:val="0"/>
        <w:autoSpaceDN w:val="0"/>
        <w:adjustRightInd w:val="0"/>
        <w:spacing w:line="560" w:lineRule="exact"/>
        <w:ind w:firstLine="600"/>
        <w:rPr>
          <w:rFonts w:ascii="??" w:hAnsi="Times New Roman" w:eastAsia="Times New Roman" w:cs="??"/>
          <w:kern w:val="0"/>
          <w:sz w:val="32"/>
          <w:szCs w:val="32"/>
        </w:rPr>
      </w:pPr>
      <w:r>
        <w:rPr>
          <w:rFonts w:ascii="??" w:hAnsi="Times New Roman" w:eastAsia="Times New Roman" w:cs="??"/>
          <w:kern w:val="0"/>
          <w:sz w:val="32"/>
          <w:szCs w:val="32"/>
        </w:rPr>
        <w:t>1、机关运行经费支出情况</w:t>
      </w:r>
    </w:p>
    <w:p>
      <w:pPr>
        <w:autoSpaceDE w:val="0"/>
        <w:autoSpaceDN w:val="0"/>
        <w:adjustRightInd w:val="0"/>
        <w:spacing w:line="560" w:lineRule="exact"/>
        <w:ind w:firstLine="600"/>
        <w:rPr>
          <w:rFonts w:ascii="??" w:hAnsi="Times New Roman" w:eastAsia="Times New Roman" w:cs="??"/>
          <w:kern w:val="0"/>
          <w:sz w:val="32"/>
          <w:szCs w:val="32"/>
        </w:rPr>
      </w:pPr>
      <w:r>
        <w:rPr>
          <w:rFonts w:ascii="??" w:hAnsi="Times New Roman" w:eastAsia="Times New Roman" w:cs="??"/>
          <w:kern w:val="0"/>
          <w:sz w:val="32"/>
          <w:szCs w:val="32"/>
        </w:rPr>
        <w:t>2016年度温州市妇女联合会、</w:t>
      </w:r>
      <w:r>
        <w:rPr>
          <w:rFonts w:ascii="??" w:eastAsia="Times New Roman" w:cs="??"/>
          <w:kern w:val="0"/>
          <w:sz w:val="32"/>
          <w:szCs w:val="32"/>
        </w:rPr>
        <w:t>所属温州市家庭暴力投诉中心、温州市妇女儿童活动中心1家行政单位以及所属2家事业单位的机关</w:t>
      </w:r>
      <w:r>
        <w:rPr>
          <w:rFonts w:ascii="??" w:hAnsi="Times New Roman" w:eastAsia="Times New Roman" w:cs="??"/>
          <w:kern w:val="0"/>
          <w:sz w:val="32"/>
          <w:szCs w:val="32"/>
        </w:rPr>
        <w:t>运行经费支出84.38万元，比上年增加5万元，增长6.29%，主要原因是2016年公务员增加1人，事业人员增加2人。</w:t>
      </w:r>
    </w:p>
    <w:p>
      <w:pPr>
        <w:autoSpaceDE w:val="0"/>
        <w:autoSpaceDN w:val="0"/>
        <w:adjustRightInd w:val="0"/>
        <w:spacing w:line="560" w:lineRule="exact"/>
        <w:ind w:firstLine="640" w:firstLineChars="200"/>
        <w:rPr>
          <w:rFonts w:ascii="??" w:hAnsi="Times New Roman" w:eastAsia="Times New Roman" w:cs="??"/>
          <w:kern w:val="0"/>
          <w:sz w:val="32"/>
          <w:szCs w:val="32"/>
        </w:rPr>
      </w:pPr>
      <w:r>
        <w:rPr>
          <w:rFonts w:ascii="??" w:hAnsi="Times New Roman" w:eastAsia="Times New Roman" w:cs="??"/>
          <w:kern w:val="0"/>
          <w:sz w:val="32"/>
          <w:szCs w:val="32"/>
        </w:rPr>
        <w:t>2、政府采购情况</w:t>
      </w:r>
    </w:p>
    <w:p>
      <w:pPr>
        <w:autoSpaceDE w:val="0"/>
        <w:autoSpaceDN w:val="0"/>
        <w:adjustRightInd w:val="0"/>
        <w:spacing w:line="560" w:lineRule="exact"/>
        <w:ind w:firstLine="600"/>
        <w:rPr>
          <w:rFonts w:ascii="??" w:hAnsi="Times New Roman" w:eastAsia="Times New Roman" w:cs="??"/>
          <w:kern w:val="0"/>
          <w:sz w:val="32"/>
          <w:szCs w:val="32"/>
        </w:rPr>
      </w:pPr>
      <w:r>
        <w:rPr>
          <w:rFonts w:ascii="??" w:hAnsi="Times New Roman" w:eastAsia="Times New Roman" w:cs="??"/>
          <w:kern w:val="0"/>
          <w:sz w:val="32"/>
          <w:szCs w:val="32"/>
        </w:rPr>
        <w:t>2016年度</w:t>
      </w:r>
      <w:r>
        <w:rPr>
          <w:rFonts w:ascii="??" w:eastAsia="Times New Roman" w:cs="??"/>
          <w:kern w:val="0"/>
          <w:sz w:val="32"/>
          <w:szCs w:val="32"/>
        </w:rPr>
        <w:t>温州市妇女联合会本级及所属各预算单位</w:t>
      </w:r>
      <w:r>
        <w:rPr>
          <w:rFonts w:ascii="??" w:hAnsi="Times New Roman" w:eastAsia="Times New Roman" w:cs="??"/>
          <w:kern w:val="0"/>
          <w:sz w:val="32"/>
          <w:szCs w:val="32"/>
        </w:rPr>
        <w:t>政府采购预算1,581.63万元，采购支出总额1,581.63万元。其中：货物采购支出1,115.22万元；工程采购支出428.64万元；服务支出37.78万元。</w:t>
      </w:r>
    </w:p>
    <w:p>
      <w:pPr>
        <w:autoSpaceDE w:val="0"/>
        <w:autoSpaceDN w:val="0"/>
        <w:adjustRightInd w:val="0"/>
        <w:spacing w:line="560" w:lineRule="exact"/>
        <w:ind w:firstLine="600"/>
        <w:rPr>
          <w:rFonts w:ascii="??" w:hAnsi="Times New Roman" w:eastAsia="Times New Roman" w:cs="??"/>
          <w:kern w:val="0"/>
          <w:sz w:val="32"/>
          <w:szCs w:val="32"/>
        </w:rPr>
      </w:pPr>
      <w:r>
        <w:rPr>
          <w:rFonts w:ascii="??" w:hAnsi="Times New Roman" w:eastAsia="Times New Roman" w:cs="??"/>
          <w:kern w:val="0"/>
          <w:sz w:val="32"/>
          <w:szCs w:val="32"/>
        </w:rPr>
        <w:t>3、国有资产占用情况</w:t>
      </w:r>
    </w:p>
    <w:p>
      <w:pPr>
        <w:autoSpaceDE w:val="0"/>
        <w:autoSpaceDN w:val="0"/>
        <w:adjustRightInd w:val="0"/>
        <w:spacing w:line="560" w:lineRule="exact"/>
        <w:ind w:firstLine="600"/>
        <w:rPr>
          <w:rFonts w:ascii="??" w:hAnsi="Times New Roman" w:eastAsia="Times New Roman" w:cs="??"/>
          <w:kern w:val="0"/>
          <w:sz w:val="32"/>
          <w:szCs w:val="32"/>
        </w:rPr>
      </w:pPr>
      <w:r>
        <w:rPr>
          <w:rFonts w:ascii="??" w:hAnsi="Times New Roman" w:eastAsia="Times New Roman" w:cs="??"/>
          <w:kern w:val="0"/>
          <w:sz w:val="32"/>
          <w:szCs w:val="32"/>
        </w:rPr>
        <w:t>截</w:t>
      </w:r>
      <w:r>
        <w:rPr>
          <w:rFonts w:hint="eastAsia" w:ascii="??" w:hAnsi="Times New Roman" w:cs="??"/>
          <w:kern w:val="0"/>
          <w:sz w:val="32"/>
          <w:szCs w:val="32"/>
          <w:lang w:eastAsia="zh-CN"/>
        </w:rPr>
        <w:t>至</w:t>
      </w:r>
      <w:bookmarkStart w:id="0" w:name="_GoBack"/>
      <w:bookmarkEnd w:id="0"/>
      <w:r>
        <w:rPr>
          <w:rFonts w:ascii="??" w:hAnsi="Times New Roman" w:eastAsia="Times New Roman" w:cs="??"/>
          <w:kern w:val="0"/>
          <w:sz w:val="32"/>
          <w:szCs w:val="32"/>
        </w:rPr>
        <w:t>2016年底温州市妇女联合会</w:t>
      </w:r>
      <w:r>
        <w:rPr>
          <w:rFonts w:ascii="??" w:eastAsia="Times New Roman" w:cs="??"/>
          <w:kern w:val="0"/>
          <w:sz w:val="32"/>
          <w:szCs w:val="32"/>
        </w:rPr>
        <w:t>本级及所属各预算单位</w:t>
      </w:r>
      <w:r>
        <w:rPr>
          <w:rFonts w:ascii="??" w:hAnsi="Times New Roman" w:eastAsia="Times New Roman" w:cs="??"/>
          <w:kern w:val="0"/>
          <w:sz w:val="32"/>
          <w:szCs w:val="32"/>
        </w:rPr>
        <w:t>资产合计1,095.54万元，比上年增长719.81%，主要原因是温州市妇女儿童活动中心运营办班处于上升阶段，各项资产投入加大。其中：流动资产447.29万元，占总资产的40.83%；固定资产648.25万元，占总资产的59.17%。固定资产含：车辆0辆；单位价值50万元（含）以上通用设备   套（台）; 单位价值100万元（含）以上专用设备   套（台）。</w:t>
      </w:r>
    </w:p>
    <w:p>
      <w:pPr>
        <w:autoSpaceDE w:val="0"/>
        <w:autoSpaceDN w:val="0"/>
        <w:adjustRightInd w:val="0"/>
        <w:spacing w:line="560" w:lineRule="exact"/>
        <w:ind w:firstLine="600"/>
        <w:rPr>
          <w:rFonts w:ascii="??" w:hAnsi="Times New Roman" w:eastAsia="Times New Roman" w:cs="??"/>
          <w:kern w:val="0"/>
          <w:sz w:val="32"/>
          <w:szCs w:val="32"/>
        </w:rPr>
      </w:pPr>
      <w:r>
        <w:rPr>
          <w:rFonts w:ascii="??" w:hAnsi="Times New Roman" w:eastAsia="Times New Roman" w:cs="??"/>
          <w:kern w:val="0"/>
          <w:sz w:val="32"/>
          <w:szCs w:val="32"/>
        </w:rPr>
        <w:t>4、绩效评价结果情况</w:t>
      </w:r>
    </w:p>
    <w:p>
      <w:pPr>
        <w:autoSpaceDE w:val="0"/>
        <w:autoSpaceDN w:val="0"/>
        <w:adjustRightInd w:val="0"/>
        <w:spacing w:line="560" w:lineRule="exact"/>
        <w:ind w:firstLine="600"/>
        <w:rPr>
          <w:rFonts w:ascii="??" w:hAnsi="Times New Roman" w:cs="??"/>
          <w:kern w:val="0"/>
          <w:sz w:val="32"/>
          <w:szCs w:val="32"/>
        </w:rPr>
      </w:pPr>
      <w:r>
        <w:rPr>
          <w:rFonts w:ascii="??" w:hAnsi="Times New Roman" w:eastAsia="Times New Roman" w:cs="??"/>
          <w:kern w:val="0"/>
          <w:sz w:val="32"/>
          <w:szCs w:val="32"/>
        </w:rPr>
        <w:t>2016年度本部门实施支出绩效评价的项目2个，支出金额195.48万元。其中：被评为优秀的项目1个，是：开展妇女儿童发展项目，支出24.68万元。被评为良好的项目1个，是：妇女儿童学员培训成本,支出170.8万元。</w:t>
      </w:r>
    </w:p>
    <w:p>
      <w:pPr>
        <w:autoSpaceDE w:val="0"/>
        <w:autoSpaceDN w:val="0"/>
        <w:adjustRightInd w:val="0"/>
        <w:spacing w:line="560" w:lineRule="exact"/>
        <w:ind w:firstLine="600"/>
        <w:rPr>
          <w:rFonts w:ascii="??" w:hAnsi="Times New Roman" w:eastAsia="Times New Roman" w:cs="??"/>
          <w:kern w:val="0"/>
          <w:sz w:val="32"/>
          <w:szCs w:val="32"/>
        </w:rPr>
      </w:pPr>
      <w:r>
        <w:rPr>
          <w:rFonts w:ascii="??" w:hAnsi="Times New Roman" w:eastAsia="Times New Roman" w:cs="??"/>
          <w:kern w:val="0"/>
          <w:sz w:val="32"/>
          <w:szCs w:val="32"/>
        </w:rPr>
        <w:t>（十）其他需要公开的事项</w:t>
      </w:r>
    </w:p>
    <w:p>
      <w:pPr>
        <w:autoSpaceDE w:val="0"/>
        <w:autoSpaceDN w:val="0"/>
        <w:adjustRightInd w:val="0"/>
        <w:spacing w:line="560" w:lineRule="exact"/>
        <w:ind w:firstLine="600"/>
        <w:rPr>
          <w:rFonts w:ascii="??" w:hAnsi="Times New Roman" w:cs="??"/>
          <w:kern w:val="0"/>
          <w:sz w:val="32"/>
          <w:szCs w:val="32"/>
        </w:rPr>
      </w:pPr>
      <w:r>
        <w:rPr>
          <w:rFonts w:hint="eastAsia" w:ascii="??" w:hAnsi="Times New Roman" w:cs="??"/>
          <w:kern w:val="0"/>
          <w:sz w:val="32"/>
          <w:szCs w:val="32"/>
        </w:rPr>
        <w:t>无</w:t>
      </w:r>
    </w:p>
    <w:p>
      <w:pPr>
        <w:spacing w:line="600" w:lineRule="exact"/>
        <w:ind w:firstLine="640" w:firstLineChars="200"/>
        <w:rPr>
          <w:rFonts w:ascii="黑体" w:eastAsia="黑体"/>
          <w:bCs/>
          <w:sz w:val="32"/>
          <w:szCs w:val="32"/>
        </w:rPr>
      </w:pPr>
      <w:r>
        <w:rPr>
          <w:rFonts w:hint="eastAsia" w:ascii="黑体" w:hAnsi="Times New Roman" w:eastAsia="黑体" w:cs="黑体"/>
          <w:sz w:val="32"/>
          <w:szCs w:val="32"/>
        </w:rPr>
        <w:t>四、名词解释</w:t>
      </w:r>
      <w:r>
        <w:rPr>
          <w:rFonts w:hint="eastAsia" w:ascii="仿宋_GB2312" w:hAnsi="仿宋_GB2312" w:eastAsia="仿宋_GB2312"/>
          <w:b/>
          <w:sz w:val="32"/>
          <w:szCs w:val="32"/>
        </w:rPr>
        <w:t>（所列具体项目由各部门按本部门情况有选择使用）</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w:t>
      </w:r>
      <w:r>
        <w:rPr>
          <w:rFonts w:hint="eastAsia" w:ascii="仿宋_GB2312" w:hAnsi="仿宋_GB2312" w:eastAsia="仿宋_GB2312"/>
          <w:sz w:val="32"/>
        </w:rPr>
        <w:t>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2.</w:t>
      </w:r>
      <w:r>
        <w:rPr>
          <w:rFonts w:hint="eastAsia" w:ascii="仿宋_GB2312" w:hAnsi="仿宋_GB2312" w:eastAsia="仿宋_GB2312"/>
          <w:sz w:val="32"/>
        </w:rPr>
        <w:t>事业收入：事业单位开展专业业务活动及辅助活动所取得的收入（含事业单位收到的财政专户实际核拨的资金）。</w:t>
      </w:r>
    </w:p>
    <w:p>
      <w:pPr>
        <w:spacing w:line="560" w:lineRule="exact"/>
        <w:ind w:firstLine="640" w:firstLineChars="200"/>
        <w:rPr>
          <w:rFonts w:ascii="仿宋_GB2312" w:hAnsi="仿宋_GB2312" w:eastAsia="仿宋_GB2312"/>
          <w:sz w:val="32"/>
        </w:rPr>
      </w:pPr>
      <w:r>
        <w:rPr>
          <w:rFonts w:ascii="仿宋_GB2312" w:hAnsi="仿宋_GB2312" w:eastAsia="仿宋_GB2312"/>
          <w:sz w:val="32"/>
        </w:rPr>
        <w:t>3.</w:t>
      </w:r>
      <w:r>
        <w:rPr>
          <w:rFonts w:hint="eastAsia" w:ascii="仿宋_GB2312" w:hAnsi="仿宋_GB2312" w:eastAsia="仿宋_GB2312"/>
          <w:sz w:val="32"/>
        </w:rPr>
        <w:t>经营收入：事业单位在专业业务活动及辅助活动之外开展非独立核算经营活动取得的收入。</w:t>
      </w:r>
    </w:p>
    <w:p>
      <w:pPr>
        <w:autoSpaceDE w:val="0"/>
        <w:autoSpaceDN w:val="0"/>
        <w:adjustRightInd w:val="0"/>
        <w:spacing w:line="560" w:lineRule="exact"/>
        <w:ind w:firstLine="640" w:firstLineChars="200"/>
        <w:jc w:val="left"/>
        <w:rPr>
          <w:rFonts w:ascii="仿宋_GB2312" w:hAnsi="仿宋_GB2312" w:eastAsia="仿宋_GB2312"/>
          <w:sz w:val="32"/>
        </w:rPr>
      </w:pPr>
      <w:r>
        <w:rPr>
          <w:rFonts w:ascii="仿宋_GB2312" w:hAnsi="仿宋_GB2312" w:eastAsia="仿宋_GB2312"/>
          <w:sz w:val="32"/>
        </w:rPr>
        <w:t>4.</w:t>
      </w:r>
      <w:r>
        <w:rPr>
          <w:rFonts w:hint="eastAsia" w:ascii="仿宋_GB2312" w:hAnsi="仿宋_GB2312" w:eastAsia="仿宋_GB2312"/>
          <w:sz w:val="32"/>
        </w:rPr>
        <w:t>其他收入：预算单位在“财政拨款”、“事业收入”、“经营收入”、“附属单位上缴收入”等之外取得的各项收入。</w:t>
      </w:r>
    </w:p>
    <w:p>
      <w:pPr>
        <w:spacing w:line="560" w:lineRule="exact"/>
        <w:ind w:firstLine="640" w:firstLineChars="200"/>
        <w:rPr>
          <w:rFonts w:ascii="仿宋_GB2312" w:hAnsi="仿宋_GB2312" w:eastAsia="仿宋_GB2312"/>
          <w:sz w:val="32"/>
        </w:rPr>
      </w:pPr>
      <w:r>
        <w:rPr>
          <w:rFonts w:ascii="仿宋_GB2312" w:hAnsi="仿宋_GB2312" w:eastAsia="仿宋_GB2312"/>
          <w:sz w:val="32"/>
        </w:rPr>
        <w:t>5.</w:t>
      </w:r>
      <w:r>
        <w:rPr>
          <w:rFonts w:hint="eastAsia" w:ascii="仿宋_GB2312" w:hAnsi="仿宋_GB2312" w:eastAsia="仿宋_GB2312"/>
          <w:sz w:val="32"/>
        </w:rPr>
        <w:t>用事业基金弥补收支差额：事业单位在当年收入不足以安排当年支出情况下，使用以前年度积累的事业基金弥补本年收支缺口的资金。</w:t>
      </w:r>
    </w:p>
    <w:p>
      <w:pPr>
        <w:autoSpaceDE w:val="0"/>
        <w:autoSpaceDN w:val="0"/>
        <w:adjustRightInd w:val="0"/>
        <w:spacing w:line="560" w:lineRule="exact"/>
        <w:ind w:firstLine="640" w:firstLineChars="200"/>
        <w:jc w:val="left"/>
        <w:rPr>
          <w:rFonts w:ascii="仿宋_GB2312" w:hAnsi="仿宋_GB2312" w:eastAsia="仿宋_GB2312"/>
          <w:sz w:val="32"/>
        </w:rPr>
      </w:pPr>
      <w:r>
        <w:rPr>
          <w:rFonts w:ascii="仿宋_GB2312" w:hAnsi="仿宋_GB2312" w:eastAsia="仿宋_GB2312"/>
          <w:sz w:val="32"/>
        </w:rPr>
        <w:t>6.</w:t>
      </w:r>
      <w:r>
        <w:rPr>
          <w:rFonts w:hint="eastAsia" w:ascii="仿宋_GB2312" w:hAnsi="仿宋_GB2312" w:eastAsia="仿宋_GB2312"/>
          <w:sz w:val="32"/>
        </w:rPr>
        <w:t>年初结转和结余：预算单位以前年度尚未完成、结转到本年仍按原规定用途继续使用的资金，或项目已完成等产生的结余资金。</w:t>
      </w:r>
    </w:p>
    <w:p>
      <w:pPr>
        <w:spacing w:line="560" w:lineRule="exact"/>
        <w:ind w:firstLine="640" w:firstLineChars="200"/>
        <w:rPr>
          <w:rFonts w:ascii="仿宋_GB2312" w:hAnsi="仿宋_GB2312" w:eastAsia="仿宋_GB2312"/>
          <w:sz w:val="32"/>
        </w:rPr>
      </w:pPr>
      <w:r>
        <w:rPr>
          <w:rFonts w:ascii="仿宋_GB2312" w:hAnsi="仿宋_GB2312" w:eastAsia="仿宋_GB2312"/>
          <w:sz w:val="32"/>
        </w:rPr>
        <w:t>7.</w:t>
      </w:r>
      <w:r>
        <w:rPr>
          <w:rFonts w:hint="eastAsia" w:ascii="仿宋_GB2312" w:hAnsi="仿宋_GB2312" w:eastAsia="仿宋_GB2312"/>
          <w:sz w:val="32"/>
        </w:rPr>
        <w:t>结余分配：事业单位按照国家规定应交所得税和提取事业基金、专用基金的分配情况和结果。</w:t>
      </w:r>
    </w:p>
    <w:p>
      <w:pPr>
        <w:autoSpaceDE w:val="0"/>
        <w:autoSpaceDN w:val="0"/>
        <w:adjustRightInd w:val="0"/>
        <w:spacing w:line="560" w:lineRule="exact"/>
        <w:ind w:firstLine="640" w:firstLineChars="200"/>
        <w:jc w:val="left"/>
        <w:rPr>
          <w:rFonts w:ascii="仿宋_GB2312" w:hAnsi="仿宋_GB2312" w:eastAsia="仿宋_GB2312"/>
          <w:sz w:val="32"/>
        </w:rPr>
      </w:pPr>
      <w:r>
        <w:rPr>
          <w:rFonts w:ascii="仿宋_GB2312" w:hAnsi="仿宋_GB2312" w:eastAsia="仿宋_GB2312"/>
          <w:sz w:val="32"/>
        </w:rPr>
        <w:t>8.</w:t>
      </w:r>
      <w:r>
        <w:rPr>
          <w:rFonts w:hint="eastAsia" w:ascii="仿宋_GB2312" w:hAnsi="仿宋_GB2312" w:eastAsia="仿宋_GB2312"/>
          <w:sz w:val="32"/>
        </w:rPr>
        <w:t>年末结转和结余：预算单位本年底前的收入预算未执行完毕，需结转下年度按照原用途继续使用的资金，或项目已完成等产生的结余资金。</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 xml:space="preserve"> 9.</w:t>
      </w:r>
      <w:r>
        <w:rPr>
          <w:rFonts w:hint="eastAsia" w:ascii="仿宋_GB2312" w:hAnsi="仿宋_GB2312" w:eastAsia="仿宋_GB2312"/>
          <w:sz w:val="32"/>
        </w:rPr>
        <w:t>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10.</w:t>
      </w:r>
      <w:r>
        <w:rPr>
          <w:rFonts w:hint="eastAsia" w:ascii="仿宋_GB2312" w:hAnsi="仿宋_GB2312" w:eastAsia="仿宋_GB2312"/>
          <w:sz w:val="32"/>
        </w:rPr>
        <w:t>项目支出：是预算单位为完成其特定的行政工作任务或事业发展目标所发生的支出。</w:t>
      </w:r>
    </w:p>
    <w:p>
      <w:pPr>
        <w:spacing w:line="600" w:lineRule="exact"/>
        <w:ind w:firstLine="640" w:firstLineChars="200"/>
        <w:rPr>
          <w:rFonts w:ascii="仿宋_GB2312" w:hAnsi="仿宋_GB2312" w:eastAsia="仿宋_GB2312"/>
          <w:sz w:val="32"/>
        </w:rPr>
      </w:pPr>
      <w:r>
        <w:rPr>
          <w:rFonts w:ascii="仿宋_GB2312" w:hAnsi="仿宋_GB2312" w:eastAsia="仿宋_GB2312"/>
          <w:sz w:val="32"/>
        </w:rPr>
        <w:t>11.</w:t>
      </w:r>
      <w:r>
        <w:rPr>
          <w:rFonts w:hint="eastAsia" w:ascii="仿宋_GB2312" w:hAnsi="仿宋_GB2312" w:eastAsia="仿宋_GB2312"/>
          <w:sz w:val="32"/>
        </w:rPr>
        <w:t>事业单位经营支出：指事业单位在专业业务活动及其辅助活动之外开展非独立核算经营活动发生的支出。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rPr>
        <w:t>12.</w:t>
      </w:r>
      <w:r>
        <w:rPr>
          <w:rFonts w:hint="eastAsia" w:ascii="仿宋_GB2312" w:hAnsi="仿宋_GB2312" w:eastAsia="仿宋_GB2312"/>
          <w:sz w:val="32"/>
        </w:rPr>
        <w:t>因公出国（境）费用：反映单位公务出国（境）的国际旅费、国外城市间交通费、住宿费、伙食费、培训费、公杂费</w:t>
      </w:r>
      <w:r>
        <w:rPr>
          <w:rFonts w:hint="eastAsia" w:ascii="仿宋_GB2312" w:hAnsi="仿宋_GB2312" w:eastAsia="仿宋_GB2312"/>
          <w:sz w:val="32"/>
          <w:szCs w:val="32"/>
        </w:rPr>
        <w:t>等支出。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13.</w:t>
      </w:r>
      <w:r>
        <w:rPr>
          <w:rFonts w:hint="eastAsia" w:ascii="仿宋_GB2312" w:hAnsi="仿宋_GB2312" w:eastAsia="仿宋_GB2312"/>
          <w:sz w:val="32"/>
          <w:szCs w:val="32"/>
        </w:rPr>
        <w:t>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14.</w:t>
      </w:r>
      <w:r>
        <w:rPr>
          <w:rFonts w:hint="eastAsia" w:ascii="仿宋_GB2312" w:hAnsi="仿宋_GB2312" w:eastAsia="仿宋_GB2312"/>
          <w:sz w:val="32"/>
          <w:szCs w:val="32"/>
        </w:rPr>
        <w:t>公务用车购置：反映公务用车车辆购置支出（含车辆购置税）。</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15.</w:t>
      </w:r>
      <w:r>
        <w:rPr>
          <w:rFonts w:hint="eastAsia" w:ascii="仿宋_GB2312" w:hAnsi="仿宋_GB2312" w:eastAsia="仿宋_GB2312"/>
          <w:sz w:val="32"/>
          <w:szCs w:val="32"/>
        </w:rPr>
        <w:t>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16.</w:t>
      </w:r>
      <w:r>
        <w:rPr>
          <w:rFonts w:hint="eastAsia" w:ascii="仿宋_GB2312" w:hAnsi="仿宋_GB2312" w:eastAsia="仿宋_GB2312"/>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17.</w:t>
      </w:r>
      <w:r>
        <w:rPr>
          <w:rFonts w:hint="eastAsia" w:ascii="仿宋_GB2312" w:hAnsi="仿宋_GB2312" w:eastAsia="仿宋_GB2312"/>
          <w:sz w:val="32"/>
          <w:szCs w:val="32"/>
        </w:rPr>
        <w:t>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18.</w:t>
      </w:r>
      <w:r>
        <w:rPr>
          <w:rFonts w:hint="eastAsia" w:ascii="仿宋_GB2312" w:hAnsi="仿宋_GB2312" w:eastAsia="仿宋_GB2312"/>
          <w:sz w:val="32"/>
          <w:szCs w:val="32"/>
        </w:rPr>
        <w:t>固定资产：是指使用期限超过</w:t>
      </w:r>
      <w:r>
        <w:rPr>
          <w:rFonts w:ascii="仿宋_GB2312" w:hAnsi="仿宋_GB2312" w:eastAsia="仿宋_GB2312"/>
          <w:sz w:val="32"/>
          <w:szCs w:val="32"/>
        </w:rPr>
        <w:t>1</w:t>
      </w:r>
      <w:r>
        <w:rPr>
          <w:rFonts w:hint="eastAsia" w:ascii="仿宋_GB2312" w:hAnsi="仿宋_GB2312" w:eastAsia="仿宋_GB2312"/>
          <w:sz w:val="32"/>
          <w:szCs w:val="32"/>
        </w:rPr>
        <w:t>年（不含</w:t>
      </w:r>
      <w:r>
        <w:rPr>
          <w:rFonts w:ascii="仿宋_GB2312" w:hAnsi="仿宋_GB2312" w:eastAsia="仿宋_GB2312"/>
          <w:sz w:val="32"/>
          <w:szCs w:val="32"/>
        </w:rPr>
        <w:t>1</w:t>
      </w:r>
      <w:r>
        <w:rPr>
          <w:rFonts w:hint="eastAsia" w:ascii="仿宋_GB2312" w:hAnsi="仿宋_GB2312" w:eastAsia="仿宋_GB2312"/>
          <w:sz w:val="32"/>
          <w:szCs w:val="32"/>
        </w:rPr>
        <w:t>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19.</w:t>
      </w:r>
      <w:r>
        <w:rPr>
          <w:rFonts w:hint="eastAsia" w:ascii="仿宋_GB2312" w:hAnsi="仿宋_GB2312" w:eastAsia="仿宋_GB2312"/>
          <w:sz w:val="32"/>
          <w:szCs w:val="32"/>
        </w:rPr>
        <w:t>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20.</w:t>
      </w:r>
      <w:r>
        <w:rPr>
          <w:rFonts w:hint="eastAsia" w:ascii="仿宋_GB2312" w:hAnsi="仿宋_GB2312" w:eastAsia="仿宋_GB2312"/>
          <w:sz w:val="32"/>
          <w:szCs w:val="32"/>
        </w:rPr>
        <w:t>无形资产：是指不具有实物形态而能为单位提供某种权利的非货币性资产。包括计算机软件、土地使用权、著作权、专利权、非专利技术等。</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21</w:t>
      </w:r>
      <w:r>
        <w:rPr>
          <w:rFonts w:ascii="仿宋_GB2312" w:hAnsi="??" w:cs="宋体"/>
          <w:sz w:val="32"/>
          <w:szCs w:val="32"/>
        </w:rPr>
        <w:t>.</w:t>
      </w:r>
      <w:r>
        <w:rPr>
          <w:rFonts w:hint="eastAsia" w:ascii="仿宋_GB2312" w:hAnsi="??" w:cs="宋体"/>
          <w:sz w:val="32"/>
          <w:szCs w:val="32"/>
        </w:rPr>
        <w:t>一般公共服务（类）群众团体事务（款）行政运行</w:t>
      </w:r>
      <w:r>
        <w:rPr>
          <w:rFonts w:ascii="仿宋_GB2312" w:hAnsi="??" w:cs="宋体"/>
          <w:sz w:val="32"/>
          <w:szCs w:val="32"/>
        </w:rPr>
        <w:t>(</w:t>
      </w:r>
      <w:r>
        <w:rPr>
          <w:rFonts w:hint="eastAsia" w:ascii="仿宋_GB2312" w:hAnsi="??" w:cs="宋体"/>
          <w:sz w:val="32"/>
          <w:szCs w:val="32"/>
        </w:rPr>
        <w:t>项</w:t>
      </w:r>
      <w:r>
        <w:rPr>
          <w:rFonts w:ascii="仿宋_GB2312" w:hAnsi="??" w:cs="宋体"/>
          <w:sz w:val="32"/>
          <w:szCs w:val="32"/>
        </w:rPr>
        <w:t>)</w:t>
      </w:r>
      <w:r>
        <w:rPr>
          <w:rFonts w:hint="eastAsia" w:ascii="仿宋_GB2312" w:hAnsi="??" w:cs="宋体"/>
          <w:sz w:val="32"/>
          <w:szCs w:val="32"/>
        </w:rPr>
        <w:t>：反映行政单位的基本支出。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22</w:t>
      </w:r>
      <w:r>
        <w:rPr>
          <w:rFonts w:ascii="仿宋_GB2312" w:hAnsi="??" w:cs="宋体"/>
          <w:sz w:val="32"/>
          <w:szCs w:val="32"/>
        </w:rPr>
        <w:t xml:space="preserve">. </w:t>
      </w:r>
      <w:r>
        <w:rPr>
          <w:rFonts w:hint="eastAsia" w:ascii="仿宋_GB2312" w:hAnsi="??" w:cs="宋体"/>
          <w:sz w:val="32"/>
          <w:szCs w:val="32"/>
        </w:rPr>
        <w:t>一般公共服务（类）群众团体事务（款）一般行政管理事务</w:t>
      </w:r>
      <w:r>
        <w:rPr>
          <w:rFonts w:ascii="仿宋_GB2312" w:hAnsi="??" w:cs="宋体"/>
          <w:sz w:val="32"/>
          <w:szCs w:val="32"/>
        </w:rPr>
        <w:t>(</w:t>
      </w:r>
      <w:r>
        <w:rPr>
          <w:rFonts w:hint="eastAsia" w:ascii="仿宋_GB2312" w:hAnsi="??" w:cs="宋体"/>
          <w:sz w:val="32"/>
          <w:szCs w:val="32"/>
        </w:rPr>
        <w:t>项</w:t>
      </w:r>
      <w:r>
        <w:rPr>
          <w:rFonts w:ascii="仿宋_GB2312" w:hAnsi="??" w:cs="宋体"/>
          <w:sz w:val="32"/>
          <w:szCs w:val="32"/>
        </w:rPr>
        <w:t>)</w:t>
      </w:r>
      <w:r>
        <w:rPr>
          <w:rFonts w:hint="eastAsia" w:ascii="仿宋_GB2312" w:hAnsi="??" w:cs="宋体"/>
          <w:sz w:val="32"/>
          <w:szCs w:val="32"/>
        </w:rPr>
        <w:t>：反映行政单位未单独设置项级科目的其他项目支出。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23</w:t>
      </w:r>
      <w:r>
        <w:rPr>
          <w:rFonts w:ascii="仿宋_GB2312" w:hAnsi="??" w:cs="宋体"/>
          <w:sz w:val="32"/>
          <w:szCs w:val="32"/>
        </w:rPr>
        <w:t xml:space="preserve">. </w:t>
      </w:r>
      <w:r>
        <w:rPr>
          <w:rFonts w:hint="eastAsia" w:ascii="仿宋_GB2312" w:hAnsi="??" w:cs="宋体"/>
          <w:sz w:val="32"/>
          <w:szCs w:val="32"/>
        </w:rPr>
        <w:t>一般公共服务（类）群众团体事务（款）事业运行</w:t>
      </w:r>
      <w:r>
        <w:rPr>
          <w:rFonts w:ascii="仿宋_GB2312" w:hAnsi="??" w:cs="宋体"/>
          <w:sz w:val="32"/>
          <w:szCs w:val="32"/>
        </w:rPr>
        <w:t>(</w:t>
      </w:r>
      <w:r>
        <w:rPr>
          <w:rFonts w:hint="eastAsia" w:ascii="仿宋_GB2312" w:hAnsi="??" w:cs="宋体"/>
          <w:sz w:val="32"/>
          <w:szCs w:val="32"/>
        </w:rPr>
        <w:t>项</w:t>
      </w:r>
      <w:r>
        <w:rPr>
          <w:rFonts w:ascii="仿宋_GB2312" w:hAnsi="??" w:cs="宋体"/>
          <w:sz w:val="32"/>
          <w:szCs w:val="32"/>
        </w:rPr>
        <w:t>)</w:t>
      </w:r>
      <w:r>
        <w:rPr>
          <w:rFonts w:hint="eastAsia" w:ascii="仿宋_GB2312" w:hAnsi="??" w:cs="宋体"/>
          <w:sz w:val="32"/>
          <w:szCs w:val="32"/>
        </w:rPr>
        <w:t>：反映事业单位的基本支出，不包括行政单位后勤服务中心，医务室等附属事业单位。</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24</w:t>
      </w:r>
      <w:r>
        <w:rPr>
          <w:rFonts w:ascii="仿宋_GB2312" w:hAnsi="??" w:cs="宋体"/>
          <w:sz w:val="32"/>
          <w:szCs w:val="32"/>
        </w:rPr>
        <w:t xml:space="preserve">. </w:t>
      </w:r>
      <w:r>
        <w:rPr>
          <w:rFonts w:hint="eastAsia" w:ascii="仿宋_GB2312" w:hAnsi="??" w:cs="宋体"/>
          <w:sz w:val="32"/>
          <w:szCs w:val="32"/>
        </w:rPr>
        <w:t>一般公共服务（类）群众团体事务（款）其他群众团体事务支出</w:t>
      </w:r>
      <w:r>
        <w:rPr>
          <w:rFonts w:ascii="仿宋_GB2312" w:hAnsi="??" w:cs="宋体"/>
          <w:sz w:val="32"/>
          <w:szCs w:val="32"/>
        </w:rPr>
        <w:t>(</w:t>
      </w:r>
      <w:r>
        <w:rPr>
          <w:rFonts w:hint="eastAsia" w:ascii="仿宋_GB2312" w:hAnsi="??" w:cs="宋体"/>
          <w:sz w:val="32"/>
          <w:szCs w:val="32"/>
        </w:rPr>
        <w:t>项</w:t>
      </w:r>
      <w:r>
        <w:rPr>
          <w:rFonts w:ascii="仿宋_GB2312" w:hAnsi="??" w:cs="宋体"/>
          <w:sz w:val="32"/>
          <w:szCs w:val="32"/>
        </w:rPr>
        <w:t>)</w:t>
      </w:r>
      <w:r>
        <w:rPr>
          <w:rFonts w:hint="eastAsia" w:ascii="仿宋_GB2312" w:hAnsi="??" w:cs="宋体"/>
          <w:sz w:val="32"/>
          <w:szCs w:val="32"/>
        </w:rPr>
        <w:t>：反映上述项目以外其他用于群众团体事务方面的支出。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25</w:t>
      </w:r>
      <w:r>
        <w:rPr>
          <w:rFonts w:ascii="仿宋_GB2312" w:hAnsi="??" w:cs="宋体"/>
          <w:sz w:val="32"/>
          <w:szCs w:val="32"/>
        </w:rPr>
        <w:t xml:space="preserve">. </w:t>
      </w:r>
      <w:r>
        <w:rPr>
          <w:rFonts w:hint="eastAsia" w:ascii="仿宋_GB2312" w:hAnsi="??" w:cs="宋体"/>
          <w:sz w:val="32"/>
          <w:szCs w:val="32"/>
        </w:rPr>
        <w:t>社会保障和就业支出（类）行政事业单位离退休（款）机关事业单位基本养老保险缴费支出</w:t>
      </w:r>
      <w:r>
        <w:rPr>
          <w:rFonts w:ascii="仿宋_GB2312" w:hAnsi="??" w:cs="宋体"/>
          <w:sz w:val="32"/>
          <w:szCs w:val="32"/>
        </w:rPr>
        <w:t>(</w:t>
      </w:r>
      <w:r>
        <w:rPr>
          <w:rFonts w:hint="eastAsia" w:ascii="仿宋_GB2312" w:hAnsi="??" w:cs="宋体"/>
          <w:sz w:val="32"/>
          <w:szCs w:val="32"/>
        </w:rPr>
        <w:t>项</w:t>
      </w:r>
      <w:r>
        <w:rPr>
          <w:rFonts w:ascii="仿宋_GB2312" w:hAnsi="??" w:cs="宋体"/>
          <w:sz w:val="32"/>
          <w:szCs w:val="32"/>
        </w:rPr>
        <w:t>)</w:t>
      </w:r>
      <w:r>
        <w:rPr>
          <w:rFonts w:hint="eastAsia" w:ascii="仿宋_GB2312" w:hAnsi="??" w:cs="宋体"/>
          <w:sz w:val="32"/>
          <w:szCs w:val="32"/>
        </w:rPr>
        <w:t>：反映机关事业单位实施养老保险制度由单位缴纳的基本养老保险费支出。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26</w:t>
      </w:r>
      <w:r>
        <w:rPr>
          <w:rFonts w:ascii="仿宋_GB2312" w:hAnsi="??" w:cs="宋体"/>
          <w:sz w:val="32"/>
          <w:szCs w:val="32"/>
        </w:rPr>
        <w:t xml:space="preserve">. </w:t>
      </w:r>
      <w:r>
        <w:rPr>
          <w:rFonts w:hint="eastAsia" w:ascii="仿宋_GB2312" w:hAnsi="??" w:cs="宋体"/>
          <w:sz w:val="32"/>
          <w:szCs w:val="32"/>
        </w:rPr>
        <w:t>社会保障和就业支出（类）行政事业单位离退休（款）机关事业单位职业年金缴费支出</w:t>
      </w:r>
      <w:r>
        <w:rPr>
          <w:rFonts w:ascii="仿宋_GB2312" w:hAnsi="??" w:cs="宋体"/>
          <w:sz w:val="32"/>
          <w:szCs w:val="32"/>
        </w:rPr>
        <w:t>(</w:t>
      </w:r>
      <w:r>
        <w:rPr>
          <w:rFonts w:hint="eastAsia" w:ascii="仿宋_GB2312" w:hAnsi="??" w:cs="宋体"/>
          <w:sz w:val="32"/>
          <w:szCs w:val="32"/>
        </w:rPr>
        <w:t>项</w:t>
      </w:r>
      <w:r>
        <w:rPr>
          <w:rFonts w:ascii="仿宋_GB2312" w:hAnsi="??" w:cs="宋体"/>
          <w:sz w:val="32"/>
          <w:szCs w:val="32"/>
        </w:rPr>
        <w:t>)</w:t>
      </w:r>
      <w:r>
        <w:rPr>
          <w:rFonts w:hint="eastAsia" w:ascii="仿宋_GB2312" w:hAnsi="??" w:cs="宋体"/>
          <w:sz w:val="32"/>
          <w:szCs w:val="32"/>
        </w:rPr>
        <w:t>：反映机关事业单位实施养老保险制度由单位实际缴纳的职业年金支出。</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27</w:t>
      </w:r>
      <w:r>
        <w:rPr>
          <w:rFonts w:ascii="仿宋_GB2312" w:hAnsi="??" w:cs="宋体"/>
          <w:sz w:val="32"/>
          <w:szCs w:val="32"/>
        </w:rPr>
        <w:t xml:space="preserve">. </w:t>
      </w:r>
      <w:r>
        <w:rPr>
          <w:rFonts w:hint="eastAsia" w:ascii="仿宋_GB2312" w:hAnsi="??" w:cs="宋体"/>
          <w:sz w:val="32"/>
          <w:szCs w:val="32"/>
        </w:rPr>
        <w:t>医疗卫生与计划生育支出（类）行政事业单位离退休（款）行政单位医疗</w:t>
      </w:r>
      <w:r>
        <w:rPr>
          <w:rFonts w:ascii="仿宋_GB2312" w:hAnsi="??" w:cs="宋体"/>
          <w:sz w:val="32"/>
          <w:szCs w:val="32"/>
        </w:rPr>
        <w:t>(</w:t>
      </w:r>
      <w:r>
        <w:rPr>
          <w:rFonts w:hint="eastAsia" w:ascii="仿宋_GB2312" w:hAnsi="??" w:cs="宋体"/>
          <w:sz w:val="32"/>
          <w:szCs w:val="32"/>
        </w:rPr>
        <w:t>项</w:t>
      </w:r>
      <w:r>
        <w:rPr>
          <w:rFonts w:ascii="仿宋_GB2312" w:hAnsi="??" w:cs="宋体"/>
          <w:sz w:val="32"/>
          <w:szCs w:val="32"/>
        </w:rPr>
        <w:t>)</w:t>
      </w:r>
      <w:r>
        <w:rPr>
          <w:rFonts w:hint="eastAsia" w:ascii="仿宋_GB2312" w:hAnsi="??" w:cs="宋体"/>
          <w:sz w:val="32"/>
          <w:szCs w:val="32"/>
        </w:rPr>
        <w:t>：反映财政部门集中安排的行政单位基本医疗保险缴经费，未参加医疗保险的行政单位的公费医疗经费，按国家规定享受离休人员、红军老战士待遇人员的医疗经费。</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28</w:t>
      </w:r>
      <w:r>
        <w:rPr>
          <w:rFonts w:ascii="仿宋_GB2312" w:hAnsi="??" w:cs="宋体"/>
          <w:sz w:val="32"/>
          <w:szCs w:val="32"/>
        </w:rPr>
        <w:t xml:space="preserve">. </w:t>
      </w:r>
      <w:r>
        <w:rPr>
          <w:rFonts w:hint="eastAsia" w:ascii="仿宋_GB2312" w:hAnsi="??" w:cs="宋体"/>
          <w:sz w:val="32"/>
          <w:szCs w:val="32"/>
        </w:rPr>
        <w:t>医疗卫生与计划生育支出（类）行政事业单位离退休（款）事业单位医疗</w:t>
      </w:r>
      <w:r>
        <w:rPr>
          <w:rFonts w:ascii="仿宋_GB2312" w:hAnsi="??" w:cs="宋体"/>
          <w:sz w:val="32"/>
          <w:szCs w:val="32"/>
        </w:rPr>
        <w:t>(</w:t>
      </w:r>
      <w:r>
        <w:rPr>
          <w:rFonts w:hint="eastAsia" w:ascii="仿宋_GB2312" w:hAnsi="??" w:cs="宋体"/>
          <w:sz w:val="32"/>
          <w:szCs w:val="32"/>
        </w:rPr>
        <w:t>项</w:t>
      </w:r>
      <w:r>
        <w:rPr>
          <w:rFonts w:ascii="仿宋_GB2312" w:hAnsi="??" w:cs="宋体"/>
          <w:sz w:val="32"/>
          <w:szCs w:val="32"/>
        </w:rPr>
        <w:t>)</w:t>
      </w:r>
      <w:r>
        <w:rPr>
          <w:rFonts w:hint="eastAsia" w:ascii="仿宋_GB2312" w:hAnsi="??" w:cs="宋体"/>
          <w:sz w:val="32"/>
          <w:szCs w:val="32"/>
        </w:rPr>
        <w:t>：反映财政部门集中安排的事业单位基本医疗保险缴经费，未参加医疗保险的行政单位的公费医疗经费，按国家规定享受离休人员待遇的医疗经费。</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29</w:t>
      </w:r>
      <w:r>
        <w:rPr>
          <w:rFonts w:ascii="仿宋_GB2312" w:hAnsi="??" w:cs="宋体"/>
          <w:sz w:val="32"/>
          <w:szCs w:val="32"/>
        </w:rPr>
        <w:t xml:space="preserve">. </w:t>
      </w:r>
      <w:r>
        <w:rPr>
          <w:rFonts w:hint="eastAsia" w:ascii="仿宋_GB2312" w:hAnsi="??" w:cs="宋体"/>
          <w:sz w:val="32"/>
          <w:szCs w:val="32"/>
        </w:rPr>
        <w:t>住房保障支出（类）住房改革支出（款）住房公积金</w:t>
      </w:r>
      <w:r>
        <w:rPr>
          <w:rFonts w:ascii="仿宋_GB2312" w:hAnsi="??" w:cs="宋体"/>
          <w:sz w:val="32"/>
          <w:szCs w:val="32"/>
        </w:rPr>
        <w:t>(</w:t>
      </w:r>
      <w:r>
        <w:rPr>
          <w:rFonts w:hint="eastAsia" w:ascii="仿宋_GB2312" w:hAnsi="??" w:cs="宋体"/>
          <w:sz w:val="32"/>
          <w:szCs w:val="32"/>
        </w:rPr>
        <w:t>项</w:t>
      </w:r>
      <w:r>
        <w:rPr>
          <w:rFonts w:ascii="仿宋_GB2312" w:hAnsi="??" w:cs="宋体"/>
          <w:sz w:val="32"/>
          <w:szCs w:val="32"/>
        </w:rPr>
        <w:t>)</w:t>
      </w:r>
      <w:r>
        <w:rPr>
          <w:rFonts w:hint="eastAsia" w:ascii="仿宋_GB2312" w:hAnsi="??" w:cs="宋体"/>
          <w:sz w:val="32"/>
          <w:szCs w:val="32"/>
        </w:rPr>
        <w:t>：反映行政事业单位按人力资源和社会保障部、财政部规定的基本工资和津贴补贴以及规定比例为职工缴纳的住房公积金。</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30</w:t>
      </w:r>
      <w:r>
        <w:rPr>
          <w:rFonts w:ascii="仿宋_GB2312" w:hAnsi="??" w:cs="宋体"/>
          <w:sz w:val="32"/>
          <w:szCs w:val="32"/>
        </w:rPr>
        <w:t xml:space="preserve">. </w:t>
      </w:r>
      <w:r>
        <w:rPr>
          <w:rFonts w:hint="eastAsia" w:ascii="仿宋_GB2312" w:hAnsi="??" w:cs="宋体"/>
          <w:sz w:val="32"/>
          <w:szCs w:val="32"/>
        </w:rPr>
        <w:t>住房保障支出（类）住房改革支出（款）购房补贴</w:t>
      </w:r>
      <w:r>
        <w:rPr>
          <w:rFonts w:ascii="仿宋_GB2312" w:hAnsi="??" w:cs="宋体"/>
          <w:sz w:val="32"/>
          <w:szCs w:val="32"/>
        </w:rPr>
        <w:t>(</w:t>
      </w:r>
      <w:r>
        <w:rPr>
          <w:rFonts w:hint="eastAsia" w:ascii="仿宋_GB2312" w:hAnsi="??" w:cs="宋体"/>
          <w:sz w:val="32"/>
          <w:szCs w:val="32"/>
        </w:rPr>
        <w:t>项</w:t>
      </w:r>
      <w:r>
        <w:rPr>
          <w:rFonts w:ascii="仿宋_GB2312" w:hAnsi="??" w:cs="宋体"/>
          <w:sz w:val="32"/>
          <w:szCs w:val="32"/>
        </w:rPr>
        <w:t>)</w:t>
      </w:r>
      <w:r>
        <w:rPr>
          <w:rFonts w:hint="eastAsia" w:ascii="仿宋_GB2312" w:hAnsi="??" w:cs="宋体"/>
          <w:sz w:val="32"/>
          <w:szCs w:val="32"/>
        </w:rPr>
        <w:t>：反映按房改政策规定，行政事业单位向符合条件职工（含离退休人员）、军队（含武警）向转役复员离退休人员发放的用于购买住房的补贴。</w:t>
      </w:r>
    </w:p>
    <w:p>
      <w:pPr>
        <w:spacing w:line="600" w:lineRule="exact"/>
        <w:ind w:firstLine="420" w:firstLineChars="200"/>
      </w:pPr>
    </w:p>
    <w:sectPr>
      <w:footerReference r:id="rId3" w:type="default"/>
      <w:footerReference r:id="rId4" w:type="even"/>
      <w:pgSz w:w="11907" w:h="16840"/>
      <w:pgMar w:top="1440" w:right="1588" w:bottom="1440"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18</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0B"/>
    <w:rsid w:val="00046671"/>
    <w:rsid w:val="00053EFE"/>
    <w:rsid w:val="00062042"/>
    <w:rsid w:val="00064128"/>
    <w:rsid w:val="000651D8"/>
    <w:rsid w:val="0007101E"/>
    <w:rsid w:val="00072BCA"/>
    <w:rsid w:val="00072F12"/>
    <w:rsid w:val="000E188B"/>
    <w:rsid w:val="000E18A3"/>
    <w:rsid w:val="000F1193"/>
    <w:rsid w:val="000F6A4F"/>
    <w:rsid w:val="001016A7"/>
    <w:rsid w:val="00111729"/>
    <w:rsid w:val="00114E00"/>
    <w:rsid w:val="00120C66"/>
    <w:rsid w:val="00120CDC"/>
    <w:rsid w:val="001262AF"/>
    <w:rsid w:val="00143A2E"/>
    <w:rsid w:val="001474C6"/>
    <w:rsid w:val="001563D1"/>
    <w:rsid w:val="00176822"/>
    <w:rsid w:val="0018273E"/>
    <w:rsid w:val="00184183"/>
    <w:rsid w:val="00186E66"/>
    <w:rsid w:val="001902D7"/>
    <w:rsid w:val="00190775"/>
    <w:rsid w:val="001920D4"/>
    <w:rsid w:val="00192FAE"/>
    <w:rsid w:val="001A2286"/>
    <w:rsid w:val="001A45E9"/>
    <w:rsid w:val="001B73C5"/>
    <w:rsid w:val="001D45A9"/>
    <w:rsid w:val="001D5629"/>
    <w:rsid w:val="001E3C5A"/>
    <w:rsid w:val="001E5565"/>
    <w:rsid w:val="001E74C5"/>
    <w:rsid w:val="001F527C"/>
    <w:rsid w:val="00207B27"/>
    <w:rsid w:val="00214241"/>
    <w:rsid w:val="00221B85"/>
    <w:rsid w:val="00225A7A"/>
    <w:rsid w:val="00250207"/>
    <w:rsid w:val="00257A58"/>
    <w:rsid w:val="002738A3"/>
    <w:rsid w:val="002746F1"/>
    <w:rsid w:val="00276750"/>
    <w:rsid w:val="00282B23"/>
    <w:rsid w:val="002868A3"/>
    <w:rsid w:val="00294E07"/>
    <w:rsid w:val="00295463"/>
    <w:rsid w:val="002A7BA1"/>
    <w:rsid w:val="002B3DAC"/>
    <w:rsid w:val="002C19D8"/>
    <w:rsid w:val="002D13EC"/>
    <w:rsid w:val="002D6A30"/>
    <w:rsid w:val="002E00D5"/>
    <w:rsid w:val="002F055D"/>
    <w:rsid w:val="003203C1"/>
    <w:rsid w:val="00322520"/>
    <w:rsid w:val="00324B92"/>
    <w:rsid w:val="00327825"/>
    <w:rsid w:val="00330A19"/>
    <w:rsid w:val="00342CD2"/>
    <w:rsid w:val="00344689"/>
    <w:rsid w:val="00344F37"/>
    <w:rsid w:val="00346899"/>
    <w:rsid w:val="0034725A"/>
    <w:rsid w:val="00361F65"/>
    <w:rsid w:val="00371925"/>
    <w:rsid w:val="00373442"/>
    <w:rsid w:val="003775A0"/>
    <w:rsid w:val="003819FE"/>
    <w:rsid w:val="0038512D"/>
    <w:rsid w:val="00386388"/>
    <w:rsid w:val="0038715C"/>
    <w:rsid w:val="003A4B20"/>
    <w:rsid w:val="003A6FA2"/>
    <w:rsid w:val="003B0DD8"/>
    <w:rsid w:val="003B1368"/>
    <w:rsid w:val="003B554B"/>
    <w:rsid w:val="003C4F54"/>
    <w:rsid w:val="003D0889"/>
    <w:rsid w:val="003D31D7"/>
    <w:rsid w:val="003D5271"/>
    <w:rsid w:val="003E6F76"/>
    <w:rsid w:val="003F53B9"/>
    <w:rsid w:val="004044EE"/>
    <w:rsid w:val="00417507"/>
    <w:rsid w:val="00420D41"/>
    <w:rsid w:val="00450FEA"/>
    <w:rsid w:val="004614FB"/>
    <w:rsid w:val="00482F4B"/>
    <w:rsid w:val="0049011A"/>
    <w:rsid w:val="00492845"/>
    <w:rsid w:val="00493E30"/>
    <w:rsid w:val="004964A0"/>
    <w:rsid w:val="004C62D1"/>
    <w:rsid w:val="004D09A8"/>
    <w:rsid w:val="004E0E8D"/>
    <w:rsid w:val="004E4A79"/>
    <w:rsid w:val="004F1790"/>
    <w:rsid w:val="004F2CCF"/>
    <w:rsid w:val="004F54CB"/>
    <w:rsid w:val="00514AEC"/>
    <w:rsid w:val="00515175"/>
    <w:rsid w:val="00516246"/>
    <w:rsid w:val="005174AB"/>
    <w:rsid w:val="00563265"/>
    <w:rsid w:val="00586939"/>
    <w:rsid w:val="00595EAD"/>
    <w:rsid w:val="005A1EB3"/>
    <w:rsid w:val="005B180D"/>
    <w:rsid w:val="005B1CD6"/>
    <w:rsid w:val="005B602D"/>
    <w:rsid w:val="005D4A47"/>
    <w:rsid w:val="005E3140"/>
    <w:rsid w:val="006048A5"/>
    <w:rsid w:val="00604C57"/>
    <w:rsid w:val="0061194C"/>
    <w:rsid w:val="0061672A"/>
    <w:rsid w:val="006206AD"/>
    <w:rsid w:val="0062323C"/>
    <w:rsid w:val="006267B8"/>
    <w:rsid w:val="00632156"/>
    <w:rsid w:val="006405C2"/>
    <w:rsid w:val="006457FD"/>
    <w:rsid w:val="00651FDF"/>
    <w:rsid w:val="00654A8F"/>
    <w:rsid w:val="00667A7C"/>
    <w:rsid w:val="00685EAF"/>
    <w:rsid w:val="0069448C"/>
    <w:rsid w:val="0069528E"/>
    <w:rsid w:val="006970D0"/>
    <w:rsid w:val="0069773E"/>
    <w:rsid w:val="006A70FF"/>
    <w:rsid w:val="006B528C"/>
    <w:rsid w:val="006B72F3"/>
    <w:rsid w:val="006C34A6"/>
    <w:rsid w:val="006C527F"/>
    <w:rsid w:val="006D6A2F"/>
    <w:rsid w:val="007013D3"/>
    <w:rsid w:val="007033AA"/>
    <w:rsid w:val="007079F8"/>
    <w:rsid w:val="00741108"/>
    <w:rsid w:val="00741B55"/>
    <w:rsid w:val="00746CBE"/>
    <w:rsid w:val="00753271"/>
    <w:rsid w:val="00761B9C"/>
    <w:rsid w:val="00765822"/>
    <w:rsid w:val="00765C83"/>
    <w:rsid w:val="00780470"/>
    <w:rsid w:val="00794BF7"/>
    <w:rsid w:val="007B0FA4"/>
    <w:rsid w:val="007B33DE"/>
    <w:rsid w:val="007B3679"/>
    <w:rsid w:val="007C44E9"/>
    <w:rsid w:val="007D348B"/>
    <w:rsid w:val="007D5D2D"/>
    <w:rsid w:val="007E6CDF"/>
    <w:rsid w:val="008223CC"/>
    <w:rsid w:val="00822CEF"/>
    <w:rsid w:val="008346BD"/>
    <w:rsid w:val="0083648C"/>
    <w:rsid w:val="00854686"/>
    <w:rsid w:val="00866A50"/>
    <w:rsid w:val="008677B2"/>
    <w:rsid w:val="00881F0B"/>
    <w:rsid w:val="00886526"/>
    <w:rsid w:val="008866C2"/>
    <w:rsid w:val="00887089"/>
    <w:rsid w:val="00893EDB"/>
    <w:rsid w:val="008A6A53"/>
    <w:rsid w:val="008C2CF4"/>
    <w:rsid w:val="008D48F1"/>
    <w:rsid w:val="008E54B4"/>
    <w:rsid w:val="008F1E0E"/>
    <w:rsid w:val="0090349E"/>
    <w:rsid w:val="009043E5"/>
    <w:rsid w:val="009125B1"/>
    <w:rsid w:val="00923634"/>
    <w:rsid w:val="009308EE"/>
    <w:rsid w:val="00937F64"/>
    <w:rsid w:val="00951A76"/>
    <w:rsid w:val="00954396"/>
    <w:rsid w:val="0097416C"/>
    <w:rsid w:val="00976428"/>
    <w:rsid w:val="0097677D"/>
    <w:rsid w:val="009809AE"/>
    <w:rsid w:val="00982B21"/>
    <w:rsid w:val="009845D7"/>
    <w:rsid w:val="00985DEE"/>
    <w:rsid w:val="00987496"/>
    <w:rsid w:val="00990DDE"/>
    <w:rsid w:val="0099382D"/>
    <w:rsid w:val="00997B30"/>
    <w:rsid w:val="009A37C6"/>
    <w:rsid w:val="009B570B"/>
    <w:rsid w:val="009B781D"/>
    <w:rsid w:val="009C7537"/>
    <w:rsid w:val="009D0AAF"/>
    <w:rsid w:val="009D180F"/>
    <w:rsid w:val="009D5FD5"/>
    <w:rsid w:val="009E3B1E"/>
    <w:rsid w:val="009F33E5"/>
    <w:rsid w:val="00A0740C"/>
    <w:rsid w:val="00A309C1"/>
    <w:rsid w:val="00A34BA9"/>
    <w:rsid w:val="00A36DC5"/>
    <w:rsid w:val="00A61EED"/>
    <w:rsid w:val="00A71EB2"/>
    <w:rsid w:val="00A75642"/>
    <w:rsid w:val="00A828DF"/>
    <w:rsid w:val="00AA03BD"/>
    <w:rsid w:val="00AC012E"/>
    <w:rsid w:val="00AC03C2"/>
    <w:rsid w:val="00AC5D1E"/>
    <w:rsid w:val="00AC7780"/>
    <w:rsid w:val="00AE6355"/>
    <w:rsid w:val="00AF106F"/>
    <w:rsid w:val="00AF2F79"/>
    <w:rsid w:val="00AF7167"/>
    <w:rsid w:val="00AF77F1"/>
    <w:rsid w:val="00B03082"/>
    <w:rsid w:val="00B46624"/>
    <w:rsid w:val="00B5679A"/>
    <w:rsid w:val="00B93A85"/>
    <w:rsid w:val="00B94DB4"/>
    <w:rsid w:val="00BB1A58"/>
    <w:rsid w:val="00BB4E1E"/>
    <w:rsid w:val="00BC6167"/>
    <w:rsid w:val="00BD4ED3"/>
    <w:rsid w:val="00BD6663"/>
    <w:rsid w:val="00BF6CE9"/>
    <w:rsid w:val="00BF7B7E"/>
    <w:rsid w:val="00C00AFA"/>
    <w:rsid w:val="00C03C0A"/>
    <w:rsid w:val="00C31791"/>
    <w:rsid w:val="00C33E6D"/>
    <w:rsid w:val="00C362CE"/>
    <w:rsid w:val="00C450CC"/>
    <w:rsid w:val="00C519C9"/>
    <w:rsid w:val="00C5682A"/>
    <w:rsid w:val="00C65C14"/>
    <w:rsid w:val="00C80187"/>
    <w:rsid w:val="00C8152A"/>
    <w:rsid w:val="00C81C6E"/>
    <w:rsid w:val="00C825C1"/>
    <w:rsid w:val="00C85CCC"/>
    <w:rsid w:val="00CA1E85"/>
    <w:rsid w:val="00CA550C"/>
    <w:rsid w:val="00CD3F92"/>
    <w:rsid w:val="00CD70CB"/>
    <w:rsid w:val="00CE3DF7"/>
    <w:rsid w:val="00CE47C0"/>
    <w:rsid w:val="00CE4D3C"/>
    <w:rsid w:val="00D366CD"/>
    <w:rsid w:val="00D41B69"/>
    <w:rsid w:val="00D52F86"/>
    <w:rsid w:val="00D538E3"/>
    <w:rsid w:val="00D54C56"/>
    <w:rsid w:val="00D61851"/>
    <w:rsid w:val="00D70031"/>
    <w:rsid w:val="00D81005"/>
    <w:rsid w:val="00D82028"/>
    <w:rsid w:val="00D82442"/>
    <w:rsid w:val="00D826D8"/>
    <w:rsid w:val="00D878BC"/>
    <w:rsid w:val="00D91495"/>
    <w:rsid w:val="00D914B2"/>
    <w:rsid w:val="00D95E1E"/>
    <w:rsid w:val="00DA64A4"/>
    <w:rsid w:val="00DC1406"/>
    <w:rsid w:val="00DD30E7"/>
    <w:rsid w:val="00DD55A4"/>
    <w:rsid w:val="00DE1E92"/>
    <w:rsid w:val="00DE4BF0"/>
    <w:rsid w:val="00DF03E0"/>
    <w:rsid w:val="00DF16CF"/>
    <w:rsid w:val="00DF1C5F"/>
    <w:rsid w:val="00DF4F09"/>
    <w:rsid w:val="00E0018C"/>
    <w:rsid w:val="00E11F7A"/>
    <w:rsid w:val="00E2537B"/>
    <w:rsid w:val="00E34008"/>
    <w:rsid w:val="00E3509E"/>
    <w:rsid w:val="00E37E6D"/>
    <w:rsid w:val="00E57CEA"/>
    <w:rsid w:val="00E71FA7"/>
    <w:rsid w:val="00E72A06"/>
    <w:rsid w:val="00E81D16"/>
    <w:rsid w:val="00E8741C"/>
    <w:rsid w:val="00EA41D6"/>
    <w:rsid w:val="00EB6701"/>
    <w:rsid w:val="00EB7242"/>
    <w:rsid w:val="00EF3F12"/>
    <w:rsid w:val="00F20479"/>
    <w:rsid w:val="00F20E78"/>
    <w:rsid w:val="00F26153"/>
    <w:rsid w:val="00F30F2B"/>
    <w:rsid w:val="00F31B5A"/>
    <w:rsid w:val="00F4207F"/>
    <w:rsid w:val="00F544BA"/>
    <w:rsid w:val="00F770F2"/>
    <w:rsid w:val="00F864FE"/>
    <w:rsid w:val="00F96E70"/>
    <w:rsid w:val="00F97ACF"/>
    <w:rsid w:val="00FB2A8A"/>
    <w:rsid w:val="00FB6DE5"/>
    <w:rsid w:val="00FB7D78"/>
    <w:rsid w:val="00FC7092"/>
    <w:rsid w:val="00FC74BF"/>
    <w:rsid w:val="00FD4D65"/>
    <w:rsid w:val="00FF3C3B"/>
    <w:rsid w:val="08B27A79"/>
    <w:rsid w:val="1D8E0F4F"/>
    <w:rsid w:val="2C1B74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locked/>
    <w:uiPriority w:val="99"/>
    <w:rPr>
      <w:rFonts w:cs="Times New Roman"/>
      <w:b/>
    </w:rPr>
  </w:style>
  <w:style w:type="character" w:styleId="9">
    <w:name w:val="page number"/>
    <w:basedOn w:val="7"/>
    <w:qFormat/>
    <w:uiPriority w:val="99"/>
    <w:rPr>
      <w:rFonts w:cs="Times New Roman"/>
    </w:rPr>
  </w:style>
  <w:style w:type="character" w:customStyle="1" w:styleId="10">
    <w:name w:val="Balloon Text Char"/>
    <w:basedOn w:val="7"/>
    <w:link w:val="2"/>
    <w:semiHidden/>
    <w:qFormat/>
    <w:locked/>
    <w:uiPriority w:val="99"/>
    <w:rPr>
      <w:rFonts w:cs="Times New Roman"/>
      <w:sz w:val="18"/>
      <w:szCs w:val="18"/>
    </w:rPr>
  </w:style>
  <w:style w:type="character" w:customStyle="1" w:styleId="11">
    <w:name w:val="Footer Char"/>
    <w:basedOn w:val="7"/>
    <w:link w:val="3"/>
    <w:qFormat/>
    <w:locked/>
    <w:uiPriority w:val="99"/>
    <w:rPr>
      <w:rFonts w:cs="Times New Roman"/>
      <w:sz w:val="18"/>
      <w:szCs w:val="18"/>
    </w:rPr>
  </w:style>
  <w:style w:type="character" w:customStyle="1" w:styleId="12">
    <w:name w:val="Header Char"/>
    <w:basedOn w:val="7"/>
    <w:link w:val="4"/>
    <w:qFormat/>
    <w:locked/>
    <w:uiPriority w:val="99"/>
    <w:rPr>
      <w:rFonts w:cs="Times New Roman"/>
      <w:sz w:val="18"/>
      <w:szCs w:val="18"/>
    </w:rPr>
  </w:style>
  <w:style w:type="paragraph" w:customStyle="1" w:styleId="13">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wzcs</Company>
  <Pages>22</Pages>
  <Words>2413</Words>
  <Characters>13755</Characters>
  <Lines>0</Lines>
  <Paragraphs>0</Paragraphs>
  <TotalTime>42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2017-09-19T02:31:00Z</dcterms:created>
  <dc:creator>张静</dc:creator>
  <cp:lastModifiedBy>Administrator</cp:lastModifiedBy>
  <cp:lastPrinted>2017-09-19T03:01:00Z</cp:lastPrinted>
  <dcterms:modified xsi:type="dcterms:W3CDTF">2022-01-14T03:26:26Z</dcterms:modified>
  <dc:title>温州市妇女联合会2016年度部门决算</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44EDCC665A2A48A39F5D35A0D439550F</vt:lpwstr>
  </property>
</Properties>
</file>