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lang w:eastAsia="zh-CN"/>
        </w:rPr>
        <w:t>灵南小学</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1、正确贯彻执行党和国家的教育方针、政策、法规。</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2、维护学校的教学秩序，为学生创造良好的学习环境；</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3、积极稳妥地推进教育改革，按教育规律办事，不断提高教育质量；</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4、根据学校规模，设置学校管理机构，建立健全各项规章制度和岗位责任制。</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5、坚持教书育人，服务育人，环境育人方针，加强对学生的思想品德教育，使学生的德智体全面发展。</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6、抓好教师队伍建设，使每个教师都热心于教育事业；</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7、做好安全防范，保证学生的人生安全。</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2017年</w:t>
      </w:r>
      <w:r>
        <w:rPr>
          <w:rFonts w:hint="eastAsia" w:ascii="仿宋" w:hAnsi="Times New Roman" w:eastAsia="仿宋" w:cs="仿宋"/>
          <w:sz w:val="30"/>
          <w:szCs w:val="30"/>
          <w:lang w:val="zh-CN"/>
        </w:rPr>
        <w:t>度灵南小学</w:t>
      </w:r>
      <w:r>
        <w:rPr>
          <w:rFonts w:hint="eastAsia" w:ascii="仿宋" w:hAnsi="Times New Roman" w:eastAsia="仿宋" w:cs="仿宋"/>
          <w:sz w:val="32"/>
          <w:szCs w:val="32"/>
        </w:rPr>
        <w:t>部门决算包括：本级决算</w:t>
      </w:r>
    </w:p>
    <w:tbl>
      <w:tblPr>
        <w:tblW w:w="626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5500"/>
      </w:tblGrid>
      <w:tr>
        <w:trPr>
          <w:trHeight w:val="510" w:hRule="atLeast"/>
          <w:jc w:val="center"/>
        </w:trPr>
        <w:tc>
          <w:tcPr>
            <w:tcW w:w="7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温州市洞头区灵南小学</w:t>
            </w:r>
            <w:r>
              <w:rPr>
                <w:rFonts w:hint="eastAsia" w:ascii="仿宋" w:hAnsi="Times New Roman" w:eastAsia="仿宋" w:cs="仿宋"/>
                <w:sz w:val="30"/>
                <w:szCs w:val="30"/>
                <w:lang w:val="zh-CN"/>
              </w:rPr>
              <w:t>（本级）</w:t>
            </w:r>
          </w:p>
        </w:tc>
      </w:tr>
      <w:tr>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sz w:val="24"/>
          <w:szCs w:val="24"/>
        </w:rPr>
      </w:pPr>
    </w:p>
    <w:tbl>
      <w:tblPr>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1063"/>
        <w:gridCol w:w="805"/>
        <w:gridCol w:w="2690"/>
        <w:gridCol w:w="2019"/>
      </w:tblGrid>
      <w:tr>
        <w:trPr>
          <w:trHeight w:val="54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rPr>
          <w:trHeight w:val="255" w:hRule="atLeast"/>
        </w:trPr>
        <w:tc>
          <w:tcPr>
            <w:tcW w:w="3346"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rPr>
          <w:trHeight w:val="255" w:hRule="atLeast"/>
        </w:trPr>
        <w:tc>
          <w:tcPr>
            <w:tcW w:w="3346" w:type="dxa"/>
            <w:gridSpan w:val="2"/>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805"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46.312174</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46.312174</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r>
    </w:tbl>
    <w:p>
      <w:pPr>
        <w:autoSpaceDE w:val="0"/>
        <w:autoSpaceDN w:val="0"/>
        <w:adjustRightInd w:val="0"/>
        <w:spacing w:line="560" w:lineRule="exact"/>
        <w:rPr>
          <w:rFonts w:ascii="黑体" w:hAnsi="Times New Roman" w:eastAsia="黑体" w:cs="黑体"/>
          <w:sz w:val="32"/>
          <w:szCs w:val="32"/>
          <w:lang w:val="zh-CN"/>
        </w:rPr>
      </w:pPr>
    </w:p>
    <w:tbl>
      <w:tblPr>
        <w:tblW w:w="214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2017年度部门收入决算总表(分单位）</w:t>
      </w:r>
    </w:p>
    <w:tbl>
      <w:tblPr>
        <w:tblW w:w="271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rPr>
          <w:trHeight w:val="255" w:hRule="atLeast"/>
        </w:trPr>
        <w:tc>
          <w:tcPr>
            <w:tcW w:w="19437" w:type="dxa"/>
            <w:tcBorders>
              <w:top w:val="nil"/>
              <w:left w:val="nil"/>
              <w:bottom w:val="nil"/>
              <w:right w:val="nil"/>
            </w:tcBorders>
            <w:vAlign w:val="bottom"/>
          </w:tcPr>
          <w:tbl>
            <w:tblPr>
              <w:tblW w:w="8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0"/>
              <w:gridCol w:w="640"/>
              <w:gridCol w:w="640"/>
              <w:gridCol w:w="640"/>
              <w:gridCol w:w="640"/>
              <w:gridCol w:w="640"/>
              <w:gridCol w:w="640"/>
              <w:gridCol w:w="640"/>
              <w:gridCol w:w="640"/>
              <w:gridCol w:w="640"/>
              <w:gridCol w:w="640"/>
              <w:gridCol w:w="640"/>
            </w:tblGrid>
            <w:tr>
              <w:trPr>
                <w:trHeight w:val="255" w:hRule="atLeast"/>
              </w:trPr>
              <w:tc>
                <w:tcPr>
                  <w:tcW w:w="18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rPr>
                <w:trHeight w:val="270" w:hRule="atLeast"/>
              </w:trPr>
              <w:tc>
                <w:tcPr>
                  <w:tcW w:w="1840" w:type="dxa"/>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255" w:hRule="atLeast"/>
              </w:trPr>
              <w:tc>
                <w:tcPr>
                  <w:tcW w:w="18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rPr>
          <w:trHeight w:val="270" w:hRule="atLeast"/>
        </w:trPr>
        <w:tc>
          <w:tcPr>
            <w:tcW w:w="19437" w:type="dxa"/>
            <w:tcBorders>
              <w:top w:val="nil"/>
              <w:left w:val="nil"/>
              <w:bottom w:val="nil"/>
              <w:right w:val="nil"/>
            </w:tcBorders>
            <w:vAlign w:val="bottom"/>
          </w:tcPr>
          <w:p>
            <w:pPr>
              <w:autoSpaceDE w:val="0"/>
              <w:autoSpaceDN w:val="0"/>
              <w:adjustRightInd w:val="0"/>
              <w:spacing w:line="560" w:lineRule="exact"/>
              <w:ind w:firstLine="1590" w:firstLineChars="495"/>
              <w:rPr>
                <w:rFonts w:ascii="仿宋" w:hAnsi="Times New Roman" w:eastAsia="仿宋" w:cs="仿宋"/>
                <w:b/>
                <w:sz w:val="32"/>
                <w:szCs w:val="32"/>
              </w:rPr>
            </w:pPr>
            <w:r>
              <w:rPr>
                <w:rFonts w:hint="eastAsia" w:ascii="仿宋" w:hAnsi="Times New Roman" w:eastAsia="仿宋" w:cs="仿宋"/>
                <w:b/>
                <w:sz w:val="32"/>
                <w:szCs w:val="32"/>
              </w:rPr>
              <w:t>2017年度部门收入决算总表(分科目）</w:t>
            </w:r>
          </w:p>
          <w:tbl>
            <w:tblPr>
              <w:tblW w:w="191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rPr>
                <w:trHeight w:val="255" w:hRule="atLeast"/>
              </w:trPr>
              <w:tc>
                <w:tcPr>
                  <w:tcW w:w="9736" w:type="dxa"/>
                  <w:tcBorders>
                    <w:top w:val="nil"/>
                    <w:left w:val="nil"/>
                    <w:bottom w:val="nil"/>
                    <w:right w:val="nil"/>
                  </w:tcBorders>
                  <w:vAlign w:val="bottom"/>
                </w:tcPr>
                <w:p/>
                <w:tbl>
                  <w:tblPr>
                    <w:tblW w:w="9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992"/>
                    <w:gridCol w:w="142"/>
                    <w:gridCol w:w="668"/>
                    <w:gridCol w:w="640"/>
                    <w:gridCol w:w="640"/>
                    <w:gridCol w:w="640"/>
                    <w:gridCol w:w="640"/>
                    <w:gridCol w:w="640"/>
                    <w:gridCol w:w="640"/>
                    <w:gridCol w:w="640"/>
                    <w:gridCol w:w="640"/>
                    <w:gridCol w:w="640"/>
                    <w:gridCol w:w="640"/>
                  </w:tblGrid>
                  <w:tr>
                    <w:trPr>
                      <w:trHeight w:val="255" w:hRule="atLeast"/>
                    </w:trPr>
                    <w:tc>
                      <w:tcPr>
                        <w:tcW w:w="9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vAlign w:val="top"/>
                      </w:tcPr>
                      <w:p>
                        <w:pPr>
                          <w:widowControl/>
                          <w:jc w:val="left"/>
                          <w:rPr>
                            <w:rFonts w:ascii="Arial" w:hAnsi="Arial" w:eastAsia="宋体" w:cs="Arial"/>
                            <w:color w:val="000000"/>
                            <w:kern w:val="0"/>
                            <w:sz w:val="20"/>
                            <w:szCs w:val="20"/>
                          </w:rPr>
                        </w:pPr>
                      </w:p>
                    </w:tc>
                    <w:tc>
                      <w:tcPr>
                        <w:tcW w:w="81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rPr>
                      <w:trHeight w:val="270" w:hRule="atLeast"/>
                    </w:trPr>
                    <w:tc>
                      <w:tcPr>
                        <w:tcW w:w="900" w:type="dxa"/>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992" w:type="dxa"/>
                        <w:tcBorders>
                          <w:top w:val="nil"/>
                          <w:left w:val="nil"/>
                          <w:bottom w:val="single" w:color="auto" w:sz="4" w:space="0"/>
                          <w:right w:val="nil"/>
                        </w:tcBorders>
                        <w:vAlign w:val="top"/>
                      </w:tcPr>
                      <w:p>
                        <w:pPr>
                          <w:widowControl/>
                          <w:jc w:val="left"/>
                          <w:rPr>
                            <w:rFonts w:ascii="Arial" w:hAnsi="Arial" w:eastAsia="宋体" w:cs="Arial"/>
                            <w:color w:val="000000"/>
                            <w:kern w:val="0"/>
                            <w:sz w:val="20"/>
                            <w:szCs w:val="20"/>
                          </w:rPr>
                        </w:pPr>
                      </w:p>
                    </w:tc>
                    <w:tc>
                      <w:tcPr>
                        <w:tcW w:w="81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668"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eastAsia="宋体" w:cs="Arial"/>
                            <w:color w:val="000000"/>
                            <w:kern w:val="0"/>
                            <w:sz w:val="18"/>
                            <w:szCs w:val="18"/>
                          </w:rPr>
                        </w:pPr>
                      </w:p>
                    </w:tc>
                    <w:tc>
                      <w:tcPr>
                        <w:tcW w:w="6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68"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68"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普通教育</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707.796937</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小学教育</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707.796937</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2017年度部门支出决算总表（分单位）</w:t>
      </w:r>
    </w:p>
    <w:tbl>
      <w:tblPr>
        <w:tblW w:w="16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vAlign w:val="bottom"/>
          </w:tcPr>
          <w:tbl>
            <w:tblPr>
              <w:tblW w:w="9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572.166634</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eastAsia="zh-CN"/>
                    </w:rPr>
                    <w:t>温州市洞头区灵南小学</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572.166634</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2017年度部门支出决算总表（分科目）</w:t>
      </w:r>
    </w:p>
    <w:tbl>
      <w:tblPr>
        <w:tblW w:w="16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36"/>
      </w:tblGrid>
      <w:tr>
        <w:trPr>
          <w:trHeight w:val="255" w:hRule="atLeast"/>
        </w:trPr>
        <w:tc>
          <w:tcPr>
            <w:tcW w:w="16336" w:type="dxa"/>
            <w:tcBorders>
              <w:top w:val="nil"/>
              <w:left w:val="nil"/>
              <w:bottom w:val="nil"/>
              <w:right w:val="nil"/>
            </w:tcBorders>
            <w:vAlign w:val="bottom"/>
          </w:tcPr>
          <w:tbl>
            <w:tblPr>
              <w:tblW w:w="96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vAlign w:val="top"/>
                </w:tcPr>
                <w:p>
                  <w:pPr>
                    <w:widowControl/>
                    <w:jc w:val="left"/>
                    <w:rPr>
                      <w:rFonts w:ascii="Arial" w:hAnsi="Arial" w:eastAsia="宋体" w:cs="Arial"/>
                      <w:color w:val="000000"/>
                      <w:kern w:val="0"/>
                      <w:sz w:val="20"/>
                      <w:szCs w:val="20"/>
                    </w:rPr>
                  </w:pPr>
                </w:p>
              </w:tc>
              <w:tc>
                <w:tcPr>
                  <w:tcW w:w="12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rPr>
                <w:trHeight w:val="270" w:hRule="atLeast"/>
              </w:trPr>
              <w:tc>
                <w:tcPr>
                  <w:tcW w:w="1041"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276" w:type="dxa"/>
                  <w:tcBorders>
                    <w:top w:val="nil"/>
                    <w:left w:val="nil"/>
                    <w:bottom w:val="single" w:color="auto" w:sz="4" w:space="0"/>
                    <w:right w:val="nil"/>
                  </w:tcBorders>
                  <w:shd w:val="clear" w:color="000000" w:fill="FFFFFF"/>
                  <w:vAlign w:val="top"/>
                </w:tcPr>
                <w:p>
                  <w:pPr>
                    <w:widowControl/>
                    <w:jc w:val="left"/>
                    <w:rPr>
                      <w:rFonts w:ascii="Arial" w:hAnsi="Arial" w:eastAsia="宋体" w:cs="Arial"/>
                      <w:color w:val="000000"/>
                      <w:kern w:val="0"/>
                      <w:sz w:val="20"/>
                      <w:szCs w:val="20"/>
                    </w:rPr>
                  </w:pPr>
                </w:p>
              </w:tc>
              <w:tc>
                <w:tcPr>
                  <w:tcW w:w="1276"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673</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364763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673</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364763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普通教育</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661</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484763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10.508207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小学教育</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661</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484763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10.508207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其他教育支出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r>
    </w:tbl>
    <w:p>
      <w:pPr>
        <w:autoSpaceDE w:val="0"/>
        <w:autoSpaceDN w:val="0"/>
        <w:adjustRightInd w:val="0"/>
        <w:spacing w:line="560" w:lineRule="exact"/>
        <w:rPr>
          <w:rFonts w:ascii="仿宋" w:hAnsi="Times New Roman" w:eastAsia="仿宋" w:cs="仿宋"/>
          <w:b/>
          <w:sz w:val="32"/>
          <w:szCs w:val="32"/>
        </w:rPr>
      </w:pPr>
    </w:p>
    <w:tbl>
      <w:tblPr>
        <w:tblW w:w="19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rPr>
          <w:trHeight w:val="255" w:hRule="atLeast"/>
        </w:trPr>
        <w:tc>
          <w:tcPr>
            <w:tcW w:w="9904"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W w:w="15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3"/>
        <w:gridCol w:w="376"/>
        <w:gridCol w:w="880"/>
        <w:gridCol w:w="2240"/>
        <w:gridCol w:w="440"/>
        <w:gridCol w:w="2821"/>
      </w:tblGrid>
      <w:tr>
        <w:trPr>
          <w:trHeight w:val="255" w:hRule="atLeast"/>
        </w:trPr>
        <w:tc>
          <w:tcPr>
            <w:tcW w:w="9233" w:type="dxa"/>
            <w:tcBorders>
              <w:top w:val="nil"/>
              <w:left w:val="nil"/>
              <w:bottom w:val="nil"/>
              <w:right w:val="nil"/>
            </w:tcBorders>
            <w:vAlign w:val="bottom"/>
          </w:tcPr>
          <w:tbl>
            <w:tblPr>
              <w:tblW w:w="90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0"/>
              <w:gridCol w:w="376"/>
              <w:gridCol w:w="880"/>
              <w:gridCol w:w="2240"/>
              <w:gridCol w:w="440"/>
              <w:gridCol w:w="667"/>
              <w:gridCol w:w="1077"/>
              <w:gridCol w:w="1077"/>
            </w:tblGrid>
            <w:tr>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rPr>
                <w:trHeight w:val="615" w:hRule="atLeast"/>
              </w:trPr>
              <w:tc>
                <w:tcPr>
                  <w:tcW w:w="22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672</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438263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672</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438263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0.885913</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0.885913</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rPr>
          <w:trHeight w:val="315" w:hRule="atLeast"/>
        </w:trPr>
        <w:tc>
          <w:tcPr>
            <w:tcW w:w="9233" w:type="dxa"/>
            <w:tcBorders>
              <w:top w:val="nil"/>
              <w:left w:val="nil"/>
              <w:bottom w:val="nil"/>
              <w:right w:val="nil"/>
            </w:tcBorders>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
        <w:gridCol w:w="482"/>
        <w:gridCol w:w="6"/>
        <w:gridCol w:w="476"/>
        <w:gridCol w:w="1754"/>
        <w:gridCol w:w="383"/>
        <w:gridCol w:w="507"/>
        <w:gridCol w:w="630"/>
        <w:gridCol w:w="340"/>
        <w:gridCol w:w="1180"/>
        <w:gridCol w:w="680"/>
        <w:gridCol w:w="840"/>
        <w:gridCol w:w="1520"/>
      </w:tblGrid>
      <w:tr>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520" w:type="dxa"/>
            <w:gridSpan w:val="3"/>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rPr>
          <w:trHeight w:val="308" w:hRule="atLeast"/>
        </w:trPr>
        <w:tc>
          <w:tcPr>
            <w:tcW w:w="48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324176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22.388207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324176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22.388207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普通教育</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44417</w:t>
            </w:r>
            <w:r>
              <w:rPr>
                <w:rFonts w:hint="eastAsia" w:ascii="宋体" w:hAnsi="宋体" w:eastAsia="宋体" w:cs="Arial"/>
                <w:color w:val="000000"/>
                <w:kern w:val="0"/>
                <w:sz w:val="22"/>
                <w:lang w:val="en-US" w:eastAsia="zh-CN"/>
              </w:rPr>
              <w:t>6</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10.508207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小学教育</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44417</w:t>
            </w:r>
            <w:r>
              <w:rPr>
                <w:rFonts w:hint="eastAsia" w:ascii="宋体" w:hAnsi="宋体" w:eastAsia="宋体" w:cs="Arial"/>
                <w:color w:val="000000"/>
                <w:kern w:val="0"/>
                <w:sz w:val="22"/>
                <w:lang w:val="en-US" w:eastAsia="zh-CN"/>
              </w:rPr>
              <w:t>6</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10.508207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20599</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其他教育支出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2059999</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其他教育支出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540" w:hRule="atLeast"/>
        </w:trPr>
        <w:tc>
          <w:tcPr>
            <w:tcW w:w="9280" w:type="dxa"/>
            <w:gridSpan w:val="13"/>
            <w:tcBorders>
              <w:top w:val="nil"/>
              <w:left w:val="nil"/>
              <w:bottom w:val="nil"/>
              <w:right w:val="nil"/>
            </w:tcBorders>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rPr>
          <w:trHeight w:val="255" w:hRule="atLeast"/>
        </w:trPr>
        <w:tc>
          <w:tcPr>
            <w:tcW w:w="970"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13"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507"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rPr>
          <w:trHeight w:val="255" w:hRule="atLeast"/>
        </w:trPr>
        <w:tc>
          <w:tcPr>
            <w:tcW w:w="970" w:type="dxa"/>
            <w:gridSpan w:val="3"/>
            <w:tcBorders>
              <w:top w:val="nil"/>
              <w:left w:val="nil"/>
              <w:bottom w:val="single" w:color="auto" w:sz="4" w:space="0"/>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613" w:type="dxa"/>
            <w:gridSpan w:val="3"/>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507" w:type="dxa"/>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single" w:color="auto" w:sz="4"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金额单位：万元元</w:t>
            </w:r>
          </w:p>
        </w:tc>
      </w:tr>
      <w:tr>
        <w:trPr>
          <w:trHeight w:val="308" w:hRule="atLeast"/>
        </w:trPr>
        <w:tc>
          <w:tcPr>
            <w:tcW w:w="4090"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50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502.954828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78.769335</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112.02117</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8.336386</w:t>
            </w:r>
            <w:r>
              <w:rPr>
                <w:rFonts w:hint="eastAsia" w:ascii="宋体" w:hAnsi="宋体" w:eastAsia="宋体" w:cs="Arial"/>
                <w:color w:val="000000"/>
                <w:kern w:val="0"/>
                <w:sz w:val="16"/>
                <w:szCs w:val="16"/>
              </w:rPr>
              <w:t>　</w:t>
            </w:r>
          </w:p>
        </w:tc>
      </w:tr>
      <w:tr>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0.2152</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42.3833</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19.577921</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0.019454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9.6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0.79844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236.326677</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4.123706</w:t>
            </w:r>
            <w:r>
              <w:rPr>
                <w:rFonts w:hint="eastAsia" w:ascii="宋体" w:hAnsi="宋体" w:eastAsia="宋体" w:cs="Arial"/>
                <w:color w:val="000000"/>
                <w:kern w:val="0"/>
                <w:sz w:val="16"/>
                <w:szCs w:val="16"/>
              </w:rPr>
              <w:t>　</w:t>
            </w:r>
          </w:p>
        </w:tc>
      </w:tr>
      <w:tr>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56.6344</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0.553688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24.51616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1.68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0.7628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69.211806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2.2274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5.6686</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1.2138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22.119006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8.201948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24.202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43.4028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7.2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10.1644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0.765</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2.79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4.331713</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507"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p>
        </w:tc>
        <w:tc>
          <w:tcPr>
            <w:tcW w:w="283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p>
        </w:tc>
      </w:tr>
    </w:tbl>
    <w:p>
      <w:pPr>
        <w:autoSpaceDE w:val="0"/>
        <w:autoSpaceDN w:val="0"/>
        <w:adjustRightInd w:val="0"/>
        <w:spacing w:line="560" w:lineRule="exact"/>
        <w:rPr>
          <w:rFonts w:ascii="仿宋" w:hAnsi="Times New Roman" w:eastAsia="仿宋" w:cs="仿宋"/>
          <w:b/>
          <w:sz w:val="32"/>
          <w:szCs w:val="32"/>
        </w:rPr>
      </w:pPr>
    </w:p>
    <w:tbl>
      <w:tblPr>
        <w:tblW w:w="1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84"/>
        <w:gridCol w:w="436"/>
        <w:gridCol w:w="436"/>
        <w:gridCol w:w="2180"/>
        <w:gridCol w:w="1520"/>
        <w:gridCol w:w="1520"/>
        <w:gridCol w:w="3040"/>
      </w:tblGrid>
      <w:tr>
        <w:trPr>
          <w:trHeight w:val="255" w:hRule="atLeast"/>
        </w:trPr>
        <w:tc>
          <w:tcPr>
            <w:tcW w:w="9784"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rPr>
          <w:trHeight w:val="270" w:hRule="atLeast"/>
        </w:trPr>
        <w:tc>
          <w:tcPr>
            <w:tcW w:w="9784" w:type="dxa"/>
            <w:tcBorders>
              <w:top w:val="nil"/>
              <w:left w:val="nil"/>
              <w:bottom w:val="nil"/>
              <w:right w:val="nil"/>
            </w:tcBorders>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2017年度部门政府性基金收入支出决算表</w:t>
      </w:r>
    </w:p>
    <w:tbl>
      <w:tblPr>
        <w:tblW w:w="9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rPr>
          <w:trHeight w:val="255" w:hRule="atLeast"/>
        </w:trPr>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公开07表</w:t>
            </w:r>
          </w:p>
        </w:tc>
      </w:tr>
      <w:tr>
        <w:trPr>
          <w:trHeight w:val="255" w:hRule="atLeast"/>
        </w:trPr>
        <w:tc>
          <w:tcPr>
            <w:tcW w:w="1128" w:type="dxa"/>
            <w:gridSpan w:val="3"/>
            <w:tcBorders>
              <w:top w:val="nil"/>
              <w:left w:val="nil"/>
              <w:bottom w:val="nil"/>
              <w:right w:val="nil"/>
            </w:tcBorders>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w:t>
            </w:r>
          </w:p>
        </w:tc>
        <w:tc>
          <w:tcPr>
            <w:tcW w:w="14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金额单位：万元</w:t>
            </w:r>
          </w:p>
        </w:tc>
      </w:tr>
      <w:tr>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hint="eastAsia"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hint="eastAsia" w:cs="Arial"/>
          <w:color w:val="000000"/>
          <w:sz w:val="15"/>
          <w:szCs w:val="15"/>
        </w:rPr>
      </w:pPr>
      <w:r>
        <w:rPr>
          <w:rFonts w:hint="eastAsia" w:cs="Arial"/>
          <w:color w:val="000000"/>
          <w:sz w:val="15"/>
          <w:szCs w:val="15"/>
        </w:rPr>
        <w:t>公开08表</w:t>
      </w:r>
    </w:p>
    <w:p>
      <w:pPr>
        <w:wordWrap w:val="0"/>
        <w:jc w:val="right"/>
        <w:rPr>
          <w:rFonts w:hint="eastAsia" w:cs="Arial"/>
          <w:color w:val="000000"/>
          <w:sz w:val="15"/>
          <w:szCs w:val="15"/>
        </w:rPr>
      </w:pPr>
      <w:r>
        <w:rPr>
          <w:rFonts w:hint="eastAsia" w:cs="Arial"/>
          <w:color w:val="000000"/>
          <w:sz w:val="15"/>
          <w:szCs w:val="15"/>
        </w:rPr>
        <w:t xml:space="preserve">  金额单位：万元</w:t>
      </w:r>
    </w:p>
    <w:p>
      <w:pPr>
        <w:jc w:val="left"/>
        <w:rPr>
          <w:rFonts w:cs="Arial"/>
          <w:color w:val="000000"/>
          <w:sz w:val="20"/>
          <w:szCs w:val="20"/>
        </w:rPr>
      </w:pPr>
      <w:r>
        <w:rPr>
          <w:rFonts w:hint="eastAsia" w:cs="Arial"/>
          <w:color w:val="000000"/>
          <w:sz w:val="20"/>
          <w:szCs w:val="20"/>
        </w:rPr>
        <w:t>部门：</w:t>
      </w:r>
    </w:p>
    <w:tbl>
      <w:tblPr>
        <w:tblW w:w="10490"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rPr>
          <w:trHeight w:val="93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103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r>
      <w:tr>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rPr>
          <w:trHeight w:val="240" w:hRule="atLeast"/>
        </w:trPr>
        <w:tc>
          <w:tcPr>
            <w:tcW w:w="851"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38"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0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4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0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1"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1、2017年度收入总计 </w:t>
      </w:r>
      <w:r>
        <w:rPr>
          <w:rFonts w:hint="eastAsia" w:ascii="仿宋" w:hAnsi="Times New Roman" w:eastAsia="仿宋" w:cs="仿宋"/>
          <w:color w:val="000000"/>
          <w:sz w:val="32"/>
          <w:szCs w:val="32"/>
          <w:lang w:val="en-US" w:eastAsia="zh-CN"/>
        </w:rPr>
        <w:t>719.68</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106.54</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17.34</w:t>
      </w:r>
      <w:r>
        <w:rPr>
          <w:rFonts w:hint="eastAsia" w:ascii="仿宋" w:hAnsi="Times New Roman" w:eastAsia="仿宋" w:cs="仿宋"/>
          <w:color w:val="000000"/>
          <w:sz w:val="32"/>
          <w:szCs w:val="32"/>
        </w:rPr>
        <w:t xml:space="preserve"> %，主要原因是财政</w:t>
      </w:r>
      <w:r>
        <w:rPr>
          <w:rFonts w:ascii="仿宋" w:hAnsi="Times New Roman" w:eastAsia="仿宋" w:cs="仿宋"/>
          <w:color w:val="000000"/>
          <w:sz w:val="32"/>
          <w:szCs w:val="32"/>
        </w:rPr>
        <w:t>投入增加</w:t>
      </w:r>
      <w:r>
        <w:rPr>
          <w:rFonts w:hint="eastAsia" w:ascii="仿宋" w:hAnsi="Times New Roman" w:eastAsia="仿宋" w:cs="仿宋"/>
          <w:color w:val="000000"/>
          <w:sz w:val="32"/>
          <w:szCs w:val="32"/>
          <w:lang w:val="en-US" w:eastAsia="zh-CN"/>
        </w:rPr>
        <w:t>.</w:t>
      </w:r>
      <w:r>
        <w:rPr>
          <w:rFonts w:hint="eastAsia" w:ascii="仿宋" w:hAnsi="Times New Roman" w:eastAsia="仿宋" w:cs="仿宋"/>
          <w:color w:val="000000"/>
          <w:sz w:val="32"/>
          <w:szCs w:val="32"/>
        </w:rPr>
        <w:t>具体情况如下：</w:t>
      </w:r>
      <w:bookmarkStart w:id="0" w:name="_GoBack"/>
      <w:bookmarkEnd w:id="0"/>
    </w:p>
    <w:p>
      <w:pPr>
        <w:autoSpaceDE w:val="0"/>
        <w:autoSpaceDN w:val="0"/>
        <w:adjustRightInd w:val="0"/>
        <w:spacing w:line="560" w:lineRule="exact"/>
        <w:ind w:firstLine="627"/>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 xml:space="preserve">（1）财政拨款收入 </w:t>
      </w:r>
      <w:r>
        <w:rPr>
          <w:rFonts w:hint="eastAsia" w:ascii="仿宋" w:hAnsi="Times New Roman" w:eastAsia="仿宋" w:cs="仿宋"/>
          <w:color w:val="000000"/>
          <w:sz w:val="32"/>
          <w:szCs w:val="32"/>
          <w:lang w:val="en-US" w:eastAsia="zh-CN"/>
        </w:rPr>
        <w:t>672.44</w:t>
      </w:r>
      <w:r>
        <w:rPr>
          <w:rFonts w:hint="eastAsia" w:ascii="仿宋" w:hAnsi="Times New Roman" w:eastAsia="仿宋" w:cs="仿宋"/>
          <w:color w:val="000000"/>
          <w:sz w:val="32"/>
          <w:szCs w:val="32"/>
        </w:rPr>
        <w:t xml:space="preserve"> 万元，较上年增加</w:t>
      </w:r>
      <w:r>
        <w:rPr>
          <w:rFonts w:hint="eastAsia" w:ascii="仿宋" w:hAnsi="Times New Roman" w:eastAsia="仿宋" w:cs="仿宋"/>
          <w:color w:val="000000"/>
          <w:sz w:val="32"/>
          <w:szCs w:val="32"/>
          <w:lang w:val="en-US" w:eastAsia="zh-CN"/>
        </w:rPr>
        <w:t>105.61</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18.63</w:t>
      </w:r>
      <w:r>
        <w:rPr>
          <w:rFonts w:hint="eastAsia" w:ascii="仿宋" w:hAnsi="Times New Roman" w:eastAsia="仿宋" w:cs="仿宋"/>
          <w:color w:val="000000"/>
          <w:sz w:val="32"/>
          <w:szCs w:val="32"/>
        </w:rPr>
        <w:t xml:space="preserve"> %，主要原因是财政</w:t>
      </w:r>
      <w:r>
        <w:rPr>
          <w:rFonts w:ascii="仿宋" w:hAnsi="Times New Roman" w:eastAsia="仿宋" w:cs="仿宋"/>
          <w:color w:val="000000"/>
          <w:sz w:val="32"/>
          <w:szCs w:val="32"/>
        </w:rPr>
        <w:t>投入增加</w:t>
      </w:r>
      <w:r>
        <w:rPr>
          <w:rFonts w:hint="eastAsia" w:ascii="仿宋" w:hAnsi="Times New Roman" w:eastAsia="仿宋" w:cs="仿宋"/>
          <w:color w:val="000000"/>
          <w:sz w:val="32"/>
          <w:szCs w:val="32"/>
          <w:lang w:val="en-US" w:eastAsia="zh-CN"/>
        </w:rPr>
        <w:t>.</w:t>
      </w:r>
    </w:p>
    <w:p>
      <w:pPr>
        <w:autoSpaceDE w:val="0"/>
        <w:autoSpaceDN w:val="0"/>
        <w:adjustRightInd w:val="0"/>
        <w:spacing w:line="560" w:lineRule="exact"/>
        <w:ind w:firstLine="627"/>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（2）事业收入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w:t>
      </w:r>
      <w:r>
        <w:rPr>
          <w:rFonts w:hint="eastAsia" w:ascii="仿宋" w:hAnsi="Times New Roman" w:eastAsia="仿宋" w:cs="仿宋"/>
          <w:color w:val="000000"/>
          <w:sz w:val="32"/>
          <w:szCs w:val="32"/>
          <w:lang w:eastAsia="zh-CN"/>
        </w:rPr>
        <w:t>没有事业收入。</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（3）经营收入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%，主要原因是没有</w:t>
      </w:r>
      <w:r>
        <w:rPr>
          <w:rFonts w:ascii="仿宋" w:hAnsi="Times New Roman" w:eastAsia="仿宋" w:cs="仿宋"/>
          <w:color w:val="000000"/>
          <w:sz w:val="32"/>
          <w:szCs w:val="32"/>
        </w:rPr>
        <w:t>经营收入</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 xml:space="preserve">（4）其他收入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%，主要原因是没有</w:t>
      </w:r>
      <w:r>
        <w:rPr>
          <w:rFonts w:hint="eastAsia" w:ascii="仿宋" w:hAnsi="Times New Roman" w:eastAsia="仿宋" w:cs="仿宋"/>
          <w:color w:val="000000"/>
          <w:sz w:val="32"/>
          <w:szCs w:val="32"/>
          <w:lang w:eastAsia="zh-CN"/>
        </w:rPr>
        <w:t>其他</w:t>
      </w:r>
      <w:r>
        <w:rPr>
          <w:rFonts w:ascii="仿宋" w:hAnsi="Times New Roman" w:eastAsia="仿宋" w:cs="仿宋"/>
          <w:color w:val="000000"/>
          <w:sz w:val="32"/>
          <w:szCs w:val="32"/>
        </w:rPr>
        <w:t>收入</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（5）用事业基金弥补差额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%，主要原因是没有</w:t>
      </w:r>
      <w:r>
        <w:rPr>
          <w:rFonts w:ascii="仿宋" w:hAnsi="Times New Roman" w:eastAsia="仿宋" w:cs="仿宋"/>
          <w:color w:val="000000"/>
          <w:sz w:val="32"/>
          <w:szCs w:val="32"/>
        </w:rPr>
        <w:t>事业基金</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 xml:space="preserve">（6）年初结转和结余 </w:t>
      </w:r>
      <w:r>
        <w:rPr>
          <w:rFonts w:hint="eastAsia" w:ascii="仿宋" w:hAnsi="Times New Roman" w:eastAsia="仿宋" w:cs="仿宋"/>
          <w:color w:val="000000"/>
          <w:sz w:val="32"/>
          <w:szCs w:val="32"/>
          <w:lang w:val="en-US" w:eastAsia="zh-CN"/>
        </w:rPr>
        <w:t>46.31</w:t>
      </w:r>
      <w:r>
        <w:rPr>
          <w:rFonts w:hint="eastAsia" w:ascii="仿宋" w:hAnsi="Times New Roman" w:eastAsia="仿宋" w:cs="仿宋"/>
          <w:color w:val="000000"/>
          <w:sz w:val="32"/>
          <w:szCs w:val="32"/>
        </w:rPr>
        <w:t xml:space="preserve"> 万元，较上年减少 </w:t>
      </w:r>
      <w:r>
        <w:rPr>
          <w:rFonts w:hint="eastAsia" w:ascii="仿宋" w:hAnsi="Times New Roman" w:eastAsia="仿宋" w:cs="仿宋"/>
          <w:color w:val="000000"/>
          <w:sz w:val="32"/>
          <w:szCs w:val="32"/>
          <w:lang w:val="en-US" w:eastAsia="zh-CN"/>
        </w:rPr>
        <w:t>0.93</w:t>
      </w:r>
      <w:r>
        <w:rPr>
          <w:rFonts w:hint="eastAsia" w:ascii="仿宋" w:hAnsi="Times New Roman" w:eastAsia="仿宋" w:cs="仿宋"/>
          <w:color w:val="000000"/>
          <w:sz w:val="32"/>
          <w:szCs w:val="32"/>
        </w:rPr>
        <w:t xml:space="preserve">  万元，下降</w:t>
      </w:r>
      <w:r>
        <w:rPr>
          <w:rFonts w:hint="eastAsia" w:ascii="仿宋" w:hAnsi="Times New Roman" w:eastAsia="仿宋" w:cs="仿宋"/>
          <w:color w:val="000000"/>
          <w:sz w:val="32"/>
          <w:szCs w:val="32"/>
          <w:lang w:val="en-US" w:eastAsia="zh-CN"/>
        </w:rPr>
        <w:t>1.97</w:t>
      </w:r>
      <w:r>
        <w:rPr>
          <w:rFonts w:hint="eastAsia" w:ascii="仿宋" w:hAnsi="Times New Roman" w:eastAsia="仿宋" w:cs="仿宋"/>
          <w:color w:val="000000"/>
          <w:sz w:val="32"/>
          <w:szCs w:val="32"/>
        </w:rPr>
        <w:t xml:space="preserve"> %，主要原因公用经费不足从中支出</w:t>
      </w:r>
      <w:r>
        <w:rPr>
          <w:rFonts w:hint="eastAsia" w:ascii="仿宋" w:hAnsi="Times New Roman" w:eastAsia="仿宋" w:cs="仿宋"/>
          <w:color w:val="000000"/>
          <w:sz w:val="32"/>
          <w:szCs w:val="32"/>
          <w:lang w:val="en-US" w:eastAsia="zh-CN"/>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度支出总计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719.68</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较上年增加</w:t>
      </w:r>
      <w:r>
        <w:rPr>
          <w:rFonts w:hint="eastAsia" w:ascii="仿宋" w:hAnsi="Times New Roman" w:eastAsia="仿宋" w:cs="仿宋"/>
          <w:color w:val="000000"/>
          <w:sz w:val="32"/>
          <w:szCs w:val="32"/>
          <w:lang w:val="en-US" w:eastAsia="zh-CN"/>
        </w:rPr>
        <w:t>93.55</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16.14</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教师工资福利提高、劳务费增加以及医疗费支出增加。</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w:t>
      </w:r>
      <w:r>
        <w:rPr>
          <w:rFonts w:hint="eastAsia" w:ascii="仿宋" w:hAnsi="Times New Roman" w:eastAsia="仿宋" w:cs="仿宋"/>
          <w:color w:val="000000"/>
          <w:sz w:val="32"/>
          <w:szCs w:val="32"/>
          <w:lang w:eastAsia="zh-CN"/>
        </w:rPr>
        <w:t>工资福利支出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502.95</w:t>
      </w:r>
      <w:r>
        <w:rPr>
          <w:rFonts w:hint="eastAsia" w:ascii="仿宋" w:hAnsi="Times New Roman" w:eastAsia="仿宋" w:cs="仿宋"/>
          <w:color w:val="000000"/>
          <w:sz w:val="32"/>
          <w:szCs w:val="32"/>
        </w:rPr>
        <w:t xml:space="preserve"> 万元，主要用于</w:t>
      </w:r>
      <w:r>
        <w:rPr>
          <w:rFonts w:hint="eastAsia" w:ascii="仿宋" w:hAnsi="Times New Roman" w:eastAsia="仿宋" w:cs="仿宋"/>
          <w:color w:val="000000"/>
          <w:sz w:val="32"/>
          <w:szCs w:val="32"/>
          <w:lang w:eastAsia="zh-CN"/>
        </w:rPr>
        <w:t>工资福利支出，</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25.82</w:t>
      </w:r>
      <w:r>
        <w:rPr>
          <w:rFonts w:hint="eastAsia" w:ascii="仿宋" w:hAnsi="Times New Roman" w:eastAsia="仿宋" w:cs="仿宋"/>
          <w:color w:val="000000"/>
          <w:sz w:val="32"/>
          <w:szCs w:val="32"/>
        </w:rPr>
        <w:t xml:space="preserve">  万元，增长 </w:t>
      </w:r>
      <w:r>
        <w:rPr>
          <w:rFonts w:hint="eastAsia" w:ascii="仿宋" w:hAnsi="Times New Roman" w:eastAsia="仿宋" w:cs="仿宋"/>
          <w:color w:val="000000"/>
          <w:sz w:val="32"/>
          <w:szCs w:val="32"/>
          <w:lang w:val="en-US" w:eastAsia="zh-CN"/>
        </w:rPr>
        <w:t>5.41</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教师工资福利提高。</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（2）</w:t>
      </w:r>
      <w:r>
        <w:rPr>
          <w:rFonts w:hint="eastAsia" w:ascii="仿宋" w:hAnsi="Times New Roman" w:eastAsia="仿宋" w:cs="仿宋"/>
          <w:color w:val="000000"/>
          <w:sz w:val="32"/>
          <w:szCs w:val="32"/>
          <w:lang w:eastAsia="zh-CN"/>
        </w:rPr>
        <w:t>商品和服务支出</w:t>
      </w:r>
      <w:r>
        <w:rPr>
          <w:rFonts w:hint="eastAsia" w:ascii="仿宋" w:hAnsi="Times New Roman" w:eastAsia="仿宋" w:cs="仿宋"/>
          <w:color w:val="000000"/>
          <w:sz w:val="32"/>
          <w:szCs w:val="32"/>
          <w:lang w:val="en-US" w:eastAsia="zh-CN"/>
        </w:rPr>
        <w:t>89.07</w:t>
      </w:r>
      <w:r>
        <w:rPr>
          <w:rFonts w:hint="eastAsia" w:ascii="仿宋" w:hAnsi="Times New Roman" w:eastAsia="仿宋" w:cs="仿宋"/>
          <w:color w:val="000000"/>
          <w:sz w:val="32"/>
          <w:szCs w:val="32"/>
        </w:rPr>
        <w:t>（类） 万元，主要用于</w:t>
      </w:r>
      <w:r>
        <w:rPr>
          <w:rFonts w:hint="eastAsia" w:ascii="仿宋" w:hAnsi="Times New Roman" w:eastAsia="仿宋" w:cs="仿宋"/>
          <w:color w:val="000000"/>
          <w:sz w:val="32"/>
          <w:szCs w:val="32"/>
          <w:lang w:eastAsia="zh-CN"/>
        </w:rPr>
        <w:t>商品和服务支出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7.93</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9.77</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劳务费支出增加。</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（3）</w:t>
      </w:r>
      <w:r>
        <w:rPr>
          <w:rFonts w:hint="eastAsia" w:ascii="仿宋" w:hAnsi="Times New Roman" w:eastAsia="仿宋" w:cs="仿宋"/>
          <w:color w:val="000000"/>
          <w:sz w:val="32"/>
          <w:szCs w:val="32"/>
          <w:lang w:eastAsia="zh-CN"/>
        </w:rPr>
        <w:t>对个人和家庭的补助支出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69.46</w:t>
      </w:r>
      <w:r>
        <w:rPr>
          <w:rFonts w:hint="eastAsia" w:ascii="仿宋" w:hAnsi="Times New Roman" w:eastAsia="仿宋" w:cs="仿宋"/>
          <w:color w:val="000000"/>
          <w:sz w:val="32"/>
          <w:szCs w:val="32"/>
        </w:rPr>
        <w:t xml:space="preserve"> 万元，主要用于</w:t>
      </w:r>
      <w:r>
        <w:rPr>
          <w:rFonts w:hint="eastAsia" w:ascii="仿宋" w:hAnsi="Times New Roman" w:eastAsia="仿宋" w:cs="仿宋"/>
          <w:color w:val="000000"/>
          <w:sz w:val="32"/>
          <w:szCs w:val="32"/>
          <w:lang w:eastAsia="zh-CN"/>
        </w:rPr>
        <w:t>对个人和家庭的补助支出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27.17</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64.34</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医疗费支出多了</w:t>
      </w:r>
      <w:r>
        <w:rPr>
          <w:rFonts w:hint="eastAsia" w:ascii="仿宋" w:hAnsi="Times New Roman" w:eastAsia="仿宋" w:cs="仿宋"/>
          <w:color w:val="000000"/>
          <w:sz w:val="32"/>
          <w:szCs w:val="32"/>
          <w:lang w:val="en-US" w:eastAsia="zh-CN"/>
        </w:rPr>
        <w:t>22.12万元。</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lang w:val="en-US" w:eastAsia="zh-CN"/>
        </w:rPr>
        <w:t>4</w:t>
      </w:r>
      <w:r>
        <w:rPr>
          <w:rFonts w:hint="eastAsia" w:ascii="仿宋" w:hAnsi="Times New Roman" w:eastAsia="仿宋" w:cs="仿宋"/>
          <w:color w:val="000000"/>
          <w:sz w:val="32"/>
          <w:szCs w:val="32"/>
          <w:lang w:eastAsia="zh-CN"/>
        </w:rPr>
        <w:t>）其他资本性支出</w:t>
      </w:r>
      <w:r>
        <w:rPr>
          <w:rFonts w:hint="eastAsia" w:ascii="仿宋" w:hAnsi="Times New Roman" w:eastAsia="仿宋" w:cs="仿宋"/>
          <w:color w:val="000000"/>
          <w:sz w:val="32"/>
          <w:szCs w:val="32"/>
          <w:lang w:val="en-US" w:eastAsia="zh-CN"/>
        </w:rPr>
        <w:t>11.88万元，主要用于专用设备购置。</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（4）结余分配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没有</w:t>
      </w:r>
      <w:r>
        <w:rPr>
          <w:rFonts w:hint="eastAsia" w:ascii="仿宋" w:hAnsi="Times New Roman" w:eastAsia="仿宋" w:cs="仿宋"/>
          <w:color w:val="000000"/>
          <w:sz w:val="32"/>
          <w:szCs w:val="32"/>
        </w:rPr>
        <w:t>结余分配</w:t>
      </w:r>
      <w:r>
        <w:rPr>
          <w:rFonts w:hint="eastAsia" w:ascii="仿宋" w:hAnsi="Times New Roman" w:eastAsia="仿宋" w:cs="仿宋"/>
          <w:color w:val="000000"/>
          <w:sz w:val="32"/>
          <w:szCs w:val="32"/>
          <w:lang w:eastAsia="zh-CN"/>
        </w:rPr>
        <w:t>。</w:t>
      </w:r>
    </w:p>
    <w:p>
      <w:pPr>
        <w:autoSpaceDE w:val="0"/>
        <w:autoSpaceDN w:val="0"/>
        <w:adjustRightInd w:val="0"/>
        <w:spacing w:line="560" w:lineRule="exact"/>
        <w:ind w:firstLine="627"/>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（5）年末结转和结余 </w:t>
      </w:r>
      <w:r>
        <w:rPr>
          <w:rFonts w:hint="eastAsia" w:ascii="仿宋" w:hAnsi="Times New Roman" w:eastAsia="仿宋" w:cs="仿宋"/>
          <w:color w:val="000000"/>
          <w:sz w:val="32"/>
          <w:szCs w:val="32"/>
          <w:lang w:val="en-US" w:eastAsia="zh-CN"/>
        </w:rPr>
        <w:t>46.31</w:t>
      </w:r>
      <w:r>
        <w:rPr>
          <w:rFonts w:hint="eastAsia" w:ascii="仿宋" w:hAnsi="Times New Roman" w:eastAsia="仿宋" w:cs="仿宋"/>
          <w:color w:val="000000"/>
          <w:sz w:val="32"/>
          <w:szCs w:val="32"/>
        </w:rPr>
        <w:t>万元</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 xml:space="preserve">较上年减少 </w:t>
      </w:r>
      <w:r>
        <w:rPr>
          <w:rFonts w:hint="eastAsia" w:ascii="仿宋" w:hAnsi="Times New Roman" w:eastAsia="仿宋" w:cs="仿宋"/>
          <w:color w:val="000000"/>
          <w:sz w:val="32"/>
          <w:szCs w:val="32"/>
          <w:lang w:val="en-US" w:eastAsia="zh-CN"/>
        </w:rPr>
        <w:t>0.93</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1.97</w:t>
      </w:r>
      <w:r>
        <w:rPr>
          <w:rFonts w:hint="eastAsia" w:ascii="仿宋" w:hAnsi="Times New Roman" w:eastAsia="仿宋" w:cs="仿宋"/>
          <w:color w:val="000000"/>
          <w:sz w:val="32"/>
          <w:szCs w:val="32"/>
        </w:rPr>
        <w:t xml:space="preserve">  %，主要原因主要原因公用经费不足从中支出</w:t>
      </w:r>
      <w:r>
        <w:rPr>
          <w:rFonts w:hint="eastAsia" w:ascii="仿宋" w:hAnsi="Times New Roman" w:eastAsia="仿宋" w:cs="仿宋"/>
          <w:color w:val="000000"/>
          <w:sz w:val="32"/>
          <w:szCs w:val="32"/>
          <w:lang w:eastAsia="zh-CN"/>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度本年收入合计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672.44</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万元，其中：财政拨款</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672.44</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100.00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；事业收入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；经营收入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；其他收入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 xml:space="preserve">0 </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度本年支出合计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673.36</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 xml:space="preserve">万元，其中：基本支出 </w:t>
      </w:r>
      <w:r>
        <w:rPr>
          <w:rFonts w:hint="eastAsia" w:ascii="仿宋" w:hAnsi="Times New Roman" w:eastAsia="仿宋" w:cs="仿宋"/>
          <w:color w:val="000000"/>
          <w:sz w:val="32"/>
          <w:szCs w:val="32"/>
          <w:lang w:val="en-US" w:eastAsia="zh-CN"/>
        </w:rPr>
        <w:t>650.98</w:t>
      </w:r>
      <w:r>
        <w:rPr>
          <w:rFonts w:hint="eastAsia" w:ascii="仿宋" w:hAnsi="Times New Roman" w:eastAsia="仿宋" w:cs="仿宋"/>
          <w:color w:val="000000"/>
          <w:sz w:val="32"/>
          <w:szCs w:val="32"/>
        </w:rPr>
        <w:t xml:space="preserve"> 万元，占</w:t>
      </w:r>
      <w:r>
        <w:rPr>
          <w:rFonts w:hint="eastAsia" w:ascii="仿宋" w:hAnsi="Times New Roman" w:eastAsia="仿宋" w:cs="仿宋"/>
          <w:color w:val="000000"/>
          <w:sz w:val="32"/>
          <w:szCs w:val="32"/>
          <w:lang w:val="en-US" w:eastAsia="zh-CN"/>
        </w:rPr>
        <w:t>96.68</w:t>
      </w:r>
      <w:r>
        <w:rPr>
          <w:rFonts w:hint="eastAsia" w:ascii="仿宋" w:hAnsi="Times New Roman" w:eastAsia="仿宋" w:cs="仿宋"/>
          <w:color w:val="000000"/>
          <w:sz w:val="32"/>
          <w:szCs w:val="32"/>
        </w:rPr>
        <w:t xml:space="preserve"> %；项目支出 </w:t>
      </w:r>
      <w:r>
        <w:rPr>
          <w:rFonts w:hint="eastAsia" w:ascii="仿宋" w:hAnsi="Times New Roman" w:eastAsia="仿宋" w:cs="仿宋"/>
          <w:color w:val="000000"/>
          <w:sz w:val="32"/>
          <w:szCs w:val="32"/>
          <w:lang w:val="en-US" w:eastAsia="zh-CN"/>
        </w:rPr>
        <w:t>22.39</w:t>
      </w:r>
      <w:r>
        <w:rPr>
          <w:rFonts w:hint="eastAsia" w:ascii="仿宋" w:hAnsi="Times New Roman" w:eastAsia="仿宋" w:cs="仿宋"/>
          <w:color w:val="000000"/>
          <w:sz w:val="32"/>
          <w:szCs w:val="32"/>
        </w:rPr>
        <w:t xml:space="preserve"> 万元，占</w:t>
      </w:r>
      <w:r>
        <w:rPr>
          <w:rFonts w:hint="eastAsia" w:ascii="仿宋" w:hAnsi="Times New Roman" w:eastAsia="仿宋" w:cs="仿宋"/>
          <w:color w:val="000000"/>
          <w:sz w:val="32"/>
          <w:szCs w:val="32"/>
          <w:lang w:val="en-US" w:eastAsia="zh-CN"/>
        </w:rPr>
        <w:t>3.32</w:t>
      </w:r>
      <w:r>
        <w:rPr>
          <w:rFonts w:hint="eastAsia" w:ascii="仿宋" w:hAnsi="Times New Roman" w:eastAsia="仿宋" w:cs="仿宋"/>
          <w:color w:val="000000"/>
          <w:sz w:val="32"/>
          <w:szCs w:val="32"/>
        </w:rPr>
        <w:t xml:space="preserve">%；经营支出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2017年度财政拨款收入总计</w:t>
      </w:r>
      <w:r>
        <w:rPr>
          <w:rFonts w:hint="eastAsia" w:ascii="仿宋" w:hAnsi="Times New Roman" w:eastAsia="仿宋" w:cs="仿宋"/>
          <w:color w:val="000000"/>
          <w:sz w:val="32"/>
          <w:szCs w:val="32"/>
          <w:lang w:val="en-US" w:eastAsia="zh-CN"/>
        </w:rPr>
        <w:t>672.44</w:t>
      </w:r>
      <w:r>
        <w:rPr>
          <w:rFonts w:hint="eastAsia" w:ascii="仿宋" w:hAnsi="Times New Roman" w:eastAsia="仿宋" w:cs="仿宋"/>
          <w:color w:val="000000"/>
          <w:sz w:val="32"/>
          <w:szCs w:val="32"/>
        </w:rPr>
        <w:t xml:space="preserve">  万元，支出总计 </w:t>
      </w:r>
      <w:r>
        <w:rPr>
          <w:rFonts w:hint="eastAsia" w:ascii="仿宋" w:hAnsi="Times New Roman" w:eastAsia="仿宋" w:cs="仿宋"/>
          <w:color w:val="000000"/>
          <w:sz w:val="32"/>
          <w:szCs w:val="32"/>
          <w:lang w:val="en-US" w:eastAsia="zh-CN"/>
        </w:rPr>
        <w:t>673.32</w:t>
      </w:r>
      <w:r>
        <w:rPr>
          <w:rFonts w:hint="eastAsia" w:ascii="仿宋" w:hAnsi="Times New Roman" w:eastAsia="仿宋" w:cs="仿宋"/>
          <w:color w:val="000000"/>
          <w:sz w:val="32"/>
          <w:szCs w:val="32"/>
        </w:rPr>
        <w:t xml:space="preserve"> 万元，与上年相比，财政拨款收、支总计各增</w:t>
      </w:r>
      <w:r>
        <w:rPr>
          <w:rFonts w:hint="eastAsia" w:ascii="仿宋" w:hAnsi="Times New Roman" w:eastAsia="仿宋" w:cs="仿宋"/>
          <w:color w:val="000000"/>
          <w:sz w:val="32"/>
          <w:szCs w:val="32"/>
          <w:lang w:val="en-US" w:eastAsia="zh-CN"/>
        </w:rPr>
        <w:t>105.61和93.55</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18.63</w:t>
      </w:r>
      <w:r>
        <w:rPr>
          <w:rFonts w:hint="eastAsia" w:ascii="仿宋" w:hAnsi="Times New Roman" w:eastAsia="仿宋" w:cs="仿宋"/>
          <w:color w:val="000000"/>
          <w:sz w:val="32"/>
          <w:szCs w:val="32"/>
        </w:rPr>
        <w:t xml:space="preserve">  %</w:t>
      </w:r>
      <w:r>
        <w:rPr>
          <w:rFonts w:hint="eastAsia" w:ascii="仿宋" w:hAnsi="Times New Roman" w:eastAsia="仿宋" w:cs="仿宋"/>
          <w:color w:val="000000"/>
          <w:sz w:val="32"/>
          <w:szCs w:val="32"/>
          <w:lang w:eastAsia="zh-CN"/>
        </w:rPr>
        <w:t>和</w:t>
      </w:r>
      <w:r>
        <w:rPr>
          <w:rFonts w:hint="eastAsia" w:ascii="仿宋" w:hAnsi="Times New Roman" w:eastAsia="仿宋" w:cs="仿宋"/>
          <w:color w:val="000000"/>
          <w:sz w:val="32"/>
          <w:szCs w:val="32"/>
          <w:lang w:val="en-US" w:eastAsia="zh-CN"/>
        </w:rPr>
        <w:t>16.14</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人员经费提高</w:t>
      </w:r>
      <w:r>
        <w:rPr>
          <w:rFonts w:hint="eastAsia" w:ascii="仿宋" w:hAnsi="Times New Roman" w:eastAsia="仿宋" w:cs="仿宋"/>
          <w:color w:val="000000"/>
          <w:sz w:val="32"/>
          <w:szCs w:val="32"/>
        </w:rPr>
        <w:t>。</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 xml:space="preserve">度部门决算一般公共预算财政拨款支出决算 </w:t>
      </w:r>
      <w:r>
        <w:rPr>
          <w:rFonts w:hint="eastAsia" w:ascii="仿宋" w:hAnsi="Times New Roman" w:eastAsia="仿宋" w:cs="仿宋"/>
          <w:color w:val="000000"/>
          <w:sz w:val="32"/>
          <w:szCs w:val="32"/>
          <w:lang w:val="en-US" w:eastAsia="zh-CN"/>
        </w:rPr>
        <w:t>673.32</w:t>
      </w:r>
      <w:r>
        <w:rPr>
          <w:rFonts w:hint="eastAsia" w:ascii="仿宋" w:hAnsi="Times New Roman" w:eastAsia="仿宋" w:cs="仿宋"/>
          <w:color w:val="000000"/>
          <w:sz w:val="32"/>
          <w:szCs w:val="32"/>
        </w:rPr>
        <w:t xml:space="preserve"> 万元，比年初预算增加 </w:t>
      </w:r>
      <w:r>
        <w:rPr>
          <w:rFonts w:hint="eastAsia" w:ascii="仿宋" w:hAnsi="Times New Roman" w:eastAsia="仿宋" w:cs="仿宋"/>
          <w:color w:val="000000"/>
          <w:sz w:val="32"/>
          <w:szCs w:val="32"/>
          <w:lang w:val="en-US" w:eastAsia="zh-CN"/>
        </w:rPr>
        <w:t>50.02</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8.03</w:t>
      </w:r>
      <w:r>
        <w:rPr>
          <w:rFonts w:hint="eastAsia" w:ascii="仿宋" w:hAnsi="Times New Roman" w:eastAsia="仿宋" w:cs="仿宋"/>
          <w:color w:val="000000"/>
          <w:sz w:val="32"/>
          <w:szCs w:val="32"/>
        </w:rPr>
        <w:t xml:space="preserve"> %。具体情况如下：</w:t>
      </w:r>
    </w:p>
    <w:p>
      <w:pPr>
        <w:numPr>
          <w:numId w:val="0"/>
        </w:num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1、教育支出（类）普通教育（款）小学教育（项）基本支出661.48万元，比年初预算增加38.54万元，增加6.18</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，主要是财政拨款增加。</w:t>
      </w:r>
    </w:p>
    <w:p>
      <w:pPr>
        <w:numPr>
          <w:numId w:val="0"/>
        </w:num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2、教育支出（类）普通教育（款）小学教育（项）项目支出11.88万元，比年初预算增加了11.88万元，主要是年中增加项目支出，财政加大投入。</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2017年度度一般公共预算财政拨款基本支出  </w:t>
      </w:r>
      <w:r>
        <w:rPr>
          <w:rFonts w:hint="eastAsia" w:ascii="仿宋" w:hAnsi="Times New Roman" w:eastAsia="仿宋" w:cs="仿宋"/>
          <w:color w:val="000000"/>
          <w:sz w:val="32"/>
          <w:szCs w:val="32"/>
          <w:lang w:val="en-US" w:eastAsia="zh-CN"/>
        </w:rPr>
        <w:t>650.94</w:t>
      </w:r>
      <w:r>
        <w:rPr>
          <w:rFonts w:hint="eastAsia" w:ascii="仿宋" w:hAnsi="Times New Roman" w:eastAsia="仿宋" w:cs="仿宋"/>
          <w:color w:val="000000"/>
          <w:sz w:val="32"/>
          <w:szCs w:val="32"/>
        </w:rPr>
        <w:t xml:space="preserve"> 万元。其中：人员经费 </w:t>
      </w:r>
      <w:r>
        <w:rPr>
          <w:rFonts w:hint="eastAsia" w:ascii="仿宋" w:hAnsi="Times New Roman" w:eastAsia="仿宋" w:cs="仿宋"/>
          <w:color w:val="000000"/>
          <w:sz w:val="32"/>
          <w:szCs w:val="32"/>
          <w:lang w:val="en-US" w:eastAsia="zh-CN"/>
        </w:rPr>
        <w:t>572.17</w:t>
      </w:r>
      <w:r>
        <w:rPr>
          <w:rFonts w:hint="eastAsia" w:ascii="仿宋" w:hAnsi="Times New Roman" w:eastAsia="仿宋" w:cs="仿宋"/>
          <w:color w:val="000000"/>
          <w:sz w:val="32"/>
          <w:szCs w:val="32"/>
        </w:rPr>
        <w:t xml:space="preserve"> 万元；公用经费 </w:t>
      </w:r>
      <w:r>
        <w:rPr>
          <w:rFonts w:hint="eastAsia" w:ascii="仿宋" w:hAnsi="Times New Roman" w:eastAsia="仿宋" w:cs="仿宋"/>
          <w:color w:val="000000"/>
          <w:sz w:val="32"/>
          <w:szCs w:val="32"/>
          <w:lang w:val="en-US" w:eastAsia="zh-CN"/>
        </w:rPr>
        <w:t>78.77</w:t>
      </w:r>
      <w:r>
        <w:rPr>
          <w:rFonts w:hint="eastAsia" w:ascii="仿宋" w:hAnsi="Times New Roman" w:eastAsia="仿宋" w:cs="仿宋"/>
          <w:color w:val="000000"/>
          <w:sz w:val="32"/>
          <w:szCs w:val="32"/>
        </w:rPr>
        <w:t xml:space="preserve"> 万元。</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 xml:space="preserve">年度政府性基金预算年初结转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万元，本年收入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万元，本年支出</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万元，年末结转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万元。支出具体情况如下：</w:t>
      </w:r>
    </w:p>
    <w:p>
      <w:pPr>
        <w:numPr>
          <w:ilvl w:val="0"/>
          <w:numId w:val="1"/>
        </w:numPr>
        <w:autoSpaceDE w:val="0"/>
        <w:autoSpaceDN w:val="0"/>
        <w:adjustRightInd w:val="0"/>
        <w:spacing w:line="560" w:lineRule="exact"/>
        <w:ind w:firstLine="48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一般公共预算</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kern w:val="0"/>
          <w:sz w:val="32"/>
          <w:szCs w:val="32"/>
          <w:highlight w:val="none"/>
        </w:rPr>
        <w:t xml:space="preserve">2017年度一般公共预算财政拨款“三公”经费支出  </w:t>
      </w:r>
      <w:r>
        <w:rPr>
          <w:rFonts w:hint="eastAsia" w:ascii="仿宋" w:hAnsi="Times New Roman" w:eastAsia="仿宋" w:cs="仿宋"/>
          <w:color w:val="000000"/>
          <w:kern w:val="0"/>
          <w:sz w:val="32"/>
          <w:szCs w:val="32"/>
          <w:highlight w:val="none"/>
          <w:lang w:val="en-US" w:eastAsia="zh-CN"/>
        </w:rPr>
        <w:t>0</w:t>
      </w:r>
      <w:r>
        <w:rPr>
          <w:rFonts w:hint="eastAsia" w:ascii="仿宋" w:hAnsi="Times New Roman" w:eastAsia="仿宋" w:cs="仿宋"/>
          <w:color w:val="000000"/>
          <w:kern w:val="0"/>
          <w:sz w:val="32"/>
          <w:szCs w:val="32"/>
          <w:highlight w:val="none"/>
        </w:rPr>
        <w:t xml:space="preserve">  万元，比年初预算增加</w:t>
      </w:r>
      <w:r>
        <w:rPr>
          <w:rFonts w:hint="eastAsia" w:ascii="仿宋" w:hAnsi="Times New Roman" w:eastAsia="仿宋" w:cs="仿宋"/>
          <w:color w:val="000000"/>
          <w:kern w:val="0"/>
          <w:sz w:val="32"/>
          <w:szCs w:val="32"/>
          <w:highlight w:val="none"/>
          <w:lang w:val="en-US" w:eastAsia="zh-CN"/>
        </w:rPr>
        <w:t>0</w:t>
      </w:r>
      <w:r>
        <w:rPr>
          <w:rFonts w:hint="eastAsia" w:ascii="仿宋" w:hAnsi="Times New Roman" w:eastAsia="仿宋" w:cs="仿宋"/>
          <w:color w:val="000000"/>
          <w:kern w:val="0"/>
          <w:sz w:val="32"/>
          <w:szCs w:val="32"/>
          <w:highlight w:val="none"/>
        </w:rPr>
        <w:t>万元，增长</w:t>
      </w:r>
      <w:r>
        <w:rPr>
          <w:rFonts w:hint="eastAsia" w:ascii="仿宋" w:hAnsi="Times New Roman" w:eastAsia="仿宋" w:cs="仿宋"/>
          <w:color w:val="000000"/>
          <w:kern w:val="0"/>
          <w:sz w:val="32"/>
          <w:szCs w:val="32"/>
          <w:highlight w:val="none"/>
          <w:lang w:val="en-US" w:eastAsia="zh-CN"/>
        </w:rPr>
        <w:t>0</w:t>
      </w:r>
      <w:r>
        <w:rPr>
          <w:rFonts w:hint="eastAsia" w:ascii="仿宋" w:hAnsi="Times New Roman" w:eastAsia="仿宋" w:cs="仿宋"/>
          <w:color w:val="000000"/>
          <w:kern w:val="0"/>
          <w:sz w:val="32"/>
          <w:szCs w:val="32"/>
          <w:highlight w:val="none"/>
        </w:rPr>
        <w:t xml:space="preserve"> %，主要原因是</w:t>
      </w:r>
      <w:r>
        <w:rPr>
          <w:rFonts w:hint="eastAsia" w:ascii="仿宋" w:hAnsi="Times New Roman" w:eastAsia="仿宋" w:cs="仿宋"/>
          <w:color w:val="000000"/>
          <w:kern w:val="0"/>
          <w:sz w:val="32"/>
          <w:szCs w:val="32"/>
          <w:highlight w:val="none"/>
          <w:lang w:eastAsia="zh-CN"/>
        </w:rPr>
        <w:t>我单位没有</w:t>
      </w:r>
      <w:r>
        <w:rPr>
          <w:rFonts w:hint="eastAsia" w:ascii="仿宋" w:hAnsi="Times New Roman" w:eastAsia="仿宋" w:cs="仿宋"/>
          <w:color w:val="000000"/>
          <w:sz w:val="32"/>
          <w:szCs w:val="32"/>
        </w:rPr>
        <w:t>因公出国（境）</w:t>
      </w:r>
      <w:r>
        <w:rPr>
          <w:rFonts w:hint="eastAsia" w:ascii="仿宋" w:hAnsi="Times New Roman" w:eastAsia="仿宋" w:cs="仿宋"/>
          <w:color w:val="000000"/>
          <w:sz w:val="32"/>
          <w:szCs w:val="32"/>
          <w:lang w:eastAsia="zh-CN"/>
        </w:rPr>
        <w:t>、</w:t>
      </w:r>
      <w:r>
        <w:rPr>
          <w:rFonts w:hint="eastAsia" w:ascii="仿宋" w:hAnsi="Times New Roman" w:eastAsia="仿宋" w:cs="仿宋"/>
          <w:sz w:val="32"/>
          <w:szCs w:val="32"/>
        </w:rPr>
        <w:t>公务接待</w:t>
      </w:r>
      <w:r>
        <w:rPr>
          <w:rFonts w:hint="eastAsia" w:ascii="仿宋" w:hAnsi="Times New Roman" w:eastAsia="仿宋" w:cs="仿宋"/>
          <w:color w:val="000000"/>
          <w:sz w:val="32"/>
          <w:szCs w:val="32"/>
          <w:lang w:eastAsia="zh-CN"/>
        </w:rPr>
        <w:t>和</w:t>
      </w:r>
      <w:r>
        <w:rPr>
          <w:rFonts w:hint="eastAsia" w:ascii="仿宋" w:hAnsi="Times New Roman" w:eastAsia="仿宋" w:cs="仿宋"/>
          <w:kern w:val="0"/>
          <w:sz w:val="32"/>
          <w:szCs w:val="32"/>
        </w:rPr>
        <w:t>公务用车购置及运行维护费</w:t>
      </w:r>
      <w:r>
        <w:rPr>
          <w:rFonts w:hint="eastAsia" w:ascii="仿宋" w:hAnsi="Times New Roman" w:eastAsia="仿宋" w:cs="仿宋"/>
          <w:color w:val="000000"/>
          <w:kern w:val="0"/>
          <w:sz w:val="32"/>
          <w:szCs w:val="32"/>
          <w:highlight w:val="none"/>
        </w:rPr>
        <w:t>；比上年决算数增加</w:t>
      </w:r>
      <w:r>
        <w:rPr>
          <w:rFonts w:hint="eastAsia" w:ascii="仿宋" w:hAnsi="Times New Roman" w:eastAsia="仿宋" w:cs="仿宋"/>
          <w:color w:val="000000"/>
          <w:kern w:val="0"/>
          <w:sz w:val="32"/>
          <w:szCs w:val="32"/>
          <w:highlight w:val="none"/>
          <w:lang w:val="en-US" w:eastAsia="zh-CN"/>
        </w:rPr>
        <w:t>0</w:t>
      </w:r>
      <w:r>
        <w:rPr>
          <w:rFonts w:hint="eastAsia" w:ascii="仿宋" w:hAnsi="Times New Roman" w:eastAsia="仿宋" w:cs="仿宋"/>
          <w:color w:val="000000"/>
          <w:kern w:val="0"/>
          <w:sz w:val="32"/>
          <w:szCs w:val="32"/>
          <w:highlight w:val="none"/>
        </w:rPr>
        <w:t>万元，增长</w:t>
      </w:r>
      <w:r>
        <w:rPr>
          <w:rFonts w:hint="eastAsia" w:ascii="仿宋" w:hAnsi="Times New Roman" w:eastAsia="仿宋" w:cs="仿宋"/>
          <w:color w:val="000000"/>
          <w:kern w:val="0"/>
          <w:sz w:val="32"/>
          <w:szCs w:val="32"/>
          <w:highlight w:val="none"/>
          <w:lang w:val="en-US" w:eastAsia="zh-CN"/>
        </w:rPr>
        <w:t>0</w:t>
      </w:r>
      <w:r>
        <w:rPr>
          <w:rFonts w:hint="eastAsia" w:ascii="仿宋" w:hAnsi="Times New Roman" w:eastAsia="仿宋" w:cs="仿宋"/>
          <w:color w:val="000000"/>
          <w:kern w:val="0"/>
          <w:sz w:val="32"/>
          <w:szCs w:val="32"/>
          <w:highlight w:val="none"/>
        </w:rPr>
        <w:t xml:space="preserve"> %，主要原因是</w:t>
      </w:r>
      <w:r>
        <w:rPr>
          <w:rFonts w:hint="eastAsia" w:ascii="仿宋" w:hAnsi="Times New Roman" w:eastAsia="仿宋" w:cs="仿宋"/>
          <w:color w:val="000000"/>
          <w:kern w:val="0"/>
          <w:sz w:val="32"/>
          <w:szCs w:val="32"/>
          <w:highlight w:val="none"/>
          <w:lang w:eastAsia="zh-CN"/>
        </w:rPr>
        <w:t>我单位没有</w:t>
      </w:r>
      <w:r>
        <w:rPr>
          <w:rFonts w:hint="eastAsia" w:ascii="仿宋" w:hAnsi="Times New Roman" w:eastAsia="仿宋" w:cs="仿宋"/>
          <w:color w:val="000000"/>
          <w:sz w:val="32"/>
          <w:szCs w:val="32"/>
        </w:rPr>
        <w:t>因公出国（境）</w:t>
      </w:r>
      <w:r>
        <w:rPr>
          <w:rFonts w:hint="eastAsia" w:ascii="仿宋" w:hAnsi="Times New Roman" w:eastAsia="仿宋" w:cs="仿宋"/>
          <w:color w:val="000000"/>
          <w:sz w:val="32"/>
          <w:szCs w:val="32"/>
          <w:lang w:eastAsia="zh-CN"/>
        </w:rPr>
        <w:t>、</w:t>
      </w:r>
      <w:r>
        <w:rPr>
          <w:rFonts w:hint="eastAsia" w:ascii="仿宋" w:hAnsi="Times New Roman" w:eastAsia="仿宋" w:cs="仿宋"/>
          <w:sz w:val="32"/>
          <w:szCs w:val="32"/>
        </w:rPr>
        <w:t>公务接待</w:t>
      </w:r>
      <w:r>
        <w:rPr>
          <w:rFonts w:hint="eastAsia" w:ascii="仿宋" w:hAnsi="Times New Roman" w:eastAsia="仿宋" w:cs="仿宋"/>
          <w:color w:val="000000"/>
          <w:sz w:val="32"/>
          <w:szCs w:val="32"/>
          <w:lang w:eastAsia="zh-CN"/>
        </w:rPr>
        <w:t>和</w:t>
      </w:r>
      <w:r>
        <w:rPr>
          <w:rFonts w:hint="eastAsia" w:ascii="仿宋" w:hAnsi="Times New Roman" w:eastAsia="仿宋" w:cs="仿宋"/>
          <w:kern w:val="0"/>
          <w:sz w:val="32"/>
          <w:szCs w:val="32"/>
        </w:rPr>
        <w:t>公务用车购置及运行维护费</w:t>
      </w:r>
      <w:r>
        <w:rPr>
          <w:rFonts w:hint="eastAsia" w:ascii="仿宋" w:hAnsi="Times New Roman" w:eastAsia="仿宋" w:cs="仿宋"/>
          <w:color w:val="000000"/>
          <w:kern w:val="0"/>
          <w:sz w:val="32"/>
          <w:szCs w:val="32"/>
          <w:highlight w:val="none"/>
        </w:rPr>
        <w:t>。</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度一般公共预算财政拨款因公出国（境）支出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主要用于机关及下属预算单位人员等公务出国（境）的住宿费、国际旅费、培训费、公杂费等支出。本部门全年组织因公出国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2017年</w:t>
      </w:r>
      <w:r>
        <w:rPr>
          <w:rFonts w:hint="eastAsia" w:ascii="仿宋" w:hAnsi="Times New Roman" w:eastAsia="仿宋" w:cs="仿宋"/>
          <w:sz w:val="32"/>
          <w:szCs w:val="32"/>
        </w:rPr>
        <w:t>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2"/>
          <w:szCs w:val="32"/>
        </w:rPr>
        <w:t>万元，比年初预算增加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w:t>
      </w:r>
      <w:r>
        <w:rPr>
          <w:rFonts w:hint="eastAsia" w:ascii="仿宋" w:hAnsi="Times New Roman" w:eastAsia="仿宋" w:cs="仿宋"/>
          <w:kern w:val="0"/>
          <w:sz w:val="32"/>
          <w:szCs w:val="32"/>
        </w:rPr>
        <w:t>其中，本部门国内公务接待</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人次，支出</w:t>
      </w:r>
      <w:r>
        <w:rPr>
          <w:rFonts w:ascii="仿宋" w:hAnsi="Times New Roman" w:eastAsia="仿宋" w:cs="仿宋"/>
          <w:kern w:val="0"/>
          <w:sz w:val="32"/>
          <w:szCs w:val="32"/>
        </w:rPr>
        <w:t xml:space="preserve"> </w:t>
      </w:r>
      <w:r>
        <w:rPr>
          <w:rFonts w:hint="eastAsia" w:ascii="仿宋" w:hAnsi="Times New Roman" w:eastAsia="仿宋" w:cs="仿宋"/>
          <w:kern w:val="0"/>
          <w:sz w:val="32"/>
          <w:szCs w:val="32"/>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万元；国（境）外事接待</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人次，支出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万元，增长</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万元（含购置税等附加费用），主要用于经批准购置的</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辆公务用车。</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万元，主要用于公务用车燃料费、维修费、过路过桥费、保险费、安全奖励费用等支出。</w:t>
      </w:r>
      <w:r>
        <w:rPr>
          <w:rFonts w:ascii="仿宋" w:hAnsi="Times New Roman" w:eastAsia="仿宋" w:cs="仿宋"/>
          <w:kern w:val="0"/>
          <w:sz w:val="32"/>
          <w:szCs w:val="32"/>
        </w:rPr>
        <w:t>2017年</w:t>
      </w:r>
      <w:r>
        <w:rPr>
          <w:rFonts w:hint="eastAsia" w:ascii="仿宋" w:hAnsi="Times New Roman" w:eastAsia="仿宋" w:cs="仿宋"/>
          <w:kern w:val="0"/>
          <w:sz w:val="32"/>
          <w:szCs w:val="32"/>
        </w:rPr>
        <w:t>度，本级及所属单位使用一般公共预算资金开支费用的</w:t>
      </w:r>
      <w:r>
        <w:rPr>
          <w:rFonts w:hint="eastAsia" w:ascii="仿宋" w:hAnsi="Times New Roman" w:eastAsia="仿宋" w:cs="仿宋"/>
          <w:sz w:val="32"/>
          <w:szCs w:val="32"/>
          <w:lang w:val="zh-CN"/>
        </w:rPr>
        <w:t>公务用车保有量为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kern w:val="0"/>
          <w:sz w:val="32"/>
          <w:szCs w:val="32"/>
        </w:rPr>
        <w:t>2017</w:t>
      </w:r>
      <w:r>
        <w:rPr>
          <w:rFonts w:hint="eastAsia" w:ascii="仿宋" w:hAnsi="Times New Roman" w:eastAsia="仿宋" w:cs="仿宋"/>
          <w:kern w:val="0"/>
          <w:sz w:val="32"/>
          <w:szCs w:val="32"/>
          <w:lang w:eastAsia="zh-CN"/>
        </w:rPr>
        <w:t>年度，</w:t>
      </w:r>
      <w:r>
        <w:rPr>
          <w:rFonts w:hint="eastAsia" w:ascii="仿宋" w:eastAsia="仿宋" w:cs="仿宋"/>
          <w:kern w:val="0"/>
          <w:sz w:val="32"/>
          <w:szCs w:val="32"/>
          <w:lang w:eastAsia="zh-CN"/>
        </w:rPr>
        <w:t>我校</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w:t>
      </w:r>
      <w:r>
        <w:rPr>
          <w:rFonts w:hint="eastAsia" w:ascii="仿宋" w:hAnsi="Times New Roman" w:eastAsia="仿宋" w:cs="仿宋"/>
          <w:color w:val="000000"/>
          <w:sz w:val="32"/>
          <w:szCs w:val="32"/>
          <w:lang w:val="en-US" w:eastAsia="zh-CN"/>
        </w:rPr>
        <w:t>89.07</w:t>
      </w:r>
      <w:r>
        <w:rPr>
          <w:rFonts w:hint="eastAsia" w:ascii="仿宋" w:hAnsi="Times New Roman" w:eastAsia="仿宋" w:cs="仿宋"/>
          <w:kern w:val="0"/>
          <w:sz w:val="32"/>
          <w:szCs w:val="32"/>
        </w:rPr>
        <w:t xml:space="preserve">  万元，比上年增加</w:t>
      </w:r>
      <w:r>
        <w:rPr>
          <w:rFonts w:hint="eastAsia" w:ascii="仿宋" w:hAnsi="Times New Roman" w:eastAsia="仿宋" w:cs="仿宋"/>
          <w:color w:val="000000"/>
          <w:sz w:val="32"/>
          <w:szCs w:val="32"/>
          <w:lang w:val="en-US" w:eastAsia="zh-CN"/>
        </w:rPr>
        <w:t>7.93</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9.77</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劳务费支出增加。</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hint="eastAsia" w:ascii="仿宋" w:eastAsia="仿宋" w:cs="仿宋"/>
          <w:kern w:val="0"/>
          <w:sz w:val="32"/>
          <w:szCs w:val="32"/>
          <w:lang w:eastAsia="zh-CN"/>
        </w:rPr>
        <w:t>灵南小学政府采购金额共</w:t>
      </w:r>
      <w:r>
        <w:rPr>
          <w:rFonts w:hint="eastAsia" w:ascii="仿宋" w:eastAsia="仿宋" w:cs="仿宋"/>
          <w:kern w:val="0"/>
          <w:sz w:val="32"/>
          <w:szCs w:val="32"/>
          <w:lang w:val="en-US" w:eastAsia="zh-CN"/>
        </w:rPr>
        <w:t>11.88万元，由瓯江口社会事务局统一采购11.88万元。</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 xml:space="preserve">政府采购预算   0万元，采购支出总额  0万元。其中：货物采购支出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万元；工程采购支出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万元；服务采购支出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万元。授予中小企业合同金额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万元，占政府采购支出总额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%,其中：授予小微企业合同金额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万元，占政府采购支出总额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截止2017年底，</w:t>
      </w:r>
      <w:r>
        <w:rPr>
          <w:rFonts w:hint="eastAsia" w:ascii="仿宋" w:eastAsia="仿宋" w:cs="仿宋"/>
          <w:kern w:val="0"/>
          <w:sz w:val="32"/>
          <w:szCs w:val="32"/>
          <w:lang w:eastAsia="zh-CN"/>
        </w:rPr>
        <w:t>灵南小学</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 xml:space="preserve">资产合计   </w:t>
      </w:r>
      <w:r>
        <w:rPr>
          <w:rFonts w:hint="eastAsia" w:ascii="仿宋" w:hAnsi="Times New Roman" w:eastAsia="仿宋" w:cs="仿宋"/>
          <w:kern w:val="0"/>
          <w:sz w:val="32"/>
          <w:szCs w:val="32"/>
          <w:lang w:val="en-US" w:eastAsia="zh-CN"/>
        </w:rPr>
        <w:t>847.91</w:t>
      </w:r>
      <w:r>
        <w:rPr>
          <w:rFonts w:hint="eastAsia" w:ascii="仿宋" w:hAnsi="Times New Roman" w:eastAsia="仿宋" w:cs="仿宋"/>
          <w:kern w:val="0"/>
          <w:sz w:val="32"/>
          <w:szCs w:val="32"/>
        </w:rPr>
        <w:t xml:space="preserve">万元，比上年增长 </w:t>
      </w:r>
      <w:r>
        <w:rPr>
          <w:rFonts w:hint="eastAsia" w:ascii="仿宋" w:hAnsi="Times New Roman" w:eastAsia="仿宋" w:cs="仿宋"/>
          <w:kern w:val="0"/>
          <w:sz w:val="32"/>
          <w:szCs w:val="32"/>
          <w:lang w:val="en-US" w:eastAsia="zh-CN"/>
        </w:rPr>
        <w:t>2.56</w:t>
      </w:r>
      <w:r>
        <w:rPr>
          <w:rFonts w:hint="eastAsia" w:ascii="仿宋" w:hAnsi="Times New Roman" w:eastAsia="仿宋" w:cs="仿宋"/>
          <w:kern w:val="0"/>
          <w:sz w:val="32"/>
          <w:szCs w:val="32"/>
        </w:rPr>
        <w:t xml:space="preserve">   %。其中：流动资产</w:t>
      </w:r>
      <w:r>
        <w:rPr>
          <w:rFonts w:hint="eastAsia" w:ascii="仿宋" w:hAnsi="Times New Roman" w:eastAsia="仿宋" w:cs="仿宋"/>
          <w:kern w:val="0"/>
          <w:sz w:val="32"/>
          <w:szCs w:val="32"/>
          <w:lang w:val="en-US" w:eastAsia="zh-CN"/>
        </w:rPr>
        <w:t>58.85</w:t>
      </w:r>
      <w:r>
        <w:rPr>
          <w:rFonts w:hint="eastAsia" w:ascii="仿宋" w:hAnsi="Times New Roman" w:eastAsia="仿宋" w:cs="仿宋"/>
          <w:kern w:val="0"/>
          <w:sz w:val="32"/>
          <w:szCs w:val="32"/>
        </w:rPr>
        <w:t xml:space="preserve">万元，占总资产的 </w:t>
      </w:r>
      <w:r>
        <w:rPr>
          <w:rFonts w:hint="eastAsia" w:ascii="仿宋" w:hAnsi="Times New Roman" w:eastAsia="仿宋" w:cs="仿宋"/>
          <w:kern w:val="0"/>
          <w:sz w:val="32"/>
          <w:szCs w:val="32"/>
          <w:lang w:val="en-US" w:eastAsia="zh-CN"/>
        </w:rPr>
        <w:t>6.94</w:t>
      </w:r>
      <w:r>
        <w:rPr>
          <w:rFonts w:hint="eastAsia" w:ascii="仿宋" w:hAnsi="Times New Roman" w:eastAsia="仿宋" w:cs="仿宋"/>
          <w:kern w:val="0"/>
          <w:sz w:val="32"/>
          <w:szCs w:val="32"/>
        </w:rPr>
        <w:t xml:space="preserve"> %；固定资产 </w:t>
      </w:r>
      <w:r>
        <w:rPr>
          <w:rFonts w:hint="eastAsia" w:ascii="仿宋" w:hAnsi="Times New Roman" w:eastAsia="仿宋" w:cs="仿宋"/>
          <w:kern w:val="0"/>
          <w:sz w:val="32"/>
          <w:szCs w:val="32"/>
          <w:lang w:val="en-US" w:eastAsia="zh-CN"/>
        </w:rPr>
        <w:t>533.06</w:t>
      </w:r>
      <w:r>
        <w:rPr>
          <w:rFonts w:hint="eastAsia" w:ascii="仿宋" w:hAnsi="Times New Roman" w:eastAsia="仿宋" w:cs="仿宋"/>
          <w:kern w:val="0"/>
          <w:sz w:val="32"/>
          <w:szCs w:val="32"/>
        </w:rPr>
        <w:t xml:space="preserve"> 万元，占总资产的</w:t>
      </w:r>
      <w:r>
        <w:rPr>
          <w:rFonts w:hint="eastAsia" w:ascii="仿宋" w:hAnsi="Times New Roman" w:eastAsia="仿宋" w:cs="仿宋"/>
          <w:kern w:val="0"/>
          <w:sz w:val="32"/>
          <w:szCs w:val="32"/>
          <w:lang w:val="en-US" w:eastAsia="zh-CN"/>
        </w:rPr>
        <w:t>62.87</w:t>
      </w:r>
      <w:r>
        <w:rPr>
          <w:rFonts w:hint="eastAsia" w:ascii="仿宋" w:hAnsi="Times New Roman" w:eastAsia="仿宋" w:cs="仿宋"/>
          <w:kern w:val="0"/>
          <w:sz w:val="32"/>
          <w:szCs w:val="32"/>
        </w:rPr>
        <w:t xml:space="preserve">  %；在建工程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万元，占总资产的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%。固定资产含：车辆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辆，其中:一般公务用车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辆、一般执法执勤用车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辆、特种专业技术用车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辆、其他用车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辆；单位价值50万元（含）以上通用设备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套（台）; 单位价值100万元（含）以上专用设备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套（台）。</w:t>
      </w:r>
    </w:p>
    <w:p>
      <w:pPr>
        <w:numPr>
          <w:ilvl w:val="0"/>
          <w:numId w:val="2"/>
        </w:num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绩效评价结果情况</w:t>
      </w:r>
    </w:p>
    <w:p>
      <w:pPr>
        <w:numPr>
          <w:numId w:val="0"/>
        </w:num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2017年度本部门由财政部门组织开展的绩效评价项目0个</w:t>
      </w:r>
    </w:p>
    <w:p>
      <w:pPr>
        <w:autoSpaceDE w:val="0"/>
        <w:autoSpaceDN w:val="0"/>
        <w:adjustRightInd w:val="0"/>
        <w:spacing w:line="54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(1)部门开展的绩效自评情况。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根据预算管理要求，本部门组织对2017年度一般公共预算项目支出开展了绩效自评，自评项目</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3</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 xml:space="preserve">个，共涉及资金  </w:t>
      </w:r>
      <w:r>
        <w:rPr>
          <w:rFonts w:hint="eastAsia" w:ascii="仿宋" w:hAnsi="Times New Roman" w:eastAsia="仿宋" w:cs="仿宋"/>
          <w:kern w:val="0"/>
          <w:sz w:val="32"/>
          <w:szCs w:val="32"/>
          <w:lang w:val="en-US" w:eastAsia="zh-CN"/>
        </w:rPr>
        <w:t>22.39</w:t>
      </w:r>
      <w:r>
        <w:rPr>
          <w:rFonts w:hint="eastAsia" w:ascii="仿宋" w:hAnsi="Times New Roman" w:eastAsia="仿宋" w:cs="仿宋"/>
          <w:kern w:val="0"/>
          <w:sz w:val="32"/>
          <w:szCs w:val="32"/>
        </w:rPr>
        <w:t xml:space="preserve">  万元，占项目支出预算总额的  </w:t>
      </w:r>
      <w:r>
        <w:rPr>
          <w:rFonts w:hint="eastAsia" w:ascii="仿宋" w:hAnsi="Times New Roman" w:eastAsia="仿宋" w:cs="仿宋"/>
          <w:kern w:val="0"/>
          <w:sz w:val="32"/>
          <w:szCs w:val="32"/>
          <w:lang w:val="en-US" w:eastAsia="zh-CN"/>
        </w:rPr>
        <w:t>100.00</w:t>
      </w:r>
      <w:r>
        <w:rPr>
          <w:rFonts w:hint="eastAsia" w:ascii="仿宋" w:hAnsi="Times New Roman" w:eastAsia="仿宋" w:cs="仿宋"/>
          <w:kern w:val="0"/>
          <w:sz w:val="32"/>
          <w:szCs w:val="32"/>
        </w:rPr>
        <w:t xml:space="preserve">  %。绩效评价结果显示，自评结果为优秀</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2</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个，良好</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个，一般</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个，较差</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个。(2)财政部门组织开展的绩效评价情况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ascii="仿宋" w:hAnsi="Times New Roman" w:eastAsia="仿宋" w:cs="仿宋"/>
          <w:kern w:val="0"/>
          <w:sz w:val="32"/>
          <w:szCs w:val="32"/>
        </w:rPr>
        <w:t>2017年度</w:t>
      </w:r>
      <w:r>
        <w:rPr>
          <w:rFonts w:hint="eastAsia" w:ascii="仿宋" w:hAnsi="Times New Roman" w:eastAsia="仿宋" w:cs="仿宋"/>
          <w:kern w:val="0"/>
          <w:sz w:val="32"/>
          <w:szCs w:val="32"/>
        </w:rPr>
        <w:t>财政部门没有组织开展项目</w:t>
      </w:r>
      <w:r>
        <w:rPr>
          <w:rFonts w:ascii="仿宋" w:hAnsi="Times New Roman" w:eastAsia="仿宋" w:cs="仿宋"/>
          <w:kern w:val="0"/>
          <w:sz w:val="32"/>
          <w:szCs w:val="32"/>
        </w:rPr>
        <w:t>绩效评价</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1.财政拨款收入：从同级财政部门取得的财政拨款，包括一般公共预算财政拨款和政府性基金预算财政拨款。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6.年初结转和结余：预算单位以前年度尚未完成、结转到本年按有关规定继续使用的资金。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hint="eastAsia" w:ascii="仿宋_GB2312" w:hAnsi="仿宋_GB2312" w:eastAsia="仿宋_GB2312"/>
          <w:sz w:val="32"/>
        </w:rPr>
        <w:t>8.年末结转和结余：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hint="eastAsia" w:ascii="仿宋_GB2312" w:hAnsi="仿宋_GB2312" w:eastAsia="仿宋_GB2312"/>
          <w:sz w:val="32"/>
        </w:rPr>
        <w:t xml:space="preserve">   9.基本支出：是预算单位为保障其正常运转，完成日常工作任务所发生的支出，包括人员支出和日常公用支出。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10.项目支出：是预算单位为完成其特定的行政工作任务或事业发展目标，在基本支出之外发生的各项支出。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14.公务用车购置：反映公务用车购置支出（含车辆购置税、牌照费）。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21.</w:t>
      </w:r>
      <w:r>
        <w:rPr>
          <w:rFonts w:hint="eastAsia"/>
        </w:rPr>
        <w:t xml:space="preserve">  </w:t>
      </w:r>
      <w:r>
        <w:rPr>
          <w:rFonts w:ascii="仿宋" w:eastAsia="仿宋" w:cs="仿宋"/>
          <w:color w:val="000000"/>
          <w:sz w:val="32"/>
          <w:szCs w:val="32"/>
        </w:rPr>
        <w:t>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p>
      <w:pPr>
        <w:ind w:firstLine="645"/>
        <w:rPr>
          <w:rFonts w:ascii="黑体" w:hAnsi="Times New Roman" w:eastAsia="黑体" w:cs="黑体"/>
          <w:color w:val="000000"/>
          <w:sz w:val="32"/>
          <w:szCs w:val="32"/>
        </w:rPr>
      </w:pPr>
      <w:r>
        <w:rPr>
          <w:rFonts w:hint="eastAsia" w:ascii="仿宋_GB2312" w:hAnsi="仿宋_GB2312" w:eastAsia="仿宋_GB2312"/>
          <w:sz w:val="32"/>
          <w:szCs w:val="32"/>
        </w:rPr>
        <w:t>22.</w:t>
      </w:r>
      <w:r>
        <w:rPr>
          <w:rFonts w:ascii="仿宋" w:eastAsia="仿宋" w:cs="仿宋"/>
          <w:color w:val="000000"/>
          <w:sz w:val="32"/>
          <w:szCs w:val="32"/>
        </w:rPr>
        <w:t xml:space="preserve"> 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4"/>
      <w:numFmt w:val="decimal"/>
      <w:suff w:val="nothing"/>
      <w:lvlText w:val="%1、"/>
      <w:lvlJc w:val="left"/>
    </w:lvl>
  </w:abstractNum>
  <w:abstractNum w:abstractNumId="11">
    <w:nsid w:val="0000000B"/>
    <w:multiLevelType w:val="singleLevel"/>
    <w:tmpl w:val="0000000B"/>
    <w:lvl w:ilvl="0" w:tentative="1">
      <w:start w:val="8"/>
      <w:numFmt w:val="chineseCounting"/>
      <w:suff w:val="nothing"/>
      <w:lvlText w:val="（%1）"/>
      <w:lvlJc w:val="left"/>
      <w:rPr>
        <w:rFonts w:hint="eastAsia"/>
      </w:rPr>
    </w:lvl>
  </w:abstractNum>
  <w:num w:numId="1">
    <w:abstractNumId w:val="1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paragraph" w:customStyle="1" w:styleId="9">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1549</Words>
  <Characters>8832</Characters>
  <Lines>73</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2016-06-12T09:36:00Z</dcterms:created>
  <dc:creator>张静</dc:creator>
  <cp:lastPrinted>2018-08-09T10:35:00Z</cp:lastPrinted>
  <dcterms:modified xsi:type="dcterms:W3CDTF">2019-02-12T16:22:59Z</dcterms:modified>
  <dc:title>xuxiaoke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