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rStyle w:val="7"/>
          <w:rFonts w:hint="eastAsia" w:ascii="黑体" w:eastAsia="黑体"/>
          <w:sz w:val="44"/>
          <w:szCs w:val="44"/>
        </w:rPr>
        <w:t xml:space="preserve">温州市招商局（汇总）2018年度部门决算 </w:t>
      </w:r>
    </w:p>
    <w:p>
      <w:pPr>
        <w:pStyle w:val="4"/>
      </w:pPr>
      <w:r>
        <w:rPr>
          <w:rFonts w:hint="eastAsia"/>
        </w:rPr>
        <w:t> </w:t>
      </w:r>
    </w:p>
    <w:p>
      <w:pPr>
        <w:pStyle w:val="4"/>
      </w:pPr>
      <w:r>
        <w:rPr>
          <w:rFonts w:hint="eastAsia"/>
        </w:rPr>
        <w:t> </w:t>
      </w:r>
    </w:p>
    <w:p>
      <w:pPr>
        <w:spacing w:line="600" w:lineRule="atLeast"/>
        <w:ind w:firstLine="640"/>
        <w:jc w:val="both"/>
      </w:pPr>
      <w:r>
        <w:rPr>
          <w:rStyle w:val="7"/>
          <w:rFonts w:hint="eastAsia" w:ascii="黑体" w:eastAsia="黑体" w:cs="Arial"/>
          <w:sz w:val="32"/>
          <w:szCs w:val="32"/>
        </w:rPr>
        <w:t>一、温州市招商局（汇总）概况</w:t>
      </w:r>
    </w:p>
    <w:p>
      <w:pPr>
        <w:spacing w:line="600" w:lineRule="atLeast"/>
        <w:ind w:firstLine="640"/>
        <w:jc w:val="both"/>
      </w:pPr>
      <w:r>
        <w:rPr>
          <w:rStyle w:val="7"/>
          <w:rFonts w:hint="eastAsia" w:ascii="楷体" w:hAnsi="楷体" w:eastAsia="楷体" w:cs="Arial"/>
          <w:sz w:val="32"/>
          <w:szCs w:val="32"/>
        </w:rPr>
        <w:t>（一）部门职责</w:t>
      </w:r>
    </w:p>
    <w:p>
      <w:pPr>
        <w:spacing w:line="600" w:lineRule="atLeast"/>
        <w:ind w:firstLine="640"/>
        <w:jc w:val="both"/>
        <w:rPr>
          <w:rFonts w:ascii="仿宋" w:hAnsi="仿宋" w:eastAsia="仿宋"/>
          <w:sz w:val="32"/>
          <w:szCs w:val="32"/>
        </w:rPr>
      </w:pPr>
      <w:r>
        <w:rPr>
          <w:rFonts w:hint="eastAsia" w:ascii="仿宋" w:hAnsi="仿宋" w:eastAsia="仿宋"/>
          <w:sz w:val="32"/>
          <w:szCs w:val="32"/>
        </w:rPr>
        <w:t>1.贯彻执行国家和省、市有关扩大对内开放、加强国内经济合作交流的方针政策和战略部署。根据本市经济社会发展的实际，研究制订全市招商引资（温商回归）和国内经济合作交流工作的发展战略、总体规划和政策措施，并组织实施。</w:t>
      </w:r>
    </w:p>
    <w:p>
      <w:pPr>
        <w:spacing w:line="600" w:lineRule="atLeast"/>
        <w:ind w:firstLine="640"/>
        <w:jc w:val="both"/>
        <w:rPr>
          <w:rFonts w:ascii="仿宋" w:hAnsi="仿宋" w:eastAsia="仿宋"/>
          <w:sz w:val="32"/>
          <w:szCs w:val="32"/>
        </w:rPr>
      </w:pPr>
      <w:r>
        <w:rPr>
          <w:rFonts w:hint="eastAsia" w:ascii="仿宋" w:hAnsi="仿宋" w:eastAsia="仿宋"/>
          <w:sz w:val="32"/>
          <w:szCs w:val="32"/>
        </w:rPr>
        <w:t>2.负责全市境内外招商引资工作的组织、协调、督查和考核；制定招商引资工作的有关政策措施；牵头编制全市招商引资工作的规划、计划；负责投资环境、招商政策、重大项目的统一宣传，组织协调全市性的重大招商活动和合作项目推介活动，协调督促重大签约项目的推进及合作项目的实施。</w:t>
      </w:r>
    </w:p>
    <w:p>
      <w:pPr>
        <w:spacing w:line="600" w:lineRule="atLeast"/>
        <w:ind w:firstLine="640"/>
        <w:jc w:val="both"/>
        <w:rPr>
          <w:rFonts w:ascii="仿宋" w:hAnsi="仿宋" w:eastAsia="仿宋"/>
          <w:sz w:val="32"/>
          <w:szCs w:val="32"/>
        </w:rPr>
      </w:pPr>
      <w:r>
        <w:rPr>
          <w:rFonts w:hint="eastAsia" w:ascii="仿宋" w:hAnsi="仿宋" w:eastAsia="仿宋"/>
          <w:sz w:val="32"/>
          <w:szCs w:val="32"/>
        </w:rPr>
        <w:t>3.负责联系指导全市招商引资、经济合作部门的工作。负责招商投诉和来信来访等事务的协调处理。</w:t>
      </w:r>
    </w:p>
    <w:p>
      <w:pPr>
        <w:spacing w:line="600" w:lineRule="atLeast"/>
        <w:ind w:firstLine="640"/>
        <w:jc w:val="both"/>
        <w:rPr>
          <w:rFonts w:ascii="仿宋" w:hAnsi="仿宋" w:eastAsia="仿宋"/>
          <w:sz w:val="32"/>
          <w:szCs w:val="32"/>
        </w:rPr>
      </w:pPr>
      <w:r>
        <w:rPr>
          <w:rFonts w:hint="eastAsia" w:ascii="仿宋" w:hAnsi="仿宋" w:eastAsia="仿宋"/>
          <w:sz w:val="32"/>
          <w:szCs w:val="32"/>
        </w:rPr>
        <w:t>4.负责实施温商回归“领头雁工程”。</w:t>
      </w:r>
    </w:p>
    <w:p>
      <w:pPr>
        <w:spacing w:line="600" w:lineRule="atLeast"/>
        <w:ind w:firstLine="640"/>
        <w:jc w:val="both"/>
        <w:rPr>
          <w:rFonts w:ascii="仿宋" w:hAnsi="仿宋" w:eastAsia="仿宋"/>
          <w:sz w:val="32"/>
          <w:szCs w:val="32"/>
        </w:rPr>
      </w:pPr>
      <w:r>
        <w:rPr>
          <w:rFonts w:hint="eastAsia" w:ascii="仿宋" w:hAnsi="仿宋" w:eastAsia="仿宋"/>
          <w:sz w:val="32"/>
          <w:szCs w:val="32"/>
        </w:rPr>
        <w:t>5.负责组织、指导、协调和管理市派全国各地温州商会招商专员工作。</w:t>
      </w:r>
    </w:p>
    <w:p>
      <w:pPr>
        <w:spacing w:line="600" w:lineRule="atLeast"/>
        <w:ind w:firstLine="640"/>
        <w:jc w:val="both"/>
        <w:rPr>
          <w:rFonts w:ascii="仿宋" w:hAnsi="仿宋" w:eastAsia="仿宋"/>
          <w:sz w:val="32"/>
          <w:szCs w:val="32"/>
        </w:rPr>
      </w:pPr>
      <w:r>
        <w:rPr>
          <w:rFonts w:hint="eastAsia" w:ascii="仿宋" w:hAnsi="仿宋" w:eastAsia="仿宋"/>
          <w:sz w:val="32"/>
          <w:szCs w:val="32"/>
        </w:rPr>
        <w:t>6.负责全国各地温州商会和在外温州人的联系、服务、协调、指导、评价工作。</w:t>
      </w:r>
    </w:p>
    <w:p>
      <w:pPr>
        <w:spacing w:line="600" w:lineRule="atLeast"/>
        <w:ind w:firstLine="640"/>
        <w:jc w:val="both"/>
        <w:rPr>
          <w:rFonts w:ascii="仿宋" w:hAnsi="仿宋" w:eastAsia="仿宋"/>
          <w:sz w:val="32"/>
          <w:szCs w:val="32"/>
        </w:rPr>
      </w:pPr>
      <w:r>
        <w:rPr>
          <w:rFonts w:hint="eastAsia" w:ascii="仿宋" w:hAnsi="仿宋" w:eastAsia="仿宋"/>
          <w:sz w:val="32"/>
          <w:szCs w:val="32"/>
        </w:rPr>
        <w:t>7.负责指导全国温州商会总会日常工作，指导全国各地省级、地市级温州商会开展工作。</w:t>
      </w:r>
    </w:p>
    <w:p>
      <w:pPr>
        <w:spacing w:line="600" w:lineRule="atLeast"/>
        <w:ind w:firstLine="640"/>
        <w:jc w:val="both"/>
        <w:rPr>
          <w:rFonts w:ascii="仿宋" w:hAnsi="仿宋" w:eastAsia="仿宋"/>
          <w:sz w:val="32"/>
          <w:szCs w:val="32"/>
        </w:rPr>
      </w:pPr>
      <w:r>
        <w:rPr>
          <w:rFonts w:hint="eastAsia" w:ascii="仿宋" w:hAnsi="仿宋" w:eastAsia="仿宋"/>
          <w:sz w:val="32"/>
          <w:szCs w:val="32"/>
        </w:rPr>
        <w:t>8.负责创建温商博物馆，建设温州商会总部大厦。</w:t>
      </w:r>
    </w:p>
    <w:p>
      <w:pPr>
        <w:spacing w:line="600" w:lineRule="atLeast"/>
        <w:ind w:firstLine="640"/>
        <w:jc w:val="both"/>
        <w:rPr>
          <w:rFonts w:ascii="仿宋" w:hAnsi="仿宋" w:eastAsia="仿宋"/>
          <w:sz w:val="32"/>
          <w:szCs w:val="32"/>
        </w:rPr>
      </w:pPr>
      <w:r>
        <w:rPr>
          <w:rFonts w:hint="eastAsia" w:ascii="仿宋" w:hAnsi="仿宋" w:eastAsia="仿宋"/>
          <w:sz w:val="32"/>
          <w:szCs w:val="32"/>
        </w:rPr>
        <w:t>9.负责全国各地温州商会党建工作。</w:t>
      </w:r>
    </w:p>
    <w:p>
      <w:pPr>
        <w:spacing w:line="600" w:lineRule="atLeast"/>
        <w:ind w:firstLine="640"/>
        <w:jc w:val="both"/>
        <w:rPr>
          <w:rFonts w:ascii="仿宋" w:hAnsi="仿宋" w:eastAsia="仿宋"/>
          <w:sz w:val="32"/>
          <w:szCs w:val="32"/>
        </w:rPr>
      </w:pPr>
      <w:r>
        <w:rPr>
          <w:rFonts w:hint="eastAsia" w:ascii="仿宋" w:hAnsi="仿宋" w:eastAsia="仿宋"/>
          <w:sz w:val="32"/>
          <w:szCs w:val="32"/>
        </w:rPr>
        <w:t>10.负责在外“新生代”温商联络、服务及培训等工作。</w:t>
      </w:r>
    </w:p>
    <w:p>
      <w:pPr>
        <w:spacing w:line="600" w:lineRule="atLeast"/>
        <w:ind w:firstLine="640"/>
        <w:jc w:val="both"/>
        <w:rPr>
          <w:rFonts w:ascii="仿宋" w:hAnsi="仿宋" w:eastAsia="仿宋"/>
          <w:sz w:val="32"/>
          <w:szCs w:val="32"/>
        </w:rPr>
      </w:pPr>
      <w:r>
        <w:rPr>
          <w:rFonts w:hint="eastAsia" w:ascii="仿宋" w:hAnsi="仿宋" w:eastAsia="仿宋"/>
          <w:sz w:val="32"/>
          <w:szCs w:val="32"/>
        </w:rPr>
        <w:t>11.负责外地各级政府、企事业单位驻温非经营性办事机构的备案、管理和服务；负责外地在温商会等社团的管理指导。</w:t>
      </w:r>
    </w:p>
    <w:p>
      <w:pPr>
        <w:spacing w:line="600" w:lineRule="atLeast"/>
        <w:ind w:firstLine="640"/>
        <w:jc w:val="both"/>
        <w:rPr>
          <w:rFonts w:ascii="仿宋" w:hAnsi="仿宋" w:eastAsia="仿宋"/>
          <w:sz w:val="32"/>
          <w:szCs w:val="32"/>
        </w:rPr>
      </w:pPr>
      <w:r>
        <w:rPr>
          <w:rFonts w:hint="eastAsia" w:ascii="仿宋" w:hAnsi="仿宋" w:eastAsia="仿宋"/>
          <w:sz w:val="32"/>
          <w:szCs w:val="32"/>
        </w:rPr>
        <w:t>12.组织或参与温州到外地、外地来温州举办的国内经济合作交流活动；承担省下达给本市的对口帮扶工作任务，研究拟订全市对口帮扶工作发展规划和政策措施并组织实施。负责全市“山海协作工程”的组织实施及完成情况的统计、分析和检查考核工作；会同有关部门管理山海协作和西部大开发专项补助（贴息）资金。承担与国内友好城市、友好关系地区、区域经济合作组织的日常沟通、协调和服务等工作。负责本市参与西部大开发、东北振兴、中部崛起等组织、推动、协调工作，协同组织开展接轨“长三角”一体化工作。</w:t>
      </w:r>
    </w:p>
    <w:p>
      <w:pPr>
        <w:spacing w:line="600" w:lineRule="atLeast"/>
        <w:ind w:firstLine="640"/>
        <w:jc w:val="both"/>
        <w:rPr>
          <w:rFonts w:ascii="仿宋" w:hAnsi="仿宋" w:eastAsia="仿宋"/>
          <w:sz w:val="32"/>
          <w:szCs w:val="32"/>
        </w:rPr>
      </w:pPr>
      <w:r>
        <w:rPr>
          <w:rFonts w:hint="eastAsia" w:ascii="仿宋" w:hAnsi="仿宋" w:eastAsia="仿宋"/>
          <w:sz w:val="32"/>
          <w:szCs w:val="32"/>
        </w:rPr>
        <w:t>13.承办市政府交办的其他事项。</w:t>
      </w:r>
    </w:p>
    <w:p>
      <w:pPr>
        <w:spacing w:line="600" w:lineRule="atLeast"/>
        <w:ind w:firstLine="640"/>
        <w:jc w:val="both"/>
      </w:pPr>
      <w:r>
        <w:rPr>
          <w:rStyle w:val="7"/>
          <w:rFonts w:hint="eastAsia" w:ascii="楷体" w:hAnsi="楷体" w:eastAsia="楷体" w:cs="Arial"/>
          <w:sz w:val="32"/>
          <w:szCs w:val="32"/>
        </w:rPr>
        <w:t>（二）机构设置</w:t>
      </w:r>
    </w:p>
    <w:p>
      <w:pPr>
        <w:spacing w:line="600" w:lineRule="atLeast"/>
        <w:ind w:firstLine="640"/>
        <w:jc w:val="both"/>
      </w:pPr>
      <w:r>
        <w:rPr>
          <w:rFonts w:hint="eastAsia" w:ascii="仿宋" w:hAnsi="仿宋" w:eastAsia="仿宋" w:cs="Arial"/>
          <w:sz w:val="32"/>
          <w:szCs w:val="32"/>
        </w:rPr>
        <w:t>从预算单位构成看，温州市招商局（汇总）部门决算包括：</w:t>
      </w:r>
      <w:r>
        <w:rPr>
          <w:rFonts w:hint="eastAsia" w:ascii="仿宋" w:hAnsi="仿宋" w:eastAsia="仿宋"/>
          <w:sz w:val="32"/>
          <w:szCs w:val="32"/>
        </w:rPr>
        <w:t>本级1个行政单位决算及1个事业单位决算。</w:t>
      </w:r>
    </w:p>
    <w:p>
      <w:pPr>
        <w:spacing w:line="600" w:lineRule="atLeast"/>
        <w:ind w:firstLine="640"/>
        <w:jc w:val="both"/>
      </w:pPr>
      <w:r>
        <w:rPr>
          <w:rFonts w:hint="eastAsia" w:ascii="仿宋" w:hAnsi="仿宋" w:eastAsia="仿宋" w:cs="Arial"/>
          <w:sz w:val="32"/>
          <w:szCs w:val="32"/>
        </w:rPr>
        <w:t>纳入温州市招商局（汇总）2018年度部门决算编制范围的二级预算单位包括：</w:t>
      </w:r>
    </w:p>
    <w:p>
      <w:pPr>
        <w:spacing w:line="600" w:lineRule="atLeast"/>
        <w:ind w:firstLine="640"/>
        <w:jc w:val="both"/>
      </w:pPr>
      <w:r>
        <w:rPr>
          <w:rFonts w:hint="eastAsia" w:ascii="仿宋" w:hAnsi="仿宋" w:eastAsia="仿宋" w:cs="Arial"/>
          <w:sz w:val="32"/>
          <w:szCs w:val="32"/>
        </w:rPr>
        <w:t xml:space="preserve">1. </w:t>
      </w:r>
      <w:r>
        <w:rPr>
          <w:rFonts w:hint="eastAsia" w:ascii="仿宋" w:hAnsi="仿宋" w:eastAsia="仿宋"/>
          <w:sz w:val="32"/>
          <w:szCs w:val="32"/>
        </w:rPr>
        <w:t>温州市人民政府经济交流办公室（本级）；</w:t>
      </w:r>
    </w:p>
    <w:p>
      <w:pPr>
        <w:spacing w:line="600" w:lineRule="atLeast"/>
        <w:ind w:firstLine="640"/>
        <w:jc w:val="both"/>
      </w:pPr>
      <w:r>
        <w:rPr>
          <w:rFonts w:hint="eastAsia" w:ascii="仿宋" w:hAnsi="仿宋" w:eastAsia="仿宋" w:cs="Arial"/>
          <w:sz w:val="32"/>
          <w:szCs w:val="32"/>
        </w:rPr>
        <w:t xml:space="preserve">2. </w:t>
      </w:r>
      <w:r>
        <w:rPr>
          <w:rFonts w:hint="eastAsia" w:ascii="仿宋" w:hAnsi="仿宋" w:eastAsia="仿宋"/>
          <w:sz w:val="32"/>
          <w:szCs w:val="32"/>
        </w:rPr>
        <w:t>温州市国内招商中心。</w:t>
      </w:r>
    </w:p>
    <w:p>
      <w:pPr>
        <w:spacing w:line="600" w:lineRule="atLeast"/>
        <w:ind w:firstLine="640"/>
        <w:jc w:val="both"/>
      </w:pPr>
      <w:r>
        <w:rPr>
          <w:rStyle w:val="7"/>
          <w:rFonts w:hint="eastAsia" w:ascii="黑体" w:eastAsia="黑体" w:cs="Arial"/>
          <w:sz w:val="32"/>
          <w:szCs w:val="32"/>
        </w:rPr>
        <w:t>二、温州市招商局（汇总）2018年度部门决算公开表</w:t>
      </w:r>
    </w:p>
    <w:p>
      <w:pPr>
        <w:spacing w:line="600" w:lineRule="atLeast"/>
        <w:ind w:firstLine="640"/>
        <w:jc w:val="both"/>
      </w:pPr>
      <w:r>
        <w:rPr>
          <w:rFonts w:hint="eastAsia" w:ascii="仿宋" w:hAnsi="仿宋" w:eastAsia="仿宋" w:cs="Arial"/>
          <w:sz w:val="32"/>
          <w:szCs w:val="32"/>
        </w:rPr>
        <w:t>详见附表。</w:t>
      </w:r>
    </w:p>
    <w:p>
      <w:pPr>
        <w:spacing w:line="600" w:lineRule="atLeast"/>
        <w:ind w:firstLine="640"/>
        <w:jc w:val="both"/>
      </w:pPr>
      <w:r>
        <w:rPr>
          <w:rStyle w:val="7"/>
          <w:rFonts w:hint="eastAsia" w:ascii="黑体" w:eastAsia="黑体" w:cs="Arial"/>
          <w:sz w:val="32"/>
          <w:szCs w:val="32"/>
        </w:rPr>
        <w:t>三、温州市招商局（汇总）2018年度部门决算情况说明</w:t>
      </w:r>
    </w:p>
    <w:p>
      <w:pPr>
        <w:spacing w:line="600" w:lineRule="atLeast"/>
        <w:ind w:firstLine="640"/>
        <w:jc w:val="both"/>
      </w:pPr>
      <w:r>
        <w:rPr>
          <w:rStyle w:val="7"/>
          <w:rFonts w:hint="eastAsia" w:ascii="楷体" w:hAnsi="楷体" w:eastAsia="楷体" w:cs="Arial"/>
          <w:sz w:val="32"/>
          <w:szCs w:val="32"/>
        </w:rPr>
        <w:t>（一）收入支出决算总体情况说明</w:t>
      </w:r>
    </w:p>
    <w:p>
      <w:pPr>
        <w:spacing w:line="600" w:lineRule="atLeast"/>
        <w:ind w:firstLine="640"/>
        <w:jc w:val="both"/>
      </w:pPr>
      <w:r>
        <w:rPr>
          <w:rFonts w:hint="eastAsia" w:ascii="仿宋" w:hAnsi="仿宋" w:eastAsia="仿宋" w:cs="Arial"/>
          <w:sz w:val="32"/>
          <w:szCs w:val="32"/>
        </w:rPr>
        <w:t>2018年度收、支总计1,786.09万元，与2017年度相比，收、支总计各减少29.46万元，下降1.62%。主要原因是：正常项目经费调整。</w:t>
      </w:r>
    </w:p>
    <w:p>
      <w:pPr>
        <w:spacing w:line="600" w:lineRule="atLeast"/>
        <w:ind w:firstLine="640"/>
        <w:jc w:val="both"/>
      </w:pPr>
      <w:r>
        <w:rPr>
          <w:rStyle w:val="7"/>
          <w:rFonts w:hint="eastAsia" w:ascii="楷体" w:hAnsi="楷体" w:eastAsia="楷体" w:cs="Arial"/>
          <w:sz w:val="32"/>
          <w:szCs w:val="32"/>
        </w:rPr>
        <w:t>（二）收入决算情况说明</w:t>
      </w:r>
    </w:p>
    <w:p>
      <w:pPr>
        <w:spacing w:line="600" w:lineRule="atLeast"/>
        <w:ind w:firstLine="640"/>
        <w:jc w:val="both"/>
      </w:pPr>
      <w:r>
        <w:rPr>
          <w:rFonts w:hint="eastAsia" w:ascii="仿宋" w:hAnsi="仿宋" w:eastAsia="仿宋" w:cs="Arial"/>
          <w:sz w:val="32"/>
          <w:szCs w:val="32"/>
        </w:rPr>
        <w:t>本年收入合计1,786.09万元；包括财政拨款收入1,786.09万元（其中，一般公共预算1,675.26万元，政府性基金预算110.83万元），占收入合计100.00%；事业收入0万元，占收入合计0%；经营收入0万元，占收入合计0%；其他收入0万元，占收入合计0%。上级补助收入0万元，占收入合计0%。附属单位上缴收入0万元，占收入合计0%。</w:t>
      </w:r>
    </w:p>
    <w:p>
      <w:pPr>
        <w:spacing w:line="600" w:lineRule="atLeast"/>
        <w:ind w:firstLine="640"/>
        <w:jc w:val="both"/>
      </w:pPr>
      <w:r>
        <w:rPr>
          <w:rStyle w:val="7"/>
          <w:rFonts w:hint="eastAsia" w:ascii="楷体" w:hAnsi="楷体" w:eastAsia="楷体" w:cs="Arial"/>
          <w:sz w:val="32"/>
          <w:szCs w:val="32"/>
        </w:rPr>
        <w:t>（三）支出决算情况说明</w:t>
      </w:r>
    </w:p>
    <w:p>
      <w:pPr>
        <w:spacing w:line="600" w:lineRule="atLeast"/>
        <w:ind w:firstLine="640"/>
        <w:jc w:val="both"/>
      </w:pPr>
      <w:r>
        <w:rPr>
          <w:rFonts w:hint="eastAsia" w:ascii="仿宋" w:hAnsi="仿宋" w:eastAsia="仿宋" w:cs="Arial"/>
          <w:sz w:val="32"/>
          <w:szCs w:val="32"/>
        </w:rPr>
        <w:t>本年支出合计1,786.09万元，其中基本支出1,231.01万元，占68.92%；项目支出555.08万元，占31.08%；上缴上级支出0万元，占0%；经营支出0万元，占0%；对附属单位补助支出0万元，占0%。</w:t>
      </w:r>
    </w:p>
    <w:p>
      <w:pPr>
        <w:spacing w:line="600" w:lineRule="atLeast"/>
        <w:ind w:firstLine="640"/>
        <w:jc w:val="both"/>
      </w:pPr>
      <w:r>
        <w:rPr>
          <w:rStyle w:val="7"/>
          <w:rFonts w:hint="eastAsia" w:ascii="楷体" w:hAnsi="楷体" w:eastAsia="楷体" w:cs="Arial"/>
          <w:sz w:val="32"/>
          <w:szCs w:val="32"/>
        </w:rPr>
        <w:t>（四）财政拨款收入支出决算总体情况说明</w:t>
      </w:r>
    </w:p>
    <w:p>
      <w:pPr>
        <w:spacing w:line="600" w:lineRule="atLeast"/>
        <w:ind w:firstLine="640"/>
        <w:jc w:val="both"/>
      </w:pPr>
      <w:r>
        <w:rPr>
          <w:rFonts w:hint="eastAsia" w:ascii="仿宋" w:hAnsi="仿宋" w:eastAsia="仿宋" w:cs="Arial"/>
          <w:sz w:val="32"/>
          <w:szCs w:val="32"/>
        </w:rPr>
        <w:t>2018年度财政拨款收、支总计1,786.09万元，与2017年相比，财政拨款收、支总计各减少29.46万元，下降1.62%。主要原因是：正常项目经费调整减少。</w:t>
      </w:r>
    </w:p>
    <w:p>
      <w:pPr>
        <w:spacing w:line="600" w:lineRule="atLeast"/>
        <w:ind w:firstLine="640"/>
        <w:jc w:val="both"/>
      </w:pPr>
      <w:r>
        <w:rPr>
          <w:rStyle w:val="7"/>
          <w:rFonts w:hint="eastAsia" w:ascii="楷体" w:hAnsi="楷体" w:eastAsia="楷体" w:cs="Arial"/>
          <w:sz w:val="32"/>
          <w:szCs w:val="32"/>
        </w:rPr>
        <w:t>（五）一般公共预算财政拨款支出决算情况说明</w:t>
      </w:r>
    </w:p>
    <w:p>
      <w:pPr>
        <w:spacing w:line="600" w:lineRule="atLeast"/>
        <w:ind w:firstLine="640"/>
        <w:jc w:val="both"/>
      </w:pPr>
      <w:r>
        <w:rPr>
          <w:rStyle w:val="7"/>
          <w:rFonts w:hint="eastAsia" w:ascii="仿宋" w:hAnsi="仿宋" w:eastAsia="仿宋" w:cs="Arial"/>
          <w:sz w:val="32"/>
          <w:szCs w:val="32"/>
        </w:rPr>
        <w:t>1.一般公共预算财政拨款支出决算总体情况。</w:t>
      </w:r>
    </w:p>
    <w:p>
      <w:pPr>
        <w:spacing w:line="600" w:lineRule="atLeast"/>
        <w:ind w:firstLine="640"/>
        <w:jc w:val="both"/>
      </w:pPr>
      <w:r>
        <w:rPr>
          <w:rFonts w:hint="eastAsia" w:ascii="仿宋" w:hAnsi="仿宋" w:eastAsia="仿宋" w:cs="Arial"/>
          <w:sz w:val="32"/>
          <w:szCs w:val="32"/>
        </w:rPr>
        <w:t>2018年度一般公共预算财政拨款支出1,675.26万元，占本年支出合计的93.79%。与2017年相比，一般公共预算财政拨款支出减少118.61万元，下降6.61%。主要原因是：部</w:t>
      </w:r>
      <w:r>
        <w:rPr>
          <w:rFonts w:hint="eastAsia" w:ascii="仿宋" w:hAnsi="仿宋" w:eastAsia="仿宋" w:cs="Arial"/>
          <w:sz w:val="32"/>
          <w:szCs w:val="32"/>
          <w:lang w:eastAsia="zh-CN"/>
        </w:rPr>
        <w:t>分</w:t>
      </w:r>
      <w:bookmarkStart w:id="0" w:name="_GoBack"/>
      <w:bookmarkEnd w:id="0"/>
      <w:r>
        <w:rPr>
          <w:rFonts w:hint="eastAsia" w:ascii="仿宋" w:hAnsi="仿宋" w:eastAsia="仿宋" w:cs="Arial"/>
          <w:sz w:val="32"/>
          <w:szCs w:val="32"/>
        </w:rPr>
        <w:t>项目经费调整取消。</w:t>
      </w:r>
    </w:p>
    <w:p>
      <w:pPr>
        <w:spacing w:line="600" w:lineRule="atLeast"/>
        <w:ind w:firstLine="640"/>
        <w:jc w:val="both"/>
      </w:pPr>
      <w:r>
        <w:rPr>
          <w:rStyle w:val="7"/>
          <w:rFonts w:hint="eastAsia" w:ascii="仿宋" w:hAnsi="仿宋" w:eastAsia="仿宋" w:cs="Arial"/>
          <w:sz w:val="32"/>
          <w:szCs w:val="32"/>
        </w:rPr>
        <w:t>2.一般公共预算财政拨款支出决算结构情况。</w:t>
      </w:r>
    </w:p>
    <w:p>
      <w:pPr>
        <w:spacing w:line="600" w:lineRule="atLeast"/>
        <w:ind w:firstLine="640"/>
        <w:jc w:val="both"/>
      </w:pPr>
      <w:r>
        <w:rPr>
          <w:rFonts w:hint="eastAsia" w:ascii="仿宋" w:hAnsi="仿宋" w:eastAsia="仿宋" w:cs="Arial"/>
          <w:sz w:val="32"/>
          <w:szCs w:val="32"/>
        </w:rPr>
        <w:t>2018年度一般公共预算财政拨款支出1,675.26万元，主要用于以下方面：一般公共服务（类）支出1,446.30万元，占86.33%；国防（类）支出0万元,占0%；公共安全（类）支出0万元,占0%；教育（类）支出0万元,占0%；科学技术（类）支出0万元,占0%；文化体育与传媒（类）支出0万元,占0%；社会保障和就业（类）支出114.46万元,占6.83%；医疗卫生与计划生育（类）支出43.99万元,占2.63%；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70.50万元,占4.21%；粮油物资储备（类）支出0万元,占0%；其他（类）支出0万元,占0%；债务还本（类）支出0万元,占0%；债务付息（类）支出0万元,占0%。</w:t>
      </w:r>
    </w:p>
    <w:p>
      <w:pPr>
        <w:spacing w:line="600" w:lineRule="atLeast"/>
        <w:ind w:firstLine="640"/>
        <w:jc w:val="both"/>
      </w:pPr>
      <w:r>
        <w:rPr>
          <w:rStyle w:val="7"/>
          <w:rFonts w:hint="eastAsia" w:ascii="仿宋" w:hAnsi="仿宋" w:eastAsia="仿宋" w:cs="Arial"/>
          <w:sz w:val="32"/>
          <w:szCs w:val="32"/>
        </w:rPr>
        <w:t>3.一般公共预算财政拨款支出决算具体情况。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2018年度一般公共预算财政拨款支出年初预算为1,428.80万元，支出决算为1,675.26万元,完成年初预算的117.25%，主要原因是2018年新增“营商环境服务监督局工作经费”项目经费以及基本支出增加。其中：</w:t>
      </w:r>
    </w:p>
    <w:p>
      <w:pPr>
        <w:autoSpaceDE w:val="0"/>
        <w:autoSpaceDN w:val="0"/>
        <w:adjustRightInd w:val="0"/>
        <w:spacing w:line="560" w:lineRule="exact"/>
        <w:ind w:firstLine="640" w:firstLineChars="200"/>
        <w:rPr>
          <w:rFonts w:ascii="仿宋" w:hAnsi="仿宋" w:eastAsia="仿宋" w:cs="仿宋"/>
          <w:color w:val="000000"/>
          <w:sz w:val="32"/>
          <w:szCs w:val="32"/>
        </w:rPr>
      </w:pPr>
      <w:r>
        <w:rPr>
          <w:rFonts w:hint="eastAsia" w:ascii="仿宋" w:hAnsi="Times New Roman" w:eastAsia="仿宋" w:cs="仿宋"/>
          <w:color w:val="000000"/>
          <w:sz w:val="32"/>
          <w:szCs w:val="32"/>
        </w:rPr>
        <w:t>1．一般公共服务支出</w:t>
      </w:r>
      <w:r>
        <w:rPr>
          <w:rFonts w:hint="eastAsia" w:ascii="仿宋" w:hAnsi="仿宋" w:eastAsia="仿宋" w:cs="仿宋"/>
          <w:color w:val="000000"/>
          <w:sz w:val="32"/>
          <w:szCs w:val="32"/>
        </w:rPr>
        <w:t>（类）政府办公厅（室）及相关机构事务（款）</w:t>
      </w:r>
      <w:r>
        <w:rPr>
          <w:rFonts w:hint="eastAsia" w:ascii="仿宋" w:hAnsi="Times New Roman" w:eastAsia="仿宋" w:cs="仿宋"/>
          <w:color w:val="000000"/>
          <w:sz w:val="32"/>
          <w:szCs w:val="32"/>
        </w:rPr>
        <w:t>行政运行</w:t>
      </w:r>
      <w:r>
        <w:rPr>
          <w:rFonts w:hint="eastAsia" w:ascii="仿宋" w:hAnsi="仿宋" w:eastAsia="仿宋" w:cs="仿宋"/>
          <w:color w:val="000000"/>
          <w:sz w:val="32"/>
          <w:szCs w:val="32"/>
        </w:rPr>
        <w:t>（项）。</w:t>
      </w:r>
      <w:r>
        <w:rPr>
          <w:rFonts w:hint="eastAsia" w:ascii="仿宋" w:hAnsi="仿宋" w:eastAsia="仿宋" w:cs="Arial"/>
          <w:sz w:val="32"/>
          <w:szCs w:val="32"/>
        </w:rPr>
        <w:t>2018年年初预算为654.67万元，2018年支出决算为777.56万元，完成年初预算的118.77%，决算数大于预算数的主要原因人员增加基本支出增加。</w:t>
      </w:r>
    </w:p>
    <w:p>
      <w:pPr>
        <w:autoSpaceDE w:val="0"/>
        <w:autoSpaceDN w:val="0"/>
        <w:adjustRightInd w:val="0"/>
        <w:spacing w:line="560" w:lineRule="exact"/>
        <w:ind w:firstLine="640" w:firstLineChars="200"/>
        <w:rPr>
          <w:rFonts w:ascii="仿宋" w:hAnsi="仿宋" w:eastAsia="仿宋"/>
          <w:color w:val="000000"/>
          <w:sz w:val="32"/>
          <w:szCs w:val="32"/>
        </w:rPr>
      </w:pPr>
      <w:r>
        <w:rPr>
          <w:rFonts w:hint="eastAsia" w:ascii="仿宋" w:hAnsi="Times New Roman" w:eastAsia="仿宋" w:cs="仿宋"/>
          <w:color w:val="000000"/>
          <w:sz w:val="32"/>
          <w:szCs w:val="32"/>
        </w:rPr>
        <w:t>2．一般公共服务支出</w:t>
      </w:r>
      <w:r>
        <w:rPr>
          <w:rFonts w:hint="eastAsia" w:ascii="仿宋" w:hAnsi="仿宋" w:eastAsia="仿宋"/>
          <w:color w:val="000000"/>
          <w:sz w:val="32"/>
          <w:szCs w:val="32"/>
        </w:rPr>
        <w:t>（类）政府办公厅（室）及相关机构事务（款）</w:t>
      </w:r>
      <w:r>
        <w:rPr>
          <w:rFonts w:hint="eastAsia" w:ascii="仿宋" w:hAnsi="Times New Roman" w:eastAsia="仿宋" w:cs="仿宋"/>
          <w:color w:val="000000"/>
          <w:sz w:val="32"/>
          <w:szCs w:val="32"/>
        </w:rPr>
        <w:t>一般行政管理</w:t>
      </w:r>
      <w:r>
        <w:rPr>
          <w:rFonts w:hint="eastAsia" w:ascii="仿宋" w:hAnsi="仿宋" w:eastAsia="仿宋"/>
          <w:color w:val="000000"/>
          <w:sz w:val="32"/>
          <w:szCs w:val="32"/>
        </w:rPr>
        <w:t>（项）。</w:t>
      </w:r>
      <w:r>
        <w:rPr>
          <w:rFonts w:hint="eastAsia" w:ascii="仿宋" w:hAnsi="仿宋" w:eastAsia="仿宋" w:cs="Arial"/>
          <w:sz w:val="32"/>
          <w:szCs w:val="32"/>
        </w:rPr>
        <w:t>2018年年初预算为457.42万元，2018年支出决算为543.57万元，完成年初预算的118.83%，决算数大于预算数的主要原因人员增加基本支出增加。</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Times New Roman" w:eastAsia="仿宋" w:cs="仿宋"/>
          <w:color w:val="000000"/>
          <w:sz w:val="32"/>
          <w:szCs w:val="32"/>
        </w:rPr>
        <w:t xml:space="preserve"> </w:t>
      </w:r>
      <w:r>
        <w:rPr>
          <w:rFonts w:hint="eastAsia" w:ascii="仿宋" w:hAnsi="仿宋" w:eastAsia="仿宋"/>
          <w:sz w:val="32"/>
          <w:szCs w:val="32"/>
        </w:rPr>
        <w:t>3．一般公共服务支出（类）政府办公厅（室）及相关机构事务（款）事业运行（项）。</w:t>
      </w:r>
      <w:r>
        <w:rPr>
          <w:rFonts w:hint="eastAsia" w:ascii="仿宋" w:hAnsi="仿宋" w:eastAsia="仿宋" w:cs="Arial"/>
          <w:sz w:val="32"/>
          <w:szCs w:val="32"/>
        </w:rPr>
        <w:t>2018年年初预算为95.41万元，2018年支出决算为89.05万元，完成年初预算的93.33%，决算数小于预算数的主要原因正常预算差额。</w:t>
      </w:r>
    </w:p>
    <w:p>
      <w:pPr>
        <w:spacing w:line="600" w:lineRule="atLeast"/>
        <w:ind w:firstLine="640"/>
        <w:jc w:val="both"/>
        <w:rPr>
          <w:rFonts w:ascii="仿宋" w:hAnsi="仿宋" w:eastAsia="仿宋"/>
          <w:sz w:val="32"/>
          <w:szCs w:val="32"/>
        </w:rPr>
      </w:pPr>
      <w:r>
        <w:rPr>
          <w:rFonts w:hint="eastAsia" w:ascii="仿宋" w:hAnsi="仿宋" w:eastAsia="仿宋"/>
          <w:sz w:val="32"/>
          <w:szCs w:val="32"/>
        </w:rPr>
        <w:t>4. 一般公共服务支出（类）政府办公厅（室）及相关机构事务（款）其他政府办公厅（室）及相关机构事务支出（项）。</w:t>
      </w:r>
      <w:r>
        <w:rPr>
          <w:rFonts w:hint="eastAsia" w:ascii="仿宋" w:hAnsi="仿宋" w:eastAsia="仿宋" w:cs="Arial"/>
          <w:sz w:val="32"/>
          <w:szCs w:val="32"/>
        </w:rPr>
        <w:t>2018年年初预算为25.43万元，2018年支出决算为24.99万元，完成年初预算的98.27%，决算数小于预算数的主要原因正常预算差额。</w:t>
      </w:r>
    </w:p>
    <w:p>
      <w:pPr>
        <w:spacing w:line="600" w:lineRule="atLeast"/>
        <w:ind w:firstLine="640"/>
        <w:jc w:val="both"/>
        <w:rPr>
          <w:rFonts w:ascii="仿宋" w:hAnsi="仿宋" w:eastAsia="仿宋"/>
          <w:sz w:val="32"/>
          <w:szCs w:val="32"/>
        </w:rPr>
      </w:pPr>
      <w:r>
        <w:rPr>
          <w:rFonts w:hint="eastAsia" w:ascii="仿宋" w:hAnsi="仿宋" w:eastAsia="仿宋"/>
          <w:sz w:val="32"/>
          <w:szCs w:val="32"/>
        </w:rPr>
        <w:t>5. 一般公共服务支出（类）发展与改革事务（款）其他发展与改革事务支出（项）事务支出。</w:t>
      </w:r>
      <w:r>
        <w:rPr>
          <w:rFonts w:hint="eastAsia" w:ascii="仿宋" w:hAnsi="仿宋" w:eastAsia="仿宋" w:cs="Arial"/>
          <w:sz w:val="32"/>
          <w:szCs w:val="32"/>
        </w:rPr>
        <w:t>2018年决算大于年初预算11.13</w:t>
      </w:r>
      <w:r>
        <w:rPr>
          <w:rFonts w:ascii="仿宋" w:hAnsi="仿宋" w:eastAsia="仿宋" w:cs="Arial"/>
          <w:sz w:val="32"/>
          <w:szCs w:val="32"/>
        </w:rPr>
        <w:t>万元，因年初预算为0，无法计算预算完成率</w:t>
      </w:r>
      <w:r>
        <w:rPr>
          <w:rFonts w:hint="eastAsia" w:ascii="仿宋" w:hAnsi="仿宋" w:eastAsia="仿宋" w:cs="Arial"/>
          <w:sz w:val="32"/>
          <w:szCs w:val="32"/>
        </w:rPr>
        <w:t>，决算数大于预算数的主要原因该项为省补助经费。</w:t>
      </w:r>
    </w:p>
    <w:p>
      <w:pPr>
        <w:spacing w:line="600" w:lineRule="atLeast"/>
        <w:ind w:firstLine="640"/>
        <w:jc w:val="both"/>
        <w:rPr>
          <w:rFonts w:ascii="仿宋" w:hAnsi="仿宋" w:eastAsia="仿宋"/>
          <w:sz w:val="32"/>
          <w:szCs w:val="32"/>
        </w:rPr>
      </w:pPr>
      <w:r>
        <w:rPr>
          <w:rFonts w:hint="eastAsia" w:ascii="仿宋" w:hAnsi="仿宋" w:eastAsia="仿宋"/>
          <w:sz w:val="32"/>
          <w:szCs w:val="32"/>
        </w:rPr>
        <w:t xml:space="preserve"> 6.社会保障和就业支出（类）行政事业单位离退休（款）机关事业单位基本养老保险缴费支出（项）。</w:t>
      </w:r>
      <w:r>
        <w:rPr>
          <w:rFonts w:hint="eastAsia" w:ascii="仿宋" w:hAnsi="仿宋" w:eastAsia="仿宋" w:cs="Arial"/>
          <w:sz w:val="32"/>
          <w:szCs w:val="32"/>
        </w:rPr>
        <w:t>2018年年初预算为72.05万元，2018年支出决算为80.37万元，完成年初预算的111.55%，决算数大于预算数的主要原因</w:t>
      </w:r>
      <w:r>
        <w:rPr>
          <w:rFonts w:hint="eastAsia" w:ascii="仿宋" w:hAnsi="仿宋" w:eastAsia="仿宋"/>
          <w:sz w:val="32"/>
          <w:szCs w:val="32"/>
        </w:rPr>
        <w:t>养老保险基数调整。</w:t>
      </w:r>
    </w:p>
    <w:p>
      <w:pPr>
        <w:spacing w:line="600" w:lineRule="atLeast"/>
        <w:ind w:firstLine="640"/>
        <w:jc w:val="both"/>
        <w:rPr>
          <w:rFonts w:ascii="仿宋" w:hAnsi="仿宋" w:eastAsia="仿宋"/>
          <w:sz w:val="32"/>
          <w:szCs w:val="32"/>
        </w:rPr>
      </w:pPr>
      <w:r>
        <w:rPr>
          <w:rFonts w:hint="eastAsia" w:ascii="仿宋" w:hAnsi="仿宋" w:eastAsia="仿宋"/>
          <w:sz w:val="32"/>
          <w:szCs w:val="32"/>
        </w:rPr>
        <w:t>7. 社会保障和就业支出（类）行政事业单位离退休（款）机关事业单位职业年金缴费支出（项）。</w:t>
      </w:r>
      <w:r>
        <w:rPr>
          <w:rFonts w:hint="eastAsia" w:ascii="仿宋" w:hAnsi="仿宋" w:eastAsia="仿宋" w:cs="Arial"/>
          <w:sz w:val="32"/>
          <w:szCs w:val="32"/>
        </w:rPr>
        <w:t>2018年年初预算为28.84万元，2018年支出决算为34.09万元，完成年初预算的118.20%，决算数大于预算数的主要原因</w:t>
      </w:r>
      <w:r>
        <w:rPr>
          <w:rFonts w:hint="eastAsia" w:ascii="仿宋" w:hAnsi="仿宋" w:eastAsia="仿宋"/>
          <w:sz w:val="32"/>
          <w:szCs w:val="32"/>
        </w:rPr>
        <w:t>职业年金保险基数调整。</w:t>
      </w:r>
    </w:p>
    <w:p>
      <w:pPr>
        <w:spacing w:line="600" w:lineRule="atLeast"/>
        <w:ind w:firstLine="640"/>
        <w:jc w:val="both"/>
        <w:rPr>
          <w:rFonts w:ascii="仿宋" w:hAnsi="仿宋" w:eastAsia="仿宋"/>
          <w:sz w:val="32"/>
          <w:szCs w:val="32"/>
        </w:rPr>
      </w:pPr>
      <w:r>
        <w:rPr>
          <w:rFonts w:hint="eastAsia" w:ascii="仿宋" w:hAnsi="仿宋" w:eastAsia="仿宋"/>
          <w:sz w:val="32"/>
          <w:szCs w:val="32"/>
        </w:rPr>
        <w:t>8. 医疗卫生与计划生育（类）医疗保障（款）行政单位医疗（项）。</w:t>
      </w:r>
      <w:r>
        <w:rPr>
          <w:rFonts w:hint="eastAsia" w:ascii="仿宋" w:hAnsi="仿宋" w:eastAsia="仿宋" w:cs="Arial"/>
          <w:sz w:val="32"/>
          <w:szCs w:val="32"/>
        </w:rPr>
        <w:t>2018年年初预算为36.06万元，2018年支出决算为36.22万元，完成年初预算的100.36%，决算数大于预算数的主要原因正常医疗系数调整。</w:t>
      </w:r>
    </w:p>
    <w:p>
      <w:pPr>
        <w:spacing w:line="600" w:lineRule="atLeast"/>
        <w:ind w:firstLine="640"/>
        <w:jc w:val="both"/>
        <w:rPr>
          <w:rFonts w:ascii="仿宋" w:hAnsi="仿宋" w:eastAsia="仿宋"/>
          <w:sz w:val="32"/>
          <w:szCs w:val="32"/>
        </w:rPr>
      </w:pPr>
      <w:r>
        <w:rPr>
          <w:rFonts w:hint="eastAsia" w:ascii="仿宋" w:hAnsi="仿宋" w:eastAsia="仿宋"/>
          <w:sz w:val="32"/>
          <w:szCs w:val="32"/>
        </w:rPr>
        <w:t>9. 医疗卫生与计划生育（类）医疗保障（款）事业单位医疗（项）。</w:t>
      </w:r>
      <w:r>
        <w:rPr>
          <w:rFonts w:hint="eastAsia" w:ascii="仿宋" w:hAnsi="仿宋" w:eastAsia="仿宋" w:cs="Arial"/>
          <w:sz w:val="32"/>
          <w:szCs w:val="32"/>
        </w:rPr>
        <w:t>2018年年初预算为7.22万元，2018年支出决算为7.78万元，完成年初预算的107.76%，决算数大于预算数的主要原因正常医疗系数调整。</w:t>
      </w:r>
    </w:p>
    <w:p>
      <w:pPr>
        <w:spacing w:line="600" w:lineRule="atLeast"/>
        <w:ind w:firstLine="640"/>
        <w:jc w:val="both"/>
        <w:rPr>
          <w:rFonts w:ascii="仿宋" w:hAnsi="仿宋" w:eastAsia="仿宋"/>
          <w:sz w:val="32"/>
          <w:szCs w:val="32"/>
        </w:rPr>
      </w:pPr>
      <w:r>
        <w:rPr>
          <w:rFonts w:hint="eastAsia" w:ascii="仿宋" w:hAnsi="仿宋" w:eastAsia="仿宋"/>
          <w:sz w:val="32"/>
          <w:szCs w:val="32"/>
        </w:rPr>
        <w:t>10. 住房保障支出（类）住房改革支出（款）住房公积金（项）。</w:t>
      </w:r>
      <w:r>
        <w:rPr>
          <w:rFonts w:hint="eastAsia" w:ascii="仿宋" w:hAnsi="仿宋" w:eastAsia="仿宋" w:cs="Arial"/>
          <w:sz w:val="32"/>
          <w:szCs w:val="32"/>
        </w:rPr>
        <w:t>2018年年初预算为43.37万元，2018年支出决算为57.96万元，完成年初预算的117.40%，决算数大于预算数的主要原因正常的公积系数调整。</w:t>
      </w:r>
    </w:p>
    <w:p>
      <w:pPr>
        <w:spacing w:line="600" w:lineRule="atLeast"/>
        <w:ind w:firstLine="640"/>
        <w:jc w:val="both"/>
        <w:rPr>
          <w:rFonts w:ascii="仿宋" w:hAnsi="仿宋" w:eastAsia="仿宋"/>
          <w:sz w:val="32"/>
          <w:szCs w:val="32"/>
        </w:rPr>
      </w:pPr>
      <w:r>
        <w:rPr>
          <w:rFonts w:hint="eastAsia" w:ascii="仿宋" w:hAnsi="仿宋" w:eastAsia="仿宋" w:cs="Arial"/>
          <w:sz w:val="32"/>
          <w:szCs w:val="32"/>
        </w:rPr>
        <w:t>11</w:t>
      </w:r>
      <w:r>
        <w:rPr>
          <w:rFonts w:hint="eastAsia" w:ascii="仿宋" w:hAnsi="仿宋" w:eastAsia="仿宋"/>
          <w:sz w:val="32"/>
          <w:szCs w:val="32"/>
        </w:rPr>
        <w:t>. 住房保障支出（类）住房改革支出（款）购房补贴（项）。</w:t>
      </w:r>
      <w:r>
        <w:rPr>
          <w:rFonts w:hint="eastAsia" w:ascii="仿宋" w:hAnsi="仿宋" w:eastAsia="仿宋" w:cs="Arial"/>
          <w:sz w:val="32"/>
          <w:szCs w:val="32"/>
        </w:rPr>
        <w:t>2018年年初预算为2.3万元，2018年支出决算为12.54万元，完成年初预算的545.22%，决算数大于预算数的主要原因补缴以前年度漏缴购房补贴 。</w:t>
      </w:r>
    </w:p>
    <w:p>
      <w:pPr>
        <w:spacing w:line="600" w:lineRule="atLeast"/>
        <w:ind w:firstLine="640"/>
        <w:jc w:val="both"/>
      </w:pPr>
      <w:r>
        <w:rPr>
          <w:rStyle w:val="7"/>
          <w:rFonts w:hint="eastAsia" w:ascii="楷体" w:hAnsi="楷体" w:eastAsia="楷体" w:cs="Arial"/>
          <w:sz w:val="32"/>
          <w:szCs w:val="32"/>
        </w:rPr>
        <w:t>（六）一般公共预算财政拨款基本支出决算情况说明</w:t>
      </w:r>
    </w:p>
    <w:p>
      <w:pPr>
        <w:spacing w:line="600" w:lineRule="atLeast"/>
        <w:ind w:firstLine="640"/>
        <w:jc w:val="both"/>
      </w:pPr>
      <w:r>
        <w:rPr>
          <w:rFonts w:hint="eastAsia" w:ascii="仿宋" w:hAnsi="仿宋" w:eastAsia="仿宋" w:cs="Arial"/>
          <w:sz w:val="32"/>
          <w:szCs w:val="32"/>
        </w:rPr>
        <w:t>2018年一般公共预算财政拨款基本支出1,120.18万元，其中：</w:t>
      </w:r>
    </w:p>
    <w:p>
      <w:pPr>
        <w:spacing w:line="600" w:lineRule="atLeast"/>
        <w:ind w:firstLine="640"/>
        <w:jc w:val="both"/>
      </w:pPr>
      <w:r>
        <w:rPr>
          <w:rFonts w:hint="eastAsia" w:ascii="仿宋" w:hAnsi="仿宋" w:eastAsia="仿宋" w:cs="Arial"/>
          <w:sz w:val="32"/>
          <w:szCs w:val="32"/>
        </w:rPr>
        <w:t>人员经费1,018.47万元，</w:t>
      </w:r>
      <w:r>
        <w:rPr>
          <w:rFonts w:hint="eastAsia" w:ascii="仿宋" w:hAnsi="Times New Roman" w:eastAsia="仿宋" w:cs="仿宋"/>
          <w:color w:val="000000"/>
          <w:sz w:val="32"/>
          <w:szCs w:val="32"/>
        </w:rPr>
        <w:t>包括</w:t>
      </w:r>
      <w:r>
        <w:rPr>
          <w:rFonts w:hint="eastAsia"/>
          <w:color w:val="333333"/>
          <w:szCs w:val="21"/>
          <w:shd w:val="clear" w:color="auto" w:fill="FFFFFF"/>
        </w:rPr>
        <w:t>：</w:t>
      </w:r>
      <w:r>
        <w:rPr>
          <w:rFonts w:hint="eastAsia" w:ascii="仿宋" w:hAnsi="Times New Roman" w:eastAsia="仿宋" w:cs="仿宋"/>
          <w:color w:val="000000"/>
          <w:sz w:val="32"/>
          <w:szCs w:val="32"/>
        </w:rPr>
        <w:t>基本工资、津贴补贴、奖金、社会保障缴费、医疗费、奖励金、住房公积金、其他对个人和家庭的补助支出</w:t>
      </w:r>
      <w:r>
        <w:rPr>
          <w:rFonts w:hint="eastAsia" w:ascii="仿宋" w:hAnsi="仿宋" w:eastAsia="仿宋"/>
          <w:sz w:val="32"/>
          <w:szCs w:val="32"/>
        </w:rPr>
        <w:t>；</w:t>
      </w:r>
    </w:p>
    <w:p>
      <w:pPr>
        <w:spacing w:line="600" w:lineRule="atLeast"/>
        <w:ind w:firstLine="640"/>
        <w:jc w:val="both"/>
        <w:rPr>
          <w:rFonts w:ascii="仿宋" w:hAnsi="Times New Roman" w:eastAsia="仿宋" w:cs="仿宋"/>
          <w:color w:val="000000"/>
          <w:sz w:val="32"/>
          <w:szCs w:val="32"/>
        </w:rPr>
      </w:pPr>
      <w:r>
        <w:rPr>
          <w:rFonts w:hint="eastAsia" w:ascii="仿宋" w:hAnsi="仿宋" w:eastAsia="仿宋" w:cs="Arial"/>
          <w:sz w:val="32"/>
          <w:szCs w:val="32"/>
        </w:rPr>
        <w:t>公用经费101.71万元，主要包括：</w:t>
      </w:r>
      <w:r>
        <w:rPr>
          <w:rFonts w:hint="eastAsia" w:ascii="仿宋" w:hAnsi="Times New Roman" w:eastAsia="仿宋" w:cs="仿宋"/>
          <w:color w:val="000000"/>
          <w:sz w:val="32"/>
          <w:szCs w:val="32"/>
        </w:rPr>
        <w:t>包括办公费、印刷费、水费、电费、邮电费、物业管理费、差旅费、维修费、会议费、培训费、公务接待费、劳务费、其他交通费用、其他商品和服务支出等。</w:t>
      </w:r>
    </w:p>
    <w:p>
      <w:pPr>
        <w:spacing w:line="600" w:lineRule="atLeast"/>
        <w:ind w:firstLine="640"/>
        <w:jc w:val="both"/>
      </w:pPr>
      <w:r>
        <w:rPr>
          <w:rStyle w:val="7"/>
          <w:rFonts w:hint="eastAsia" w:ascii="楷体" w:hAnsi="楷体" w:eastAsia="楷体" w:cs="Arial"/>
          <w:sz w:val="32"/>
          <w:szCs w:val="32"/>
        </w:rPr>
        <w:t>（七）政府性基金财政拨款支出决算情况说明</w:t>
      </w:r>
    </w:p>
    <w:p>
      <w:pPr>
        <w:spacing w:line="600" w:lineRule="atLeast"/>
        <w:ind w:firstLine="640"/>
        <w:jc w:val="both"/>
      </w:pPr>
      <w:r>
        <w:rPr>
          <w:rStyle w:val="7"/>
          <w:rFonts w:hint="eastAsia" w:ascii="仿宋" w:hAnsi="仿宋" w:eastAsia="仿宋" w:cs="Arial"/>
          <w:sz w:val="32"/>
          <w:szCs w:val="32"/>
        </w:rPr>
        <w:t>1.政府性基金预算财政拨款支出决算总体情况。</w:t>
      </w:r>
    </w:p>
    <w:p>
      <w:pPr>
        <w:spacing w:line="600" w:lineRule="atLeast"/>
        <w:ind w:firstLine="640"/>
        <w:jc w:val="both"/>
      </w:pPr>
      <w:r>
        <w:rPr>
          <w:rFonts w:hint="eastAsia" w:ascii="仿宋" w:hAnsi="仿宋" w:eastAsia="仿宋" w:cs="Arial"/>
          <w:sz w:val="32"/>
          <w:szCs w:val="32"/>
        </w:rPr>
        <w:t>2018年度政府性基金预算财政拨款支出110.83万元，占本年支出6.21%。与2017年相比，政府性基金预算财政拨款支出增加89.15万元，增长411.29%。主要原因是：</w:t>
      </w:r>
      <w:r>
        <w:rPr>
          <w:rFonts w:hint="eastAsia" w:ascii="仿宋" w:hAnsi="仿宋" w:eastAsia="仿宋"/>
          <w:sz w:val="32"/>
          <w:szCs w:val="32"/>
        </w:rPr>
        <w:t>人员基本支出增加。</w:t>
      </w:r>
    </w:p>
    <w:p>
      <w:pPr>
        <w:spacing w:line="600" w:lineRule="atLeast"/>
        <w:ind w:firstLine="640"/>
        <w:jc w:val="both"/>
      </w:pPr>
      <w:r>
        <w:rPr>
          <w:rStyle w:val="7"/>
          <w:rFonts w:hint="eastAsia" w:ascii="仿宋" w:hAnsi="仿宋" w:eastAsia="仿宋" w:cs="Arial"/>
          <w:sz w:val="32"/>
          <w:szCs w:val="32"/>
        </w:rPr>
        <w:t>2.政府性基金预算财政拨款支出决算结构情况。</w:t>
      </w:r>
    </w:p>
    <w:p>
      <w:pPr>
        <w:spacing w:line="600" w:lineRule="atLeast"/>
        <w:ind w:firstLine="640"/>
        <w:jc w:val="both"/>
      </w:pPr>
      <w:r>
        <w:rPr>
          <w:rFonts w:hint="eastAsia" w:ascii="仿宋" w:hAnsi="仿宋" w:eastAsia="仿宋" w:cs="Arial"/>
          <w:sz w:val="32"/>
          <w:szCs w:val="32"/>
        </w:rPr>
        <w:t>2018年度政府性基金预算财政拨款支出110.83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110.83万元,占100.00%；债务付息（类）支出0万元,占0%。</w:t>
      </w:r>
    </w:p>
    <w:p>
      <w:pPr>
        <w:spacing w:line="600" w:lineRule="atLeast"/>
        <w:ind w:firstLine="640"/>
        <w:jc w:val="both"/>
      </w:pPr>
      <w:r>
        <w:rPr>
          <w:rStyle w:val="7"/>
          <w:rFonts w:hint="eastAsia" w:ascii="仿宋" w:hAnsi="仿宋" w:eastAsia="仿宋" w:cs="Arial"/>
          <w:sz w:val="32"/>
          <w:szCs w:val="32"/>
        </w:rPr>
        <w:t>3.政府性基金预算财政拨款支出决算具体情况。</w:t>
      </w:r>
    </w:p>
    <w:p>
      <w:pPr>
        <w:spacing w:line="600" w:lineRule="atLeast"/>
        <w:ind w:firstLine="640"/>
        <w:jc w:val="both"/>
      </w:pPr>
      <w:r>
        <w:rPr>
          <w:rFonts w:hint="eastAsia" w:ascii="仿宋" w:hAnsi="仿宋" w:eastAsia="仿宋" w:cs="Arial"/>
          <w:sz w:val="32"/>
          <w:szCs w:val="32"/>
        </w:rPr>
        <w:t>2018年度政府性基金预算财政拨款支出年初预算为0万元，支出决算为110.83万元，决算大于年初预算110.83</w:t>
      </w:r>
      <w:r>
        <w:rPr>
          <w:rFonts w:ascii="仿宋" w:hAnsi="仿宋" w:eastAsia="仿宋" w:cs="Arial"/>
          <w:sz w:val="32"/>
          <w:szCs w:val="32"/>
        </w:rPr>
        <w:t>万元，因年初预算为0，无法计算预算完成率</w:t>
      </w:r>
      <w:r>
        <w:rPr>
          <w:rFonts w:hint="eastAsia" w:ascii="仿宋" w:hAnsi="仿宋" w:eastAsia="仿宋" w:cs="Arial"/>
          <w:sz w:val="32"/>
          <w:szCs w:val="32"/>
        </w:rPr>
        <w:t>，主要原因是年初无政府性基金预算财政拨款支出预算。其中：</w:t>
      </w:r>
    </w:p>
    <w:p>
      <w:pPr>
        <w:spacing w:line="600" w:lineRule="atLeast"/>
        <w:ind w:firstLine="640"/>
        <w:jc w:val="both"/>
      </w:pPr>
      <w:r>
        <w:rPr>
          <w:rFonts w:hint="eastAsia" w:ascii="仿宋" w:hAnsi="仿宋" w:eastAsia="仿宋"/>
          <w:sz w:val="32"/>
          <w:szCs w:val="32"/>
        </w:rPr>
        <w:t>其他支出（类）其他政府性基金及对应专项债务收入安排的支出（款）其他政府性基金及对应专项债务收入安排的支出（项）。</w:t>
      </w:r>
      <w:r>
        <w:rPr>
          <w:rFonts w:hint="eastAsia" w:ascii="仿宋" w:hAnsi="仿宋" w:eastAsia="仿宋" w:cs="Arial"/>
          <w:sz w:val="32"/>
          <w:szCs w:val="32"/>
        </w:rPr>
        <w:t>2018年年初预算为0万元，2018年支出决算为110.83万元，完成年初预算的100%，决算数大于预算数的主要原因</w:t>
      </w:r>
      <w:r>
        <w:rPr>
          <w:rFonts w:hint="eastAsia" w:ascii="仿宋" w:hAnsi="仿宋" w:eastAsia="仿宋"/>
          <w:sz w:val="32"/>
          <w:szCs w:val="32"/>
        </w:rPr>
        <w:t>人员基本支出增加</w:t>
      </w:r>
      <w:r>
        <w:rPr>
          <w:rFonts w:hint="eastAsia" w:ascii="仿宋" w:hAnsi="仿宋" w:eastAsia="仿宋" w:cs="Arial"/>
          <w:sz w:val="32"/>
          <w:szCs w:val="32"/>
        </w:rPr>
        <w:t>。</w:t>
      </w:r>
    </w:p>
    <w:p>
      <w:pPr>
        <w:spacing w:line="600" w:lineRule="atLeast"/>
        <w:ind w:firstLine="640"/>
        <w:jc w:val="both"/>
      </w:pPr>
      <w:r>
        <w:rPr>
          <w:rStyle w:val="7"/>
          <w:rFonts w:hint="eastAsia" w:ascii="楷体" w:hAnsi="楷体" w:eastAsia="楷体" w:cs="Arial"/>
          <w:sz w:val="32"/>
          <w:szCs w:val="32"/>
        </w:rPr>
        <w:t>（八）2018年度一般公共预算财政拨款“三公”经费支出决算情况说明</w:t>
      </w:r>
    </w:p>
    <w:p>
      <w:pPr>
        <w:spacing w:line="600" w:lineRule="atLeast"/>
        <w:ind w:firstLine="640"/>
        <w:jc w:val="both"/>
      </w:pPr>
      <w:r>
        <w:rPr>
          <w:rStyle w:val="7"/>
          <w:rFonts w:hint="eastAsia" w:ascii="仿宋" w:hAnsi="仿宋" w:eastAsia="仿宋" w:cs="Arial"/>
          <w:sz w:val="32"/>
          <w:szCs w:val="32"/>
        </w:rPr>
        <w:t xml:space="preserve">1.“三公”经费一般公共预算财政拨款支出决算总体情况说明。 </w:t>
      </w:r>
    </w:p>
    <w:p>
      <w:pPr>
        <w:spacing w:line="600" w:lineRule="atLeast"/>
        <w:ind w:firstLine="640"/>
        <w:jc w:val="both"/>
      </w:pPr>
      <w:r>
        <w:rPr>
          <w:rFonts w:hint="eastAsia" w:ascii="仿宋" w:hAnsi="仿宋" w:eastAsia="仿宋" w:cs="Arial"/>
          <w:sz w:val="32"/>
          <w:szCs w:val="32"/>
        </w:rPr>
        <w:t>2018年度“三公”经费一般公共预算财政拨款支出预算为24.52万元，支出决算为13.32万元，完成预算的54.32%,2018年度“三公”经费支出决算数小于预算数的主要原因是出国次数及经费使用减少，接待费用减少。</w:t>
      </w:r>
    </w:p>
    <w:p>
      <w:pPr>
        <w:spacing w:line="600" w:lineRule="atLeast"/>
        <w:ind w:firstLine="640"/>
        <w:jc w:val="both"/>
      </w:pPr>
      <w:r>
        <w:rPr>
          <w:rStyle w:val="7"/>
          <w:rFonts w:hint="eastAsia" w:ascii="仿宋" w:hAnsi="仿宋" w:eastAsia="仿宋" w:cs="Arial"/>
          <w:sz w:val="32"/>
          <w:szCs w:val="32"/>
        </w:rPr>
        <w:t>2.“三公”经费一般公共预算财政拨款支出决算具体情况说明。</w:t>
      </w:r>
    </w:p>
    <w:p>
      <w:pPr>
        <w:spacing w:line="600" w:lineRule="atLeast"/>
        <w:ind w:firstLine="640"/>
        <w:jc w:val="both"/>
      </w:pPr>
      <w:r>
        <w:rPr>
          <w:rFonts w:hint="eastAsia" w:ascii="仿宋" w:hAnsi="仿宋" w:eastAsia="仿宋" w:cs="Arial"/>
          <w:sz w:val="32"/>
          <w:szCs w:val="32"/>
        </w:rPr>
        <w:t>2018年度“三公”经费一般公共预算财政拨款支出决算中，因公出国（境）费用支出决算为4.05万元，占30.44%，与2017年度相比，减少5.46万元，下降57.38%，主要原因是出国次数减少1次费用减少；公务用车购置及运行维护费支出决算为0万元，占比0%，与2017年度相比，增加0万元，增长0%，主要原因是</w:t>
      </w:r>
      <w:r>
        <w:rPr>
          <w:rFonts w:ascii="仿宋" w:hAnsi="仿宋" w:eastAsia="仿宋" w:cs="Arial"/>
          <w:sz w:val="32"/>
          <w:szCs w:val="32"/>
        </w:rPr>
        <w:t>2017和2018年度均无公务用车购置及运行维护费支出</w:t>
      </w:r>
      <w:r>
        <w:rPr>
          <w:rFonts w:hint="eastAsia" w:ascii="仿宋" w:hAnsi="仿宋" w:eastAsia="仿宋" w:cs="Arial"/>
          <w:sz w:val="32"/>
          <w:szCs w:val="32"/>
        </w:rPr>
        <w:t>；公务接待费支出决算为9.26万元，占69.56%，与2017年度相比，减少4.08万元，下降30.55%，主要原因是</w:t>
      </w:r>
      <w:r>
        <w:rPr>
          <w:rFonts w:hint="eastAsia" w:ascii="仿宋" w:hAnsi="仿宋" w:eastAsia="仿宋"/>
          <w:sz w:val="32"/>
          <w:szCs w:val="32"/>
        </w:rPr>
        <w:t>接待人数批次减少</w:t>
      </w:r>
      <w:r>
        <w:rPr>
          <w:rFonts w:hint="eastAsia" w:ascii="仿宋" w:hAnsi="仿宋" w:eastAsia="仿宋" w:cs="Arial"/>
          <w:sz w:val="32"/>
          <w:szCs w:val="32"/>
        </w:rPr>
        <w:t>。具体情况如下：</w:t>
      </w:r>
    </w:p>
    <w:p>
      <w:pPr>
        <w:spacing w:line="600" w:lineRule="atLeast"/>
        <w:ind w:firstLine="640"/>
        <w:jc w:val="both"/>
      </w:pPr>
      <w:r>
        <w:rPr>
          <w:rStyle w:val="7"/>
          <w:rFonts w:hint="eastAsia" w:ascii="仿宋" w:hAnsi="仿宋" w:eastAsia="仿宋" w:cs="Arial"/>
          <w:sz w:val="32"/>
          <w:szCs w:val="32"/>
        </w:rPr>
        <w:t>（1）因公出国（境）费</w:t>
      </w:r>
      <w:r>
        <w:rPr>
          <w:rFonts w:hint="eastAsia" w:ascii="仿宋" w:hAnsi="仿宋" w:eastAsia="仿宋" w:cs="Arial"/>
          <w:sz w:val="32"/>
          <w:szCs w:val="32"/>
        </w:rPr>
        <w:t>年初预算数为0万元，支出决算数为4.05万元，2018年决算大于年初预算4.05</w:t>
      </w:r>
      <w:r>
        <w:rPr>
          <w:rFonts w:ascii="仿宋" w:hAnsi="仿宋" w:eastAsia="仿宋" w:cs="Arial"/>
          <w:sz w:val="32"/>
          <w:szCs w:val="32"/>
        </w:rPr>
        <w:t>万元，因年初预算为0，无法计算预算完成率</w:t>
      </w:r>
      <w:r>
        <w:rPr>
          <w:rFonts w:hint="eastAsia" w:ascii="仿宋" w:hAnsi="仿宋" w:eastAsia="仿宋" w:cs="Arial"/>
          <w:sz w:val="32"/>
          <w:szCs w:val="32"/>
        </w:rPr>
        <w:t>。主要用于</w:t>
      </w:r>
      <w:r>
        <w:rPr>
          <w:rFonts w:hint="eastAsia" w:ascii="仿宋" w:hAnsi="仿宋" w:eastAsia="仿宋"/>
          <w:sz w:val="32"/>
          <w:szCs w:val="32"/>
        </w:rPr>
        <w:t>机关及下属预算单位人员的公务出国（境）的住宿费、国际旅费、培训费、公杂费等支出。</w:t>
      </w:r>
      <w:r>
        <w:rPr>
          <w:rFonts w:hint="eastAsia" w:ascii="仿宋" w:hAnsi="仿宋" w:eastAsia="仿宋" w:cs="Arial"/>
          <w:sz w:val="32"/>
          <w:szCs w:val="32"/>
        </w:rPr>
        <w:t>决算数大于预算数的主要原因是出国经费由财政统筹使用，各单位年初无计划及预算。</w:t>
      </w:r>
    </w:p>
    <w:p>
      <w:pPr>
        <w:spacing w:line="600" w:lineRule="atLeast"/>
        <w:ind w:firstLine="640"/>
        <w:jc w:val="both"/>
      </w:pPr>
      <w:r>
        <w:rPr>
          <w:rFonts w:hint="eastAsia" w:ascii="仿宋" w:hAnsi="仿宋" w:eastAsia="仿宋" w:cs="Arial"/>
          <w:sz w:val="32"/>
          <w:szCs w:val="32"/>
        </w:rPr>
        <w:t>其中，全年使用一般公共预算财政拨款本单位组织因公出国(境)团组0个；本单位全年因公出国(境)累计1人次。</w:t>
      </w:r>
    </w:p>
    <w:p>
      <w:pPr>
        <w:spacing w:line="600" w:lineRule="atLeast"/>
        <w:ind w:firstLine="640"/>
        <w:jc w:val="both"/>
      </w:pPr>
      <w:r>
        <w:rPr>
          <w:rStyle w:val="7"/>
          <w:rFonts w:hint="eastAsia" w:ascii="仿宋" w:hAnsi="仿宋" w:eastAsia="仿宋" w:cs="Arial"/>
          <w:sz w:val="32"/>
          <w:szCs w:val="32"/>
        </w:rPr>
        <w:t>（2）公务用车购置及运行维护费</w:t>
      </w:r>
      <w:r>
        <w:rPr>
          <w:rFonts w:hint="eastAsia" w:ascii="仿宋" w:hAnsi="仿宋" w:eastAsia="仿宋" w:cs="Arial"/>
          <w:sz w:val="32"/>
          <w:szCs w:val="32"/>
        </w:rPr>
        <w:t>年初预算数为0万元，支出决算为0万元，完成年初预算的0%，决算数等于预算数的主要原因是无预算，无支出。</w:t>
      </w:r>
    </w:p>
    <w:p>
      <w:pPr>
        <w:spacing w:line="600" w:lineRule="atLeast"/>
        <w:ind w:firstLine="640"/>
        <w:jc w:val="both"/>
      </w:pPr>
      <w:r>
        <w:rPr>
          <w:rStyle w:val="7"/>
          <w:rFonts w:hint="eastAsia" w:ascii="仿宋" w:hAnsi="仿宋" w:eastAsia="仿宋" w:cs="Arial"/>
          <w:sz w:val="32"/>
          <w:szCs w:val="32"/>
        </w:rPr>
        <w:t>公务用车购置</w:t>
      </w:r>
      <w:r>
        <w:rPr>
          <w:rFonts w:hint="eastAsia" w:ascii="仿宋" w:hAnsi="仿宋" w:eastAsia="仿宋" w:cs="Arial"/>
          <w:sz w:val="32"/>
          <w:szCs w:val="32"/>
        </w:rPr>
        <w:t>支出0万元（含购置税等附加费用），主要用于经批准购置的0辆公务用车；</w:t>
      </w:r>
    </w:p>
    <w:p>
      <w:pPr>
        <w:spacing w:line="600" w:lineRule="atLeast"/>
        <w:ind w:firstLine="640"/>
        <w:jc w:val="both"/>
      </w:pPr>
      <w:r>
        <w:rPr>
          <w:rStyle w:val="7"/>
          <w:rFonts w:hint="eastAsia" w:ascii="仿宋" w:hAnsi="仿宋" w:eastAsia="仿宋" w:cs="Arial"/>
          <w:sz w:val="32"/>
          <w:szCs w:val="32"/>
        </w:rPr>
        <w:t>公务用车运行维护费</w:t>
      </w:r>
      <w:r>
        <w:rPr>
          <w:rFonts w:hint="eastAsia" w:ascii="仿宋" w:hAnsi="仿宋" w:eastAsia="仿宋" w:cs="Arial"/>
          <w:sz w:val="32"/>
          <w:szCs w:val="32"/>
        </w:rPr>
        <w:t>支出0万元，主要用于公务用车燃料费、维修费、过路过桥费、保险费、安全奖励费用等支出；2018年度，本级及所属单位开支一般公共预算财政拨款的公务用车保有量为0辆。</w:t>
      </w:r>
    </w:p>
    <w:p>
      <w:pPr>
        <w:spacing w:line="600" w:lineRule="atLeast"/>
        <w:ind w:firstLine="640"/>
        <w:jc w:val="both"/>
      </w:pPr>
      <w:r>
        <w:rPr>
          <w:rStyle w:val="7"/>
          <w:rFonts w:hint="eastAsia" w:ascii="仿宋" w:hAnsi="仿宋" w:eastAsia="仿宋" w:cs="Arial"/>
          <w:sz w:val="32"/>
          <w:szCs w:val="32"/>
        </w:rPr>
        <w:t>（3）公务接待费</w:t>
      </w:r>
      <w:r>
        <w:rPr>
          <w:rFonts w:hint="eastAsia" w:ascii="仿宋" w:hAnsi="仿宋" w:eastAsia="仿宋" w:cs="Arial"/>
          <w:sz w:val="32"/>
          <w:szCs w:val="32"/>
        </w:rPr>
        <w:t>年初预算数为24.52万元，支出决算为9.26万元，完成年初预算的37.78%。主要用于</w:t>
      </w:r>
      <w:r>
        <w:rPr>
          <w:rFonts w:hint="eastAsia" w:ascii="仿宋" w:hAnsi="仿宋" w:eastAsia="仿宋"/>
          <w:sz w:val="32"/>
          <w:szCs w:val="32"/>
        </w:rPr>
        <w:t>接待各地来温商会及其他单位等支出。</w:t>
      </w:r>
      <w:r>
        <w:rPr>
          <w:rFonts w:hint="eastAsia" w:ascii="仿宋" w:hAnsi="仿宋" w:eastAsia="仿宋" w:cs="Arial"/>
          <w:sz w:val="32"/>
          <w:szCs w:val="32"/>
        </w:rPr>
        <w:t>决算数小于预算数的主要原因是</w:t>
      </w:r>
      <w:r>
        <w:rPr>
          <w:rFonts w:hint="eastAsia" w:ascii="仿宋" w:hAnsi="仿宋" w:eastAsia="仿宋"/>
          <w:sz w:val="32"/>
          <w:szCs w:val="32"/>
        </w:rPr>
        <w:t>接待人数批次减少</w:t>
      </w:r>
      <w:r>
        <w:rPr>
          <w:rFonts w:hint="eastAsia" w:ascii="仿宋" w:hAnsi="仿宋" w:eastAsia="仿宋" w:cs="Arial"/>
          <w:sz w:val="32"/>
          <w:szCs w:val="32"/>
        </w:rPr>
        <w:t>。全年使用一般公共预算财政拨款国内公务接待55批次，累计875人次。</w:t>
      </w:r>
    </w:p>
    <w:p>
      <w:pPr>
        <w:spacing w:line="600" w:lineRule="atLeast"/>
        <w:ind w:firstLine="640"/>
        <w:jc w:val="both"/>
      </w:pPr>
      <w:r>
        <w:rPr>
          <w:rStyle w:val="7"/>
          <w:rFonts w:hint="eastAsia" w:ascii="仿宋" w:hAnsi="仿宋" w:eastAsia="仿宋" w:cs="Arial"/>
          <w:sz w:val="32"/>
          <w:szCs w:val="32"/>
        </w:rPr>
        <w:t>外宾接待</w:t>
      </w:r>
      <w:r>
        <w:rPr>
          <w:rFonts w:hint="eastAsia" w:ascii="仿宋" w:hAnsi="仿宋" w:eastAsia="仿宋" w:cs="Arial"/>
          <w:sz w:val="32"/>
          <w:szCs w:val="32"/>
        </w:rPr>
        <w:t>支出0万元；接待0人次，0批次。</w:t>
      </w:r>
    </w:p>
    <w:p>
      <w:pPr>
        <w:spacing w:line="600" w:lineRule="atLeast"/>
        <w:ind w:firstLine="640"/>
        <w:jc w:val="both"/>
      </w:pPr>
      <w:r>
        <w:rPr>
          <w:rStyle w:val="7"/>
          <w:rFonts w:hint="eastAsia" w:ascii="仿宋" w:hAnsi="仿宋" w:eastAsia="仿宋" w:cs="Arial"/>
          <w:sz w:val="32"/>
          <w:szCs w:val="32"/>
        </w:rPr>
        <w:t>其他国内公务接待</w:t>
      </w:r>
      <w:r>
        <w:rPr>
          <w:rFonts w:hint="eastAsia" w:ascii="仿宋" w:hAnsi="仿宋" w:eastAsia="仿宋" w:cs="Arial"/>
          <w:sz w:val="32"/>
          <w:szCs w:val="32"/>
        </w:rPr>
        <w:t>支出9.26万元，主要用于</w:t>
      </w:r>
      <w:r>
        <w:rPr>
          <w:rFonts w:hint="eastAsia" w:ascii="仿宋" w:hAnsi="仿宋" w:eastAsia="仿宋"/>
          <w:sz w:val="32"/>
          <w:szCs w:val="32"/>
        </w:rPr>
        <w:t>接待各地来温商会及其他单位等支出。</w:t>
      </w:r>
      <w:r>
        <w:rPr>
          <w:rFonts w:hint="eastAsia" w:ascii="仿宋" w:hAnsi="仿宋" w:eastAsia="仿宋" w:cs="Arial"/>
          <w:sz w:val="32"/>
          <w:szCs w:val="32"/>
        </w:rPr>
        <w:t>接待875人次，55批次。</w:t>
      </w:r>
    </w:p>
    <w:p>
      <w:pPr>
        <w:spacing w:line="600" w:lineRule="atLeast"/>
        <w:ind w:firstLine="640"/>
        <w:jc w:val="both"/>
      </w:pPr>
      <w:r>
        <w:rPr>
          <w:rStyle w:val="7"/>
          <w:rFonts w:hint="eastAsia" w:ascii="楷体" w:hAnsi="楷体" w:eastAsia="楷体" w:cs="Arial"/>
          <w:sz w:val="32"/>
          <w:szCs w:val="32"/>
        </w:rPr>
        <w:t>（九）部门预算绩效情况说明</w:t>
      </w:r>
    </w:p>
    <w:p>
      <w:pPr>
        <w:spacing w:line="600" w:lineRule="atLeast"/>
        <w:ind w:firstLine="640"/>
        <w:jc w:val="both"/>
      </w:pPr>
      <w:r>
        <w:rPr>
          <w:rStyle w:val="7"/>
          <w:rFonts w:hint="eastAsia" w:ascii="仿宋" w:hAnsi="仿宋" w:eastAsia="仿宋" w:cs="Arial"/>
          <w:sz w:val="32"/>
          <w:szCs w:val="32"/>
        </w:rPr>
        <w:t>1.预算绩效管理工作开展情况。</w:t>
      </w:r>
    </w:p>
    <w:p>
      <w:pPr>
        <w:spacing w:line="600" w:lineRule="atLeast"/>
        <w:ind w:firstLine="640"/>
        <w:jc w:val="both"/>
      </w:pPr>
      <w:r>
        <w:rPr>
          <w:rFonts w:hint="eastAsia" w:ascii="仿宋" w:hAnsi="仿宋" w:eastAsia="仿宋" w:cs="Arial"/>
          <w:sz w:val="32"/>
          <w:szCs w:val="32"/>
        </w:rPr>
        <w:t>根据预算管理要求，温州市招商局（汇总）组织开展了2018年度一般公共预算项目支出绩效自评，涉及项目8个，涉及当年一般公共预算资金659万元，占项目资金预算总额的100%。</w:t>
      </w:r>
    </w:p>
    <w:p>
      <w:pPr>
        <w:spacing w:line="600" w:lineRule="atLeast"/>
        <w:ind w:firstLine="640"/>
        <w:jc w:val="both"/>
      </w:pPr>
      <w:r>
        <w:rPr>
          <w:rStyle w:val="7"/>
          <w:rFonts w:hint="eastAsia" w:ascii="仿宋" w:hAnsi="仿宋" w:eastAsia="仿宋" w:cs="Arial"/>
          <w:sz w:val="32"/>
          <w:szCs w:val="32"/>
        </w:rPr>
        <w:t>2.部门决算中项目绩效自评结果：</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温州市招商局（汇总）在2018年度部门决算中反映山海协作和区域合作工作经费（2018）和商会工作经费（2018）的项目绩效自评结果。</w:t>
      </w:r>
    </w:p>
    <w:p>
      <w:pPr>
        <w:spacing w:line="600" w:lineRule="atLeast"/>
        <w:ind w:firstLine="640"/>
        <w:jc w:val="both"/>
      </w:pPr>
      <w:r>
        <w:rPr>
          <w:rFonts w:hint="eastAsia" w:ascii="仿宋" w:hAnsi="仿宋" w:eastAsia="仿宋" w:cs="Arial"/>
          <w:sz w:val="32"/>
          <w:szCs w:val="32"/>
        </w:rPr>
        <w:t>山海协作和区域合作工作经费（2018）项目绩效自评综述：根据年初设定的绩效目标，项目自评得分85分，自评结论为“良”。项目全年预算数为26万元，执行数为21.73万元，完成预算的83.58%。主要产出和效果：努力推进欠发达地区加快发展和发达地区产业结构优化升级，促进全省区域协调发展、同步实现现代化；加入“闽浙赣皖”和“长三角”协作区是为了更好体现温州区位优势，发展温州经济。发现的问题及原因：一是预算不够细化；二是预算执行力不够。下一步改进措施：一是细化预算；二是</w:t>
      </w:r>
      <w:r>
        <w:rPr>
          <w:rFonts w:hint="eastAsia" w:ascii="仿宋_GB2312" w:hAnsi="仿宋_GB2312" w:eastAsia="仿宋_GB2312" w:cs="仿宋_GB2312"/>
          <w:bCs/>
          <w:sz w:val="32"/>
          <w:szCs w:val="32"/>
        </w:rPr>
        <w:t>规范项目资金使用管理行为</w:t>
      </w:r>
      <w:r>
        <w:rPr>
          <w:rFonts w:hint="eastAsia" w:ascii="仿宋" w:hAnsi="仿宋" w:eastAsia="仿宋" w:cs="Arial"/>
          <w:sz w:val="32"/>
          <w:szCs w:val="32"/>
        </w:rPr>
        <w:t>。</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商会工作经费（2018）项目绩效自评综述：根据年初设定的绩效目标，项目自评得分90分，自评结论为“优”。项目全年预算数为50万元，执行数为49.83万元，完成预算的99.67%。主要产出和效果：一是支持温商发展、鼓励温商回乡投资创业；二是支持温商发展、鼓励温商回乡投资创业；三是引导温商积极参与家乡“五水共治”活动，共同建设浙南美丽水乡。发现的问题及原因：一是项目预算编制不细化；二是项目实施程序不完善。下一步改进措施：一是积极完善项目明细预算编制；二是完善研究项目实施相关程序。</w:t>
      </w:r>
    </w:p>
    <w:p>
      <w:pPr>
        <w:jc w:val="center"/>
        <w:rPr>
          <w:rFonts w:ascii="方正小标宋简体" w:hAnsi="黑体" w:eastAsia="方正小标宋简体"/>
          <w:color w:val="000000"/>
          <w:sz w:val="44"/>
          <w:szCs w:val="44"/>
        </w:rPr>
      </w:pPr>
      <w:r>
        <w:rPr>
          <w:rFonts w:ascii="方正小标宋简体" w:hAnsi="黑体" w:eastAsia="方正小标宋简体"/>
          <w:color w:val="000000"/>
          <w:sz w:val="44"/>
          <w:szCs w:val="44"/>
        </w:rPr>
        <w:t>201</w:t>
      </w:r>
      <w:r>
        <w:rPr>
          <w:rFonts w:hint="eastAsia" w:ascii="方正小标宋简体" w:hAnsi="黑体" w:eastAsia="方正小标宋简体"/>
          <w:color w:val="000000"/>
          <w:sz w:val="44"/>
          <w:szCs w:val="44"/>
        </w:rPr>
        <w:t>8年度温州市财政支出项目绩效自评表</w:t>
      </w:r>
    </w:p>
    <w:p>
      <w:pPr>
        <w:snapToGrid w:val="0"/>
        <w:spacing w:line="360" w:lineRule="exact"/>
        <w:ind w:right="420"/>
        <w:jc w:val="center"/>
        <w:rPr>
          <w:rFonts w:ascii="仿宋_GB2312" w:hAnsi="SimSun-ExtB" w:eastAsia="仿宋_GB2312"/>
          <w:color w:val="000000"/>
          <w:szCs w:val="21"/>
        </w:rPr>
      </w:pPr>
      <w:r>
        <w:rPr>
          <w:rFonts w:ascii="仿宋_GB2312" w:hAnsi="SimSun-ExtB" w:eastAsia="仿宋_GB2312"/>
          <w:color w:val="000000"/>
          <w:szCs w:val="21"/>
        </w:rPr>
        <w:t xml:space="preserve">                                                              </w:t>
      </w:r>
      <w:r>
        <w:rPr>
          <w:rFonts w:hint="eastAsia" w:ascii="仿宋_GB2312" w:eastAsia="仿宋_GB2312"/>
          <w:color w:val="000000"/>
          <w:szCs w:val="21"/>
        </w:rPr>
        <w:t>金额单位：万元</w:t>
      </w:r>
    </w:p>
    <w:tbl>
      <w:tblPr>
        <w:tblStyle w:val="5"/>
        <w:tblW w:w="9662"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854"/>
        <w:gridCol w:w="330"/>
        <w:gridCol w:w="1034"/>
        <w:gridCol w:w="402"/>
        <w:gridCol w:w="1271"/>
        <w:gridCol w:w="1553"/>
        <w:gridCol w:w="1199"/>
        <w:gridCol w:w="73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96"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项目单位</w:t>
            </w:r>
          </w:p>
          <w:p>
            <w:pPr>
              <w:snapToGrid w:val="0"/>
              <w:spacing w:line="320" w:lineRule="exact"/>
              <w:jc w:val="center"/>
              <w:rPr>
                <w:rFonts w:ascii="仿宋_GB2312" w:hAnsi="SimSun-ExtB" w:eastAsia="仿宋_GB2312"/>
                <w:color w:val="000000"/>
              </w:rPr>
            </w:pPr>
            <w:r>
              <w:rPr>
                <w:rFonts w:hint="eastAsia" w:ascii="仿宋_GB2312" w:eastAsia="仿宋_GB2312"/>
                <w:color w:val="000000"/>
              </w:rPr>
              <w:t>名称</w:t>
            </w:r>
          </w:p>
        </w:tc>
        <w:tc>
          <w:tcPr>
            <w:tcW w:w="2218" w:type="dxa"/>
            <w:gridSpan w:val="3"/>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温州市招商局</w:t>
            </w:r>
          </w:p>
        </w:tc>
        <w:tc>
          <w:tcPr>
            <w:tcW w:w="1673" w:type="dxa"/>
            <w:gridSpan w:val="2"/>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项目名称</w:t>
            </w:r>
          </w:p>
        </w:tc>
        <w:tc>
          <w:tcPr>
            <w:tcW w:w="4475" w:type="dxa"/>
            <w:gridSpan w:val="4"/>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商会工作经费</w:t>
            </w:r>
            <w:r>
              <w:rPr>
                <w:rFonts w:hint="eastAsia" w:ascii="仿宋_GB2312" w:hAnsi="SimSun-ExtB" w:eastAsia="仿宋_GB2312"/>
                <w:color w:val="000000"/>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96"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w:t>
            </w:r>
          </w:p>
          <w:p>
            <w:pPr>
              <w:snapToGrid w:val="0"/>
              <w:spacing w:line="320" w:lineRule="exact"/>
              <w:jc w:val="center"/>
              <w:rPr>
                <w:rFonts w:ascii="仿宋_GB2312" w:hAnsi="SimSun-ExtB" w:eastAsia="仿宋_GB2312"/>
                <w:color w:val="000000"/>
              </w:rPr>
            </w:pPr>
            <w:r>
              <w:rPr>
                <w:rFonts w:hint="eastAsia" w:ascii="仿宋_GB2312" w:eastAsia="仿宋_GB2312"/>
                <w:color w:val="000000"/>
              </w:rPr>
              <w:t>责任部门</w:t>
            </w:r>
          </w:p>
        </w:tc>
        <w:tc>
          <w:tcPr>
            <w:tcW w:w="2218" w:type="dxa"/>
            <w:gridSpan w:val="3"/>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商会工作处</w:t>
            </w:r>
          </w:p>
        </w:tc>
        <w:tc>
          <w:tcPr>
            <w:tcW w:w="1673" w:type="dxa"/>
            <w:gridSpan w:val="2"/>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项目负责人</w:t>
            </w:r>
          </w:p>
        </w:tc>
        <w:tc>
          <w:tcPr>
            <w:tcW w:w="1553" w:type="dxa"/>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吴晓梦</w:t>
            </w:r>
          </w:p>
        </w:tc>
        <w:tc>
          <w:tcPr>
            <w:tcW w:w="1199"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联系电话</w:t>
            </w:r>
          </w:p>
        </w:tc>
        <w:tc>
          <w:tcPr>
            <w:tcW w:w="1723" w:type="dxa"/>
            <w:gridSpan w:val="2"/>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88967031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96" w:type="dxa"/>
            <w:vMerge w:val="restart"/>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w:t>
            </w:r>
          </w:p>
          <w:p>
            <w:pPr>
              <w:snapToGrid w:val="0"/>
              <w:spacing w:line="320" w:lineRule="exact"/>
              <w:jc w:val="center"/>
              <w:rPr>
                <w:rFonts w:ascii="仿宋_GB2312" w:hAnsi="SimSun-ExtB" w:eastAsia="仿宋_GB2312"/>
                <w:color w:val="000000"/>
              </w:rPr>
            </w:pPr>
            <w:r>
              <w:rPr>
                <w:rFonts w:hint="eastAsia" w:ascii="仿宋_GB2312" w:eastAsia="仿宋_GB2312"/>
                <w:color w:val="000000"/>
              </w:rPr>
              <w:t>基本</w:t>
            </w:r>
          </w:p>
          <w:p>
            <w:pPr>
              <w:snapToGrid w:val="0"/>
              <w:spacing w:line="320" w:lineRule="exact"/>
              <w:jc w:val="center"/>
              <w:rPr>
                <w:rFonts w:ascii="仿宋_GB2312" w:hAnsi="SimSun-ExtB" w:eastAsia="仿宋_GB2312"/>
                <w:color w:val="000000"/>
              </w:rPr>
            </w:pPr>
            <w:r>
              <w:rPr>
                <w:rFonts w:hint="eastAsia" w:ascii="仿宋_GB2312" w:eastAsia="仿宋_GB2312"/>
                <w:color w:val="000000"/>
              </w:rPr>
              <w:t>情况</w:t>
            </w:r>
          </w:p>
        </w:tc>
        <w:tc>
          <w:tcPr>
            <w:tcW w:w="1184" w:type="dxa"/>
            <w:gridSpan w:val="2"/>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上年结转</w:t>
            </w:r>
          </w:p>
        </w:tc>
        <w:tc>
          <w:tcPr>
            <w:tcW w:w="1436" w:type="dxa"/>
            <w:gridSpan w:val="2"/>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预算安排数</w:t>
            </w:r>
          </w:p>
        </w:tc>
        <w:tc>
          <w:tcPr>
            <w:tcW w:w="1271"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预算调整数</w:t>
            </w:r>
          </w:p>
        </w:tc>
        <w:tc>
          <w:tcPr>
            <w:tcW w:w="1553"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财政支付数</w:t>
            </w:r>
          </w:p>
        </w:tc>
        <w:tc>
          <w:tcPr>
            <w:tcW w:w="2922" w:type="dxa"/>
            <w:gridSpan w:val="3"/>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96" w:type="dxa"/>
            <w:vMerge w:val="continue"/>
            <w:vAlign w:val="center"/>
          </w:tcPr>
          <w:p>
            <w:pPr>
              <w:snapToGrid w:val="0"/>
              <w:spacing w:line="320" w:lineRule="exact"/>
              <w:jc w:val="center"/>
              <w:rPr>
                <w:rFonts w:ascii="仿宋_GB2312" w:hAnsi="SimSun-ExtB" w:eastAsia="仿宋_GB2312"/>
                <w:color w:val="000000"/>
              </w:rPr>
            </w:pPr>
          </w:p>
        </w:tc>
        <w:tc>
          <w:tcPr>
            <w:tcW w:w="1184" w:type="dxa"/>
            <w:gridSpan w:val="2"/>
            <w:vAlign w:val="center"/>
          </w:tcPr>
          <w:p>
            <w:pPr>
              <w:snapToGrid w:val="0"/>
              <w:spacing w:line="320" w:lineRule="exact"/>
              <w:jc w:val="center"/>
              <w:rPr>
                <w:rFonts w:ascii="仿宋_GB2312" w:hAnsi="SimSun-ExtB" w:eastAsia="仿宋_GB2312"/>
                <w:color w:val="000000"/>
              </w:rPr>
            </w:pPr>
          </w:p>
        </w:tc>
        <w:tc>
          <w:tcPr>
            <w:tcW w:w="1436" w:type="dxa"/>
            <w:gridSpan w:val="2"/>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50</w:t>
            </w:r>
          </w:p>
        </w:tc>
        <w:tc>
          <w:tcPr>
            <w:tcW w:w="1271" w:type="dxa"/>
            <w:vAlign w:val="center"/>
          </w:tcPr>
          <w:p>
            <w:pPr>
              <w:snapToGrid w:val="0"/>
              <w:spacing w:line="320" w:lineRule="exact"/>
              <w:jc w:val="center"/>
              <w:rPr>
                <w:rFonts w:ascii="仿宋_GB2312" w:hAnsi="SimSun-ExtB" w:eastAsia="仿宋_GB2312"/>
                <w:color w:val="000000"/>
              </w:rPr>
            </w:pPr>
          </w:p>
        </w:tc>
        <w:tc>
          <w:tcPr>
            <w:tcW w:w="1553" w:type="dxa"/>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49.83</w:t>
            </w:r>
          </w:p>
        </w:tc>
        <w:tc>
          <w:tcPr>
            <w:tcW w:w="2922" w:type="dxa"/>
            <w:gridSpan w:val="3"/>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296" w:type="dxa"/>
            <w:tcBorders>
              <w:top w:val="single" w:color="auto" w:sz="4" w:space="0"/>
              <w:right w:val="single" w:color="auto" w:sz="4" w:space="0"/>
            </w:tcBorders>
            <w:vAlign w:val="center"/>
          </w:tcPr>
          <w:p>
            <w:pPr>
              <w:spacing w:line="320" w:lineRule="exact"/>
              <w:jc w:val="center"/>
              <w:rPr>
                <w:rFonts w:ascii="仿宋_GB2312" w:hAnsi="SimSun-ExtB" w:eastAsia="仿宋_GB2312"/>
                <w:b/>
              </w:rPr>
            </w:pPr>
            <w:r>
              <w:rPr>
                <w:rFonts w:hint="eastAsia" w:ascii="仿宋_GB2312" w:eastAsia="仿宋_GB2312"/>
                <w:b/>
              </w:rPr>
              <w:t>评价内容</w:t>
            </w:r>
          </w:p>
        </w:tc>
        <w:tc>
          <w:tcPr>
            <w:tcW w:w="854"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rPr>
            </w:pPr>
            <w:r>
              <w:rPr>
                <w:rFonts w:hint="eastAsia" w:ascii="仿宋_GB2312" w:eastAsia="仿宋_GB2312"/>
                <w:b/>
              </w:rPr>
              <w:t>分值</w:t>
            </w:r>
          </w:p>
        </w:tc>
        <w:tc>
          <w:tcPr>
            <w:tcW w:w="6520" w:type="dxa"/>
            <w:gridSpan w:val="7"/>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rPr>
            </w:pPr>
            <w:r>
              <w:rPr>
                <w:rFonts w:hint="eastAsia" w:ascii="仿宋_GB2312" w:eastAsia="仿宋_GB2312"/>
                <w:b/>
              </w:rPr>
              <w:t>自评简述</w:t>
            </w:r>
          </w:p>
        </w:tc>
        <w:tc>
          <w:tcPr>
            <w:tcW w:w="992" w:type="dxa"/>
            <w:tcBorders>
              <w:top w:val="single" w:color="auto" w:sz="4" w:space="0"/>
              <w:left w:val="single" w:color="auto" w:sz="4" w:space="0"/>
            </w:tcBorders>
            <w:vAlign w:val="center"/>
          </w:tcPr>
          <w:p>
            <w:pPr>
              <w:spacing w:line="320" w:lineRule="exact"/>
              <w:jc w:val="center"/>
              <w:rPr>
                <w:rFonts w:ascii="仿宋_GB2312" w:hAnsi="SimSun-ExtB" w:eastAsia="仿宋_GB2312"/>
                <w:b/>
              </w:rPr>
            </w:pPr>
            <w:r>
              <w:rPr>
                <w:rFonts w:hint="eastAsia" w:ascii="仿宋_GB2312" w:eastAsia="仿宋_GB2312"/>
                <w:b/>
              </w:rPr>
              <w:t>自评得分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1296"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项目预算及预期绩效目标编制水平</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c>
          <w:tcPr>
            <w:tcW w:w="652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rPr>
            </w:pPr>
            <w:r>
              <w:rPr>
                <w:rFonts w:hint="eastAsia" w:ascii="仿宋_GB2312" w:hAnsi="SimSun-ExtB" w:eastAsia="仿宋_GB2312"/>
                <w:color w:val="000000"/>
              </w:rPr>
              <w:t>项目预算及预期绩效目标编制较好</w:t>
            </w:r>
          </w:p>
        </w:tc>
        <w:tc>
          <w:tcPr>
            <w:tcW w:w="992"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296"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预算执行率</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c>
          <w:tcPr>
            <w:tcW w:w="652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rPr>
            </w:pPr>
            <w:r>
              <w:rPr>
                <w:rFonts w:hint="eastAsia" w:ascii="仿宋_GB2312" w:hAnsi="SimSun-ExtB" w:eastAsia="仿宋_GB2312"/>
                <w:color w:val="000000"/>
              </w:rPr>
              <w:t>99</w:t>
            </w:r>
            <w:r>
              <w:rPr>
                <w:rFonts w:ascii="仿宋_GB2312" w:hAnsi="SimSun-ExtB" w:eastAsia="仿宋_GB2312"/>
                <w:color w:val="000000"/>
              </w:rPr>
              <w:t>%</w:t>
            </w:r>
          </w:p>
        </w:tc>
        <w:tc>
          <w:tcPr>
            <w:tcW w:w="992"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296"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项目组织管理水平</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c>
          <w:tcPr>
            <w:tcW w:w="652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SimSun-ExtB" w:eastAsia="仿宋_GB2312"/>
                <w:color w:val="000000"/>
              </w:rPr>
            </w:pPr>
            <w:r>
              <w:rPr>
                <w:rFonts w:hint="eastAsia" w:ascii="仿宋_GB2312" w:eastAsia="仿宋_GB2312"/>
                <w:szCs w:val="21"/>
              </w:rPr>
              <w:t>为确保该项工作顺利开展，我局以创新驱动方式，提高温州产品在国内市场占有率为目标，大力开展互联网</w:t>
            </w:r>
            <w:r>
              <w:rPr>
                <w:rFonts w:ascii="仿宋_GB2312" w:eastAsia="仿宋_GB2312"/>
                <w:szCs w:val="21"/>
              </w:rPr>
              <w:t>+</w:t>
            </w:r>
            <w:r>
              <w:rPr>
                <w:rFonts w:hint="eastAsia" w:ascii="仿宋_GB2312" w:eastAsia="仿宋_GB2312"/>
                <w:szCs w:val="21"/>
              </w:rPr>
              <w:t>行动计划。先后参与制定出台《温州市经合办财务管理办法》、《温州市经合办预算绩效管理实施办法》等制度，使财务工作的各个环节按一定的财务规则、程序有效地运行和控制。《中共温州市委 温州市人民政府 关于进一步加强异地温州商会建设的实施意》（温委发〔2012〕81号），《温州市人民政府关于全国异地温州会馆建设的指导意见》（温政发〔2013〕49号，《关于组建省级温州商会的实施意见》（温委办发〔2014〕年64号）。</w:t>
            </w:r>
          </w:p>
        </w:tc>
        <w:tc>
          <w:tcPr>
            <w:tcW w:w="992"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296"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资金支出</w:t>
            </w:r>
          </w:p>
          <w:p>
            <w:pPr>
              <w:spacing w:line="320" w:lineRule="exact"/>
              <w:jc w:val="center"/>
              <w:rPr>
                <w:rFonts w:ascii="仿宋_GB2312" w:hAnsi="SimSun-ExtB" w:eastAsia="仿宋_GB2312"/>
                <w:color w:val="000000"/>
              </w:rPr>
            </w:pPr>
            <w:r>
              <w:rPr>
                <w:rFonts w:hint="eastAsia" w:ascii="仿宋_GB2312" w:eastAsia="仿宋_GB2312"/>
                <w:color w:val="000000"/>
              </w:rPr>
              <w:t>合规率</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c>
          <w:tcPr>
            <w:tcW w:w="652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rPr>
            </w:pPr>
            <w:r>
              <w:rPr>
                <w:rFonts w:hint="eastAsia" w:ascii="仿宋_GB2312" w:eastAsia="仿宋_GB2312"/>
                <w:color w:val="000000"/>
              </w:rPr>
              <w:t>资金支出合规率</w:t>
            </w:r>
            <w:r>
              <w:rPr>
                <w:rFonts w:ascii="仿宋_GB2312" w:eastAsia="仿宋_GB2312"/>
                <w:color w:val="000000"/>
              </w:rPr>
              <w:t>100%</w:t>
            </w:r>
            <w:r>
              <w:rPr>
                <w:rFonts w:hint="eastAsia" w:ascii="仿宋_GB2312" w:eastAsia="仿宋_GB2312"/>
                <w:szCs w:val="21"/>
              </w:rPr>
              <w:t>）</w:t>
            </w:r>
          </w:p>
        </w:tc>
        <w:tc>
          <w:tcPr>
            <w:tcW w:w="992"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1296"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资金支出</w:t>
            </w:r>
          </w:p>
          <w:p>
            <w:pPr>
              <w:spacing w:line="320" w:lineRule="exact"/>
              <w:jc w:val="center"/>
              <w:rPr>
                <w:rFonts w:ascii="仿宋_GB2312" w:hAnsi="SimSun-ExtB" w:eastAsia="仿宋_GB2312"/>
                <w:color w:val="000000"/>
              </w:rPr>
            </w:pPr>
            <w:r>
              <w:rPr>
                <w:rFonts w:hint="eastAsia" w:ascii="仿宋_GB2312" w:eastAsia="仿宋_GB2312"/>
                <w:color w:val="000000"/>
              </w:rPr>
              <w:t>相符率</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15</w:t>
            </w:r>
          </w:p>
        </w:tc>
        <w:tc>
          <w:tcPr>
            <w:tcW w:w="652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rPr>
            </w:pPr>
            <w:r>
              <w:rPr>
                <w:rFonts w:hint="eastAsia" w:ascii="仿宋_GB2312" w:hAnsi="SimSun-ExtB" w:eastAsia="仿宋_GB2312"/>
                <w:color w:val="000000"/>
              </w:rPr>
              <w:t>资金支出相符率</w:t>
            </w:r>
            <w:r>
              <w:rPr>
                <w:rFonts w:ascii="仿宋_GB2312" w:hAnsi="SimSun-ExtB" w:eastAsia="仿宋_GB2312"/>
                <w:color w:val="000000"/>
              </w:rPr>
              <w:t>100%</w:t>
            </w:r>
          </w:p>
        </w:tc>
        <w:tc>
          <w:tcPr>
            <w:tcW w:w="992"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0" w:hRule="atLeast"/>
        </w:trPr>
        <w:tc>
          <w:tcPr>
            <w:tcW w:w="1296"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项目产出</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25</w:t>
            </w:r>
          </w:p>
        </w:tc>
        <w:tc>
          <w:tcPr>
            <w:tcW w:w="6520" w:type="dxa"/>
            <w:gridSpan w:val="7"/>
            <w:tcBorders>
              <w:top w:val="single" w:color="auto" w:sz="4" w:space="0"/>
              <w:left w:val="single" w:color="auto" w:sz="4" w:space="0"/>
              <w:bottom w:val="nil"/>
              <w:right w:val="single" w:color="auto" w:sz="4" w:space="0"/>
            </w:tcBorders>
            <w:vAlign w:val="center"/>
          </w:tcPr>
          <w:p>
            <w:pPr>
              <w:spacing w:line="300" w:lineRule="exact"/>
              <w:rPr>
                <w:rFonts w:ascii="仿宋_GB2312" w:eastAsia="仿宋_GB2312"/>
                <w:color w:val="000000"/>
              </w:rPr>
            </w:pPr>
            <w:r>
              <w:rPr>
                <w:rFonts w:hint="eastAsia" w:ascii="仿宋_GB2312" w:eastAsia="仿宋_GB2312"/>
                <w:szCs w:val="21"/>
              </w:rPr>
              <w:t>围绕打造“百年商会•百年温商”工作目标，着力构建“1+31+X”商会组织网络，培育65家争先创优异地温州商会。走访、调研与指导100家商会；运用商会平台，配合招商项目处做好优秀温商企业、上市公司、国内500强企业的摸底工作，编制好招商地图。</w:t>
            </w:r>
          </w:p>
        </w:tc>
        <w:tc>
          <w:tcPr>
            <w:tcW w:w="992" w:type="dxa"/>
            <w:tcBorders>
              <w:top w:val="single" w:color="auto" w:sz="4" w:space="0"/>
              <w:left w:val="single" w:color="auto" w:sz="4" w:space="0"/>
              <w:bottom w:val="nil"/>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296" w:type="dxa"/>
            <w:tcBorders>
              <w:top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项目效益（效果）</w:t>
            </w:r>
          </w:p>
        </w:tc>
        <w:tc>
          <w:tcPr>
            <w:tcW w:w="854"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20</w:t>
            </w:r>
          </w:p>
        </w:tc>
        <w:tc>
          <w:tcPr>
            <w:tcW w:w="6520" w:type="dxa"/>
            <w:gridSpan w:val="7"/>
            <w:tcBorders>
              <w:top w:val="single" w:color="auto" w:sz="4" w:space="0"/>
              <w:left w:val="single" w:color="auto" w:sz="4" w:space="0"/>
              <w:right w:val="single" w:color="auto" w:sz="4" w:space="0"/>
            </w:tcBorders>
            <w:vAlign w:val="center"/>
          </w:tcPr>
          <w:p>
            <w:pPr>
              <w:pStyle w:val="9"/>
              <w:widowControl w:val="0"/>
              <w:spacing w:line="340" w:lineRule="exact"/>
              <w:rPr>
                <w:rFonts w:ascii="仿宋_GB2312" w:hAnsi="SimSun-ExtB" w:eastAsia="仿宋_GB2312"/>
                <w:color w:val="000000"/>
                <w:sz w:val="24"/>
              </w:rPr>
            </w:pPr>
            <w:r>
              <w:rPr>
                <w:rFonts w:hint="eastAsia" w:ascii="仿宋_GB2312" w:hAnsi="Times New Roman" w:eastAsia="仿宋_GB2312" w:cs="Times New Roman"/>
                <w:kern w:val="2"/>
              </w:rPr>
              <w:t>完善异地温州商会驻温联络处运行机制，借力商会平台，精准对接在外温商信息资源，有效搭建招商活动载体，助推招商引资温商回归工程。</w:t>
            </w:r>
          </w:p>
        </w:tc>
        <w:tc>
          <w:tcPr>
            <w:tcW w:w="992" w:type="dxa"/>
            <w:tcBorders>
              <w:top w:val="single" w:color="auto" w:sz="4" w:space="0"/>
              <w:lef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 w:hRule="atLeast"/>
        </w:trPr>
        <w:tc>
          <w:tcPr>
            <w:tcW w:w="1296"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合计</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100</w:t>
            </w:r>
          </w:p>
        </w:tc>
        <w:tc>
          <w:tcPr>
            <w:tcW w:w="652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w:t>
            </w:r>
          </w:p>
        </w:tc>
        <w:tc>
          <w:tcPr>
            <w:tcW w:w="992"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4" w:hRule="atLeast"/>
        </w:trPr>
        <w:tc>
          <w:tcPr>
            <w:tcW w:w="1296"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评价结果</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p>
        </w:tc>
        <w:tc>
          <w:tcPr>
            <w:tcW w:w="7512" w:type="dxa"/>
            <w:gridSpan w:val="8"/>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rPr>
              <w:t>□优秀</w:t>
            </w:r>
            <w:r>
              <w:rPr>
                <w:rFonts w:ascii="仿宋_GB2312" w:hAnsi="SimSun-ExtB" w:eastAsia="仿宋_GB2312"/>
              </w:rPr>
              <w:t xml:space="preserve">  100-90</w:t>
            </w:r>
            <w:r>
              <w:rPr>
                <w:rFonts w:hint="eastAsia" w:ascii="仿宋_GB2312" w:eastAsia="仿宋_GB2312"/>
              </w:rPr>
              <w:t>分；</w:t>
            </w:r>
            <w:r>
              <w:rPr>
                <w:rFonts w:ascii="仿宋_GB2312" w:hAnsi="SimSun-ExtB" w:eastAsia="仿宋_GB2312"/>
              </w:rPr>
              <w:t xml:space="preserve"> </w:t>
            </w:r>
            <w:r>
              <w:rPr>
                <w:rFonts w:hint="eastAsia" w:ascii="仿宋_GB2312" w:eastAsia="仿宋_GB2312"/>
              </w:rPr>
              <w:t>□良好</w:t>
            </w:r>
            <w:r>
              <w:rPr>
                <w:rFonts w:ascii="仿宋_GB2312" w:hAnsi="SimSun-ExtB" w:eastAsia="仿宋_GB2312"/>
              </w:rPr>
              <w:t xml:space="preserve">  89-75</w:t>
            </w:r>
            <w:r>
              <w:rPr>
                <w:rFonts w:hint="eastAsia" w:ascii="仿宋_GB2312" w:eastAsia="仿宋_GB2312"/>
              </w:rPr>
              <w:t>分；</w:t>
            </w:r>
            <w:r>
              <w:rPr>
                <w:rFonts w:ascii="仿宋_GB2312" w:hAnsi="SimSun-ExtB" w:eastAsia="仿宋_GB2312"/>
              </w:rPr>
              <w:t xml:space="preserve"> </w:t>
            </w:r>
            <w:r>
              <w:rPr>
                <w:rFonts w:hint="eastAsia" w:ascii="仿宋_GB2312" w:eastAsia="仿宋_GB2312"/>
              </w:rPr>
              <w:t>□一般</w:t>
            </w:r>
            <w:r>
              <w:rPr>
                <w:rFonts w:ascii="仿宋_GB2312" w:hAnsi="SimSun-ExtB" w:eastAsia="仿宋_GB2312"/>
              </w:rPr>
              <w:t xml:space="preserve">  74-60</w:t>
            </w:r>
            <w:r>
              <w:rPr>
                <w:rFonts w:hint="eastAsia" w:ascii="仿宋_GB2312" w:eastAsia="仿宋_GB2312"/>
              </w:rPr>
              <w:t>分；</w:t>
            </w:r>
            <w:r>
              <w:rPr>
                <w:rFonts w:ascii="仿宋_GB2312" w:hAnsi="SimSun-ExtB" w:eastAsia="仿宋_GB2312"/>
              </w:rPr>
              <w:t xml:space="preserve"> </w:t>
            </w:r>
            <w:r>
              <w:rPr>
                <w:rFonts w:hint="eastAsia" w:ascii="仿宋_GB2312" w:eastAsia="仿宋_GB2312"/>
              </w:rPr>
              <w:t>□较差</w:t>
            </w:r>
            <w:r>
              <w:rPr>
                <w:rFonts w:ascii="仿宋_GB2312" w:hAnsi="SimSun-ExtB" w:eastAsia="仿宋_GB2312"/>
              </w:rPr>
              <w:t xml:space="preserve">  59-0</w:t>
            </w:r>
            <w:r>
              <w:rPr>
                <w:rFonts w:hint="eastAsia" w:ascii="仿宋_GB2312" w:eastAsia="仿宋_GB2312"/>
              </w:rPr>
              <w:t>分</w:t>
            </w:r>
          </w:p>
        </w:tc>
      </w:tr>
    </w:tbl>
    <w:p>
      <w:pPr>
        <w:snapToGrid w:val="0"/>
        <w:spacing w:before="156" w:beforeLines="50" w:line="280" w:lineRule="exact"/>
        <w:ind w:firstLine="4920" w:firstLineChars="2050"/>
        <w:rPr>
          <w:rFonts w:ascii="仿宋_GB2312" w:hAnsi="SimSun-ExtB" w:eastAsia="仿宋_GB2312"/>
          <w:szCs w:val="21"/>
        </w:rPr>
      </w:pPr>
      <w:r>
        <w:rPr>
          <w:rFonts w:ascii="仿宋_GB2312" w:hAnsi="SimSun-ExtB" w:eastAsia="仿宋_GB2312"/>
        </w:rPr>
        <w:t xml:space="preserve">  </w:t>
      </w:r>
      <w:r>
        <w:rPr>
          <w:rFonts w:hint="eastAsia" w:ascii="仿宋_GB2312" w:eastAsia="仿宋_GB2312"/>
        </w:rPr>
        <w:t>填表日期：</w:t>
      </w:r>
      <w:r>
        <w:rPr>
          <w:rFonts w:ascii="仿宋_GB2312" w:hAnsi="SimSun-ExtB" w:eastAsia="仿宋_GB2312"/>
        </w:rPr>
        <w:t>201</w:t>
      </w:r>
      <w:r>
        <w:rPr>
          <w:rFonts w:hint="eastAsia" w:ascii="仿宋_GB2312" w:hAnsi="SimSun-ExtB" w:eastAsia="仿宋_GB2312"/>
        </w:rPr>
        <w:t>9</w:t>
      </w:r>
      <w:r>
        <w:rPr>
          <w:rFonts w:ascii="仿宋_GB2312" w:hAnsi="SimSun-ExtB" w:eastAsia="仿宋_GB2312"/>
        </w:rPr>
        <w:t xml:space="preserve"> </w:t>
      </w:r>
      <w:r>
        <w:rPr>
          <w:rFonts w:hint="eastAsia" w:ascii="仿宋_GB2312" w:eastAsia="仿宋_GB2312"/>
        </w:rPr>
        <w:t>年</w:t>
      </w:r>
      <w:r>
        <w:rPr>
          <w:rFonts w:ascii="仿宋_GB2312" w:hAnsi="SimSun-ExtB" w:eastAsia="仿宋_GB2312"/>
          <w:szCs w:val="21"/>
        </w:rPr>
        <w:t xml:space="preserve">2 </w:t>
      </w:r>
      <w:r>
        <w:rPr>
          <w:rFonts w:hint="eastAsia" w:ascii="仿宋_GB2312" w:eastAsia="仿宋_GB2312"/>
          <w:szCs w:val="21"/>
        </w:rPr>
        <w:t>月</w:t>
      </w:r>
      <w:r>
        <w:rPr>
          <w:rFonts w:ascii="仿宋_GB2312" w:eastAsia="仿宋_GB2312"/>
          <w:szCs w:val="21"/>
        </w:rPr>
        <w:t>26</w:t>
      </w:r>
      <w:r>
        <w:rPr>
          <w:rFonts w:ascii="仿宋_GB2312" w:hAnsi="SimSun-ExtB" w:eastAsia="仿宋_GB2312"/>
          <w:szCs w:val="21"/>
        </w:rPr>
        <w:t xml:space="preserve"> </w:t>
      </w:r>
      <w:r>
        <w:rPr>
          <w:rFonts w:hint="eastAsia" w:ascii="仿宋_GB2312" w:eastAsia="仿宋_GB2312"/>
          <w:szCs w:val="21"/>
        </w:rPr>
        <w:t>日</w:t>
      </w:r>
    </w:p>
    <w:p>
      <w:pPr>
        <w:spacing w:line="440" w:lineRule="exact"/>
        <w:rPr>
          <w:rFonts w:ascii="黑体" w:hAnsi="黑体" w:eastAsia="黑体"/>
          <w:sz w:val="32"/>
          <w:szCs w:val="32"/>
        </w:rPr>
      </w:pPr>
    </w:p>
    <w:p>
      <w:pPr>
        <w:jc w:val="center"/>
        <w:rPr>
          <w:rFonts w:ascii="方正小标宋简体" w:hAnsi="黑体" w:eastAsia="方正小标宋简体"/>
          <w:color w:val="000000"/>
          <w:sz w:val="44"/>
          <w:szCs w:val="44"/>
        </w:rPr>
      </w:pPr>
      <w:r>
        <w:rPr>
          <w:rFonts w:ascii="方正小标宋简体" w:hAnsi="黑体" w:eastAsia="方正小标宋简体"/>
          <w:color w:val="000000"/>
          <w:sz w:val="44"/>
          <w:szCs w:val="44"/>
        </w:rPr>
        <w:t>201</w:t>
      </w:r>
      <w:r>
        <w:rPr>
          <w:rFonts w:hint="eastAsia" w:ascii="方正小标宋简体" w:hAnsi="黑体" w:eastAsia="方正小标宋简体"/>
          <w:color w:val="000000"/>
          <w:sz w:val="44"/>
          <w:szCs w:val="44"/>
        </w:rPr>
        <w:t>8年度温州市财政支出项目绩效自评表</w:t>
      </w:r>
    </w:p>
    <w:p>
      <w:pPr>
        <w:snapToGrid w:val="0"/>
        <w:spacing w:line="360" w:lineRule="exact"/>
        <w:ind w:right="420"/>
        <w:jc w:val="center"/>
        <w:rPr>
          <w:rFonts w:ascii="仿宋_GB2312" w:hAnsi="SimSun-ExtB" w:eastAsia="仿宋_GB2312"/>
          <w:color w:val="000000"/>
          <w:szCs w:val="21"/>
        </w:rPr>
      </w:pPr>
      <w:r>
        <w:rPr>
          <w:rFonts w:ascii="仿宋_GB2312" w:hAnsi="SimSun-ExtB" w:eastAsia="仿宋_GB2312"/>
          <w:color w:val="000000"/>
          <w:szCs w:val="21"/>
        </w:rPr>
        <w:t xml:space="preserve">                                                              </w:t>
      </w:r>
      <w:r>
        <w:rPr>
          <w:rFonts w:hint="eastAsia" w:ascii="仿宋_GB2312" w:eastAsia="仿宋_GB2312"/>
          <w:color w:val="000000"/>
          <w:szCs w:val="21"/>
        </w:rPr>
        <w:t>金额单位：万元</w:t>
      </w:r>
    </w:p>
    <w:tbl>
      <w:tblPr>
        <w:tblStyle w:val="5"/>
        <w:tblW w:w="9662"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801"/>
        <w:gridCol w:w="189"/>
        <w:gridCol w:w="1034"/>
        <w:gridCol w:w="402"/>
        <w:gridCol w:w="1271"/>
        <w:gridCol w:w="1553"/>
        <w:gridCol w:w="1199"/>
        <w:gridCol w:w="27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90"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项目单位</w:t>
            </w:r>
          </w:p>
          <w:p>
            <w:pPr>
              <w:snapToGrid w:val="0"/>
              <w:spacing w:line="320" w:lineRule="exact"/>
              <w:jc w:val="center"/>
              <w:rPr>
                <w:rFonts w:ascii="仿宋_GB2312" w:hAnsi="SimSun-ExtB" w:eastAsia="仿宋_GB2312"/>
                <w:color w:val="000000"/>
              </w:rPr>
            </w:pPr>
            <w:r>
              <w:rPr>
                <w:rFonts w:hint="eastAsia" w:ascii="仿宋_GB2312" w:eastAsia="仿宋_GB2312"/>
                <w:color w:val="000000"/>
              </w:rPr>
              <w:t>名称</w:t>
            </w:r>
          </w:p>
        </w:tc>
        <w:tc>
          <w:tcPr>
            <w:tcW w:w="2024" w:type="dxa"/>
            <w:gridSpan w:val="3"/>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温州市招商局</w:t>
            </w:r>
          </w:p>
        </w:tc>
        <w:tc>
          <w:tcPr>
            <w:tcW w:w="1673" w:type="dxa"/>
            <w:gridSpan w:val="2"/>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项目名称</w:t>
            </w:r>
          </w:p>
        </w:tc>
        <w:tc>
          <w:tcPr>
            <w:tcW w:w="4475" w:type="dxa"/>
            <w:gridSpan w:val="4"/>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山海协作、区域合作项目工作经费（2018）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90"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w:t>
            </w:r>
          </w:p>
          <w:p>
            <w:pPr>
              <w:snapToGrid w:val="0"/>
              <w:spacing w:line="320" w:lineRule="exact"/>
              <w:jc w:val="center"/>
              <w:rPr>
                <w:rFonts w:ascii="仿宋_GB2312" w:hAnsi="SimSun-ExtB" w:eastAsia="仿宋_GB2312"/>
                <w:color w:val="000000"/>
              </w:rPr>
            </w:pPr>
            <w:r>
              <w:rPr>
                <w:rFonts w:hint="eastAsia" w:ascii="仿宋_GB2312" w:eastAsia="仿宋_GB2312"/>
                <w:color w:val="000000"/>
              </w:rPr>
              <w:t>责任部门</w:t>
            </w:r>
          </w:p>
        </w:tc>
        <w:tc>
          <w:tcPr>
            <w:tcW w:w="2024" w:type="dxa"/>
            <w:gridSpan w:val="3"/>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区域发展处</w:t>
            </w:r>
          </w:p>
        </w:tc>
        <w:tc>
          <w:tcPr>
            <w:tcW w:w="1673" w:type="dxa"/>
            <w:gridSpan w:val="2"/>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项目负责人</w:t>
            </w:r>
          </w:p>
        </w:tc>
        <w:tc>
          <w:tcPr>
            <w:tcW w:w="1553" w:type="dxa"/>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李庆荣</w:t>
            </w:r>
          </w:p>
        </w:tc>
        <w:tc>
          <w:tcPr>
            <w:tcW w:w="1199"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联系电话</w:t>
            </w:r>
          </w:p>
        </w:tc>
        <w:tc>
          <w:tcPr>
            <w:tcW w:w="1723" w:type="dxa"/>
            <w:gridSpan w:val="2"/>
            <w:vAlign w:val="center"/>
          </w:tcPr>
          <w:p>
            <w:pPr>
              <w:snapToGrid w:val="0"/>
              <w:spacing w:line="320" w:lineRule="exact"/>
              <w:jc w:val="center"/>
              <w:rPr>
                <w:rFonts w:ascii="仿宋_GB2312" w:hAnsi="SimSun-ExtB" w:eastAsia="仿宋_GB2312"/>
                <w:color w:val="000000"/>
              </w:rPr>
            </w:pPr>
            <w:r>
              <w:rPr>
                <w:rFonts w:ascii="仿宋_GB2312" w:hAnsi="SimSun-ExtB" w:eastAsia="仿宋_GB2312"/>
                <w:color w:val="000000"/>
              </w:rPr>
              <w:t>88967035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490" w:type="dxa"/>
            <w:vMerge w:val="restart"/>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项目</w:t>
            </w:r>
          </w:p>
          <w:p>
            <w:pPr>
              <w:snapToGrid w:val="0"/>
              <w:spacing w:line="320" w:lineRule="exact"/>
              <w:jc w:val="center"/>
              <w:rPr>
                <w:rFonts w:ascii="仿宋_GB2312" w:hAnsi="SimSun-ExtB" w:eastAsia="仿宋_GB2312"/>
                <w:color w:val="000000"/>
              </w:rPr>
            </w:pPr>
            <w:r>
              <w:rPr>
                <w:rFonts w:hint="eastAsia" w:ascii="仿宋_GB2312" w:eastAsia="仿宋_GB2312"/>
                <w:color w:val="000000"/>
              </w:rPr>
              <w:t>基本</w:t>
            </w:r>
          </w:p>
          <w:p>
            <w:pPr>
              <w:snapToGrid w:val="0"/>
              <w:spacing w:line="320" w:lineRule="exact"/>
              <w:jc w:val="center"/>
              <w:rPr>
                <w:rFonts w:ascii="仿宋_GB2312" w:hAnsi="SimSun-ExtB" w:eastAsia="仿宋_GB2312"/>
                <w:color w:val="000000"/>
              </w:rPr>
            </w:pPr>
            <w:r>
              <w:rPr>
                <w:rFonts w:hint="eastAsia" w:ascii="仿宋_GB2312" w:eastAsia="仿宋_GB2312"/>
                <w:color w:val="000000"/>
              </w:rPr>
              <w:t>情况</w:t>
            </w:r>
          </w:p>
        </w:tc>
        <w:tc>
          <w:tcPr>
            <w:tcW w:w="990" w:type="dxa"/>
            <w:gridSpan w:val="2"/>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上年结转</w:t>
            </w:r>
          </w:p>
        </w:tc>
        <w:tc>
          <w:tcPr>
            <w:tcW w:w="1436" w:type="dxa"/>
            <w:gridSpan w:val="2"/>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预算安排数</w:t>
            </w:r>
          </w:p>
        </w:tc>
        <w:tc>
          <w:tcPr>
            <w:tcW w:w="1271"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预算调整数</w:t>
            </w:r>
          </w:p>
        </w:tc>
        <w:tc>
          <w:tcPr>
            <w:tcW w:w="1553" w:type="dxa"/>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财政支付数</w:t>
            </w:r>
          </w:p>
        </w:tc>
        <w:tc>
          <w:tcPr>
            <w:tcW w:w="2922" w:type="dxa"/>
            <w:gridSpan w:val="3"/>
            <w:vAlign w:val="center"/>
          </w:tcPr>
          <w:p>
            <w:pPr>
              <w:snapToGrid w:val="0"/>
              <w:spacing w:line="320" w:lineRule="exact"/>
              <w:jc w:val="center"/>
              <w:rPr>
                <w:rFonts w:ascii="仿宋_GB2312" w:hAnsi="SimSun-ExtB" w:eastAsia="仿宋_GB2312"/>
                <w:color w:val="000000"/>
              </w:rPr>
            </w:pPr>
            <w:r>
              <w:rPr>
                <w:rFonts w:hint="eastAsia" w:ascii="仿宋_GB2312" w:eastAsia="仿宋_GB2312"/>
                <w:color w:val="000000"/>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90" w:type="dxa"/>
            <w:vMerge w:val="continue"/>
            <w:vAlign w:val="center"/>
          </w:tcPr>
          <w:p>
            <w:pPr>
              <w:snapToGrid w:val="0"/>
              <w:spacing w:line="320" w:lineRule="exact"/>
              <w:jc w:val="center"/>
              <w:rPr>
                <w:rFonts w:ascii="仿宋_GB2312" w:hAnsi="SimSun-ExtB" w:eastAsia="仿宋_GB2312"/>
                <w:color w:val="000000"/>
              </w:rPr>
            </w:pPr>
          </w:p>
        </w:tc>
        <w:tc>
          <w:tcPr>
            <w:tcW w:w="990" w:type="dxa"/>
            <w:gridSpan w:val="2"/>
            <w:vAlign w:val="center"/>
          </w:tcPr>
          <w:p>
            <w:pPr>
              <w:snapToGrid w:val="0"/>
              <w:spacing w:line="320" w:lineRule="exact"/>
              <w:jc w:val="center"/>
              <w:rPr>
                <w:rFonts w:ascii="仿宋_GB2312" w:hAnsi="SimSun-ExtB" w:eastAsia="仿宋_GB2312"/>
                <w:color w:val="000000"/>
              </w:rPr>
            </w:pPr>
          </w:p>
        </w:tc>
        <w:tc>
          <w:tcPr>
            <w:tcW w:w="1436" w:type="dxa"/>
            <w:gridSpan w:val="2"/>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5</w:t>
            </w:r>
          </w:p>
        </w:tc>
        <w:tc>
          <w:tcPr>
            <w:tcW w:w="1271" w:type="dxa"/>
            <w:vAlign w:val="center"/>
          </w:tcPr>
          <w:p>
            <w:pPr>
              <w:snapToGrid w:val="0"/>
              <w:spacing w:line="320" w:lineRule="exact"/>
              <w:jc w:val="center"/>
              <w:rPr>
                <w:rFonts w:ascii="仿宋_GB2312" w:hAnsi="SimSun-ExtB" w:eastAsia="仿宋_GB2312"/>
                <w:color w:val="000000"/>
              </w:rPr>
            </w:pPr>
          </w:p>
        </w:tc>
        <w:tc>
          <w:tcPr>
            <w:tcW w:w="1553" w:type="dxa"/>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4.89</w:t>
            </w:r>
          </w:p>
        </w:tc>
        <w:tc>
          <w:tcPr>
            <w:tcW w:w="2922" w:type="dxa"/>
            <w:gridSpan w:val="3"/>
            <w:vAlign w:val="center"/>
          </w:tcPr>
          <w:p>
            <w:pPr>
              <w:snapToGrid w:val="0"/>
              <w:spacing w:line="320" w:lineRule="exact"/>
              <w:jc w:val="center"/>
              <w:rPr>
                <w:rFonts w:ascii="仿宋_GB2312" w:hAnsi="SimSun-ExtB" w:eastAsia="仿宋_GB2312"/>
                <w:color w:val="000000"/>
              </w:rPr>
            </w:pPr>
            <w:r>
              <w:rPr>
                <w:rFonts w:hint="eastAsia" w:ascii="仿宋_GB2312" w:hAnsi="SimSun-ExtB" w:eastAsia="仿宋_GB2312"/>
                <w:color w:val="000000"/>
              </w:rPr>
              <w:t>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490" w:type="dxa"/>
            <w:tcBorders>
              <w:top w:val="single" w:color="auto" w:sz="4" w:space="0"/>
              <w:right w:val="single" w:color="auto" w:sz="4" w:space="0"/>
            </w:tcBorders>
            <w:vAlign w:val="center"/>
          </w:tcPr>
          <w:p>
            <w:pPr>
              <w:spacing w:line="320" w:lineRule="exact"/>
              <w:jc w:val="center"/>
              <w:rPr>
                <w:rFonts w:ascii="仿宋_GB2312" w:hAnsi="SimSun-ExtB" w:eastAsia="仿宋_GB2312"/>
                <w:b/>
              </w:rPr>
            </w:pPr>
            <w:r>
              <w:rPr>
                <w:rFonts w:hint="eastAsia" w:ascii="仿宋_GB2312" w:eastAsia="仿宋_GB2312"/>
                <w:b/>
              </w:rPr>
              <w:t>评价内容</w:t>
            </w:r>
          </w:p>
        </w:tc>
        <w:tc>
          <w:tcPr>
            <w:tcW w:w="801"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rPr>
            </w:pPr>
            <w:r>
              <w:rPr>
                <w:rFonts w:hint="eastAsia" w:ascii="仿宋_GB2312" w:eastAsia="仿宋_GB2312"/>
                <w:b/>
              </w:rPr>
              <w:t>分值</w:t>
            </w:r>
          </w:p>
        </w:tc>
        <w:tc>
          <w:tcPr>
            <w:tcW w:w="5924" w:type="dxa"/>
            <w:gridSpan w:val="7"/>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rPr>
            </w:pPr>
            <w:r>
              <w:rPr>
                <w:rFonts w:hint="eastAsia" w:ascii="仿宋_GB2312" w:eastAsia="仿宋_GB2312"/>
                <w:b/>
              </w:rPr>
              <w:t>自评简述</w:t>
            </w:r>
          </w:p>
        </w:tc>
        <w:tc>
          <w:tcPr>
            <w:tcW w:w="1447" w:type="dxa"/>
            <w:tcBorders>
              <w:top w:val="single" w:color="auto" w:sz="4" w:space="0"/>
              <w:left w:val="single" w:color="auto" w:sz="4" w:space="0"/>
            </w:tcBorders>
            <w:vAlign w:val="center"/>
          </w:tcPr>
          <w:p>
            <w:pPr>
              <w:spacing w:line="320" w:lineRule="exact"/>
              <w:jc w:val="center"/>
              <w:rPr>
                <w:rFonts w:ascii="仿宋_GB2312" w:hAnsi="SimSun-ExtB" w:eastAsia="仿宋_GB2312"/>
                <w:b/>
              </w:rPr>
            </w:pPr>
            <w:r>
              <w:rPr>
                <w:rFonts w:hint="eastAsia" w:ascii="仿宋_GB2312" w:eastAsia="仿宋_GB2312"/>
                <w:b/>
              </w:rPr>
              <w:t>自评得分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1490"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项目预算及预期绩效目标编制水平</w:t>
            </w:r>
          </w:p>
        </w:tc>
        <w:tc>
          <w:tcPr>
            <w:tcW w:w="8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rPr>
            </w:pPr>
            <w:r>
              <w:rPr>
                <w:rFonts w:hint="eastAsia" w:ascii="仿宋_GB2312" w:hAnsi="SimSun-ExtB" w:eastAsia="仿宋_GB2312"/>
                <w:color w:val="000000"/>
              </w:rPr>
              <w:t>项目预算及预期绩效目标编制较好</w:t>
            </w:r>
          </w:p>
        </w:tc>
        <w:tc>
          <w:tcPr>
            <w:tcW w:w="1447"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490"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预算执行率</w:t>
            </w:r>
          </w:p>
        </w:tc>
        <w:tc>
          <w:tcPr>
            <w:tcW w:w="8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rPr>
            </w:pPr>
            <w:r>
              <w:rPr>
                <w:rFonts w:hint="eastAsia" w:ascii="仿宋_GB2312" w:hAnsi="SimSun-ExtB" w:eastAsia="仿宋_GB2312"/>
                <w:color w:val="000000"/>
              </w:rPr>
              <w:t>83.58</w:t>
            </w:r>
            <w:r>
              <w:rPr>
                <w:rFonts w:ascii="仿宋_GB2312" w:hAnsi="SimSun-ExtB" w:eastAsia="仿宋_GB2312"/>
                <w:color w:val="000000"/>
              </w:rPr>
              <w:t>%</w:t>
            </w:r>
          </w:p>
        </w:tc>
        <w:tc>
          <w:tcPr>
            <w:tcW w:w="1447"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490"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项目组织管理水平</w:t>
            </w:r>
          </w:p>
        </w:tc>
        <w:tc>
          <w:tcPr>
            <w:tcW w:w="8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SimSun-ExtB" w:eastAsia="仿宋_GB2312"/>
                <w:color w:val="000000"/>
              </w:rPr>
            </w:pPr>
            <w:r>
              <w:rPr>
                <w:rFonts w:hint="eastAsia" w:ascii="仿宋_GB2312" w:hAnsi="SimSun-ExtB" w:eastAsia="仿宋_GB2312"/>
                <w:color w:val="000000"/>
              </w:rPr>
              <w:t>为确保该项工作顺利开展，我局按照“政府推动、市场运作、互惠互利、共同发展”的原则，在平台搭建、经费保障、建立机制等方面做了大量工作，</w:t>
            </w:r>
            <w:r>
              <w:rPr>
                <w:rFonts w:hint="eastAsia" w:ascii="仿宋_GB2312" w:eastAsia="仿宋_GB2312"/>
                <w:szCs w:val="21"/>
              </w:rPr>
              <w:t>先后参与制定出台《温州市经合办财务管理办法》、《温州市经合办预算绩效管理实施办法》等制度，使财务工作的各个环节按一定的财务规则、程序有效地运行和控制。</w:t>
            </w:r>
            <w:r>
              <w:rPr>
                <w:rFonts w:ascii="仿宋_GB2312" w:hAnsi="SimSun-ExtB" w:eastAsia="仿宋_GB2312"/>
                <w:color w:val="000000"/>
              </w:rPr>
              <w:t xml:space="preserve"> </w:t>
            </w:r>
          </w:p>
        </w:tc>
        <w:tc>
          <w:tcPr>
            <w:tcW w:w="1447"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490"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资金支出</w:t>
            </w:r>
          </w:p>
          <w:p>
            <w:pPr>
              <w:spacing w:line="320" w:lineRule="exact"/>
              <w:jc w:val="center"/>
              <w:rPr>
                <w:rFonts w:ascii="仿宋_GB2312" w:hAnsi="SimSun-ExtB" w:eastAsia="仿宋_GB2312"/>
                <w:color w:val="000000"/>
              </w:rPr>
            </w:pPr>
            <w:r>
              <w:rPr>
                <w:rFonts w:hint="eastAsia" w:ascii="仿宋_GB2312" w:eastAsia="仿宋_GB2312"/>
                <w:color w:val="000000"/>
              </w:rPr>
              <w:t>合规率</w:t>
            </w:r>
          </w:p>
        </w:tc>
        <w:tc>
          <w:tcPr>
            <w:tcW w:w="8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rPr>
            </w:pPr>
            <w:r>
              <w:rPr>
                <w:rFonts w:hint="eastAsia" w:ascii="仿宋_GB2312" w:eastAsia="仿宋_GB2312"/>
                <w:color w:val="000000"/>
              </w:rPr>
              <w:t>资金支出合规率</w:t>
            </w:r>
            <w:r>
              <w:rPr>
                <w:rFonts w:ascii="仿宋_GB2312" w:eastAsia="仿宋_GB2312"/>
                <w:color w:val="000000"/>
              </w:rPr>
              <w:t>100%</w:t>
            </w:r>
          </w:p>
        </w:tc>
        <w:tc>
          <w:tcPr>
            <w:tcW w:w="1447"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490"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资金支出</w:t>
            </w:r>
          </w:p>
          <w:p>
            <w:pPr>
              <w:spacing w:line="320" w:lineRule="exact"/>
              <w:jc w:val="center"/>
              <w:rPr>
                <w:rFonts w:ascii="仿宋_GB2312" w:hAnsi="SimSun-ExtB" w:eastAsia="仿宋_GB2312"/>
                <w:color w:val="000000"/>
              </w:rPr>
            </w:pPr>
            <w:r>
              <w:rPr>
                <w:rFonts w:hint="eastAsia" w:ascii="仿宋_GB2312" w:eastAsia="仿宋_GB2312"/>
                <w:color w:val="000000"/>
              </w:rPr>
              <w:t>相符率</w:t>
            </w:r>
          </w:p>
        </w:tc>
        <w:tc>
          <w:tcPr>
            <w:tcW w:w="8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15</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rPr>
            </w:pPr>
            <w:r>
              <w:rPr>
                <w:rFonts w:hint="eastAsia" w:ascii="仿宋_GB2312" w:eastAsia="仿宋_GB2312"/>
                <w:color w:val="000000"/>
              </w:rPr>
              <w:t>资金支出相符率</w:t>
            </w:r>
            <w:r>
              <w:rPr>
                <w:rFonts w:ascii="仿宋_GB2312" w:eastAsia="仿宋_GB2312"/>
                <w:color w:val="000000"/>
              </w:rPr>
              <w:t>100%</w:t>
            </w:r>
          </w:p>
          <w:p>
            <w:pPr>
              <w:spacing w:line="320" w:lineRule="exact"/>
              <w:rPr>
                <w:rFonts w:ascii="仿宋_GB2312" w:hAnsi="SimSun-ExtB" w:eastAsia="仿宋_GB2312"/>
                <w:color w:val="000000"/>
              </w:rPr>
            </w:pPr>
          </w:p>
        </w:tc>
        <w:tc>
          <w:tcPr>
            <w:tcW w:w="1447"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5" w:hRule="atLeast"/>
        </w:trPr>
        <w:tc>
          <w:tcPr>
            <w:tcW w:w="1490"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项目产出</w:t>
            </w:r>
          </w:p>
        </w:tc>
        <w:tc>
          <w:tcPr>
            <w:tcW w:w="8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25</w:t>
            </w:r>
          </w:p>
        </w:tc>
        <w:tc>
          <w:tcPr>
            <w:tcW w:w="5924" w:type="dxa"/>
            <w:gridSpan w:val="7"/>
            <w:tcBorders>
              <w:top w:val="single" w:color="auto" w:sz="4" w:space="0"/>
              <w:left w:val="single" w:color="auto" w:sz="4" w:space="0"/>
              <w:bottom w:val="nil"/>
              <w:right w:val="single" w:color="auto" w:sz="4" w:space="0"/>
            </w:tcBorders>
            <w:vAlign w:val="center"/>
          </w:tcPr>
          <w:p>
            <w:pPr>
              <w:spacing w:line="320" w:lineRule="exact"/>
              <w:rPr>
                <w:rFonts w:ascii="仿宋_GB2312" w:hAnsi="SimSun-ExtB" w:eastAsia="仿宋_GB2312"/>
                <w:color w:val="000000"/>
              </w:rPr>
            </w:pPr>
            <w:r>
              <w:rPr>
                <w:rFonts w:hint="eastAsia" w:ascii="仿宋_GB2312" w:hAnsi="SimSun-ExtB" w:eastAsia="仿宋_GB2312"/>
                <w:color w:val="000000"/>
              </w:rPr>
              <w:t>全市通过山海协作工程的实施，我市受援县共引进山海协作合作项目新增数十个，续建项目数百个。全市帮助结对地区实现培训就业数千人次。</w:t>
            </w:r>
          </w:p>
        </w:tc>
        <w:tc>
          <w:tcPr>
            <w:tcW w:w="1447" w:type="dxa"/>
            <w:tcBorders>
              <w:top w:val="single" w:color="auto" w:sz="4" w:space="0"/>
              <w:left w:val="single" w:color="auto" w:sz="4" w:space="0"/>
              <w:bottom w:val="nil"/>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490" w:type="dxa"/>
            <w:tcBorders>
              <w:top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项目效益（效果）</w:t>
            </w:r>
          </w:p>
        </w:tc>
        <w:tc>
          <w:tcPr>
            <w:tcW w:w="801"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20</w:t>
            </w:r>
          </w:p>
        </w:tc>
        <w:tc>
          <w:tcPr>
            <w:tcW w:w="5924" w:type="dxa"/>
            <w:gridSpan w:val="7"/>
            <w:tcBorders>
              <w:top w:val="single" w:color="auto" w:sz="4" w:space="0"/>
              <w:left w:val="single" w:color="auto" w:sz="4" w:space="0"/>
              <w:right w:val="single" w:color="auto" w:sz="4" w:space="0"/>
            </w:tcBorders>
            <w:vAlign w:val="center"/>
          </w:tcPr>
          <w:p>
            <w:pPr>
              <w:spacing w:line="320" w:lineRule="exact"/>
              <w:rPr>
                <w:rFonts w:ascii="仿宋_GB2312" w:hAnsi="SimSun-ExtB" w:eastAsia="仿宋_GB2312"/>
                <w:color w:val="000000"/>
              </w:rPr>
            </w:pPr>
            <w:r>
              <w:rPr>
                <w:rFonts w:hint="eastAsia" w:ascii="仿宋_GB2312" w:hAnsi="SimSun-ExtB" w:eastAsia="仿宋_GB2312"/>
                <w:color w:val="000000"/>
              </w:rPr>
              <w:t>项目效益好</w:t>
            </w:r>
          </w:p>
        </w:tc>
        <w:tc>
          <w:tcPr>
            <w:tcW w:w="1447" w:type="dxa"/>
            <w:tcBorders>
              <w:top w:val="single" w:color="auto" w:sz="4" w:space="0"/>
              <w:lef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 w:hRule="atLeast"/>
        </w:trPr>
        <w:tc>
          <w:tcPr>
            <w:tcW w:w="1490"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合计</w:t>
            </w:r>
          </w:p>
        </w:tc>
        <w:tc>
          <w:tcPr>
            <w:tcW w:w="8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100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ascii="仿宋_GB2312" w:hAnsi="SimSun-ExtB" w:eastAsia="仿宋_GB2312"/>
                <w:color w:val="000000"/>
              </w:rPr>
              <w:t>*</w:t>
            </w:r>
          </w:p>
        </w:tc>
        <w:tc>
          <w:tcPr>
            <w:tcW w:w="1447" w:type="dxa"/>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SimSun-ExtB" w:eastAsia="仿宋_GB2312"/>
                <w:color w:val="000000"/>
              </w:rPr>
              <w:t>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4" w:hRule="atLeast"/>
        </w:trPr>
        <w:tc>
          <w:tcPr>
            <w:tcW w:w="1490" w:type="dxa"/>
            <w:tcBorders>
              <w:top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color w:val="000000"/>
              </w:rPr>
              <w:t>评价结果</w:t>
            </w:r>
          </w:p>
        </w:tc>
        <w:tc>
          <w:tcPr>
            <w:tcW w:w="8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p>
        </w:tc>
        <w:tc>
          <w:tcPr>
            <w:tcW w:w="7371" w:type="dxa"/>
            <w:gridSpan w:val="8"/>
            <w:tcBorders>
              <w:top w:val="single" w:color="auto" w:sz="4" w:space="0"/>
              <w:left w:val="single" w:color="auto" w:sz="4" w:space="0"/>
              <w:bottom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eastAsia="仿宋_GB2312"/>
              </w:rPr>
              <w:t>□优秀</w:t>
            </w:r>
            <w:r>
              <w:rPr>
                <w:rFonts w:ascii="仿宋_GB2312" w:hAnsi="SimSun-ExtB" w:eastAsia="仿宋_GB2312"/>
              </w:rPr>
              <w:t xml:space="preserve">  100-90</w:t>
            </w:r>
            <w:r>
              <w:rPr>
                <w:rFonts w:hint="eastAsia" w:ascii="仿宋_GB2312" w:eastAsia="仿宋_GB2312"/>
              </w:rPr>
              <w:t>分；</w:t>
            </w:r>
            <w:r>
              <w:rPr>
                <w:rFonts w:ascii="仿宋_GB2312" w:hAnsi="SimSun-ExtB" w:eastAsia="仿宋_GB2312"/>
              </w:rPr>
              <w:t xml:space="preserve"> </w:t>
            </w:r>
            <w:r>
              <w:rPr>
                <w:rFonts w:hint="eastAsia" w:ascii="仿宋_GB2312" w:eastAsia="仿宋_GB2312"/>
              </w:rPr>
              <w:t>□良好</w:t>
            </w:r>
            <w:r>
              <w:rPr>
                <w:rFonts w:ascii="仿宋_GB2312" w:hAnsi="SimSun-ExtB" w:eastAsia="仿宋_GB2312"/>
              </w:rPr>
              <w:t xml:space="preserve">  89-75</w:t>
            </w:r>
            <w:r>
              <w:rPr>
                <w:rFonts w:hint="eastAsia" w:ascii="仿宋_GB2312" w:eastAsia="仿宋_GB2312"/>
              </w:rPr>
              <w:t>分；</w:t>
            </w:r>
            <w:r>
              <w:rPr>
                <w:rFonts w:ascii="仿宋_GB2312" w:hAnsi="SimSun-ExtB" w:eastAsia="仿宋_GB2312"/>
              </w:rPr>
              <w:t xml:space="preserve"> </w:t>
            </w:r>
            <w:r>
              <w:rPr>
                <w:rFonts w:hint="eastAsia" w:ascii="仿宋_GB2312" w:eastAsia="仿宋_GB2312"/>
              </w:rPr>
              <w:t>□一般</w:t>
            </w:r>
            <w:r>
              <w:rPr>
                <w:rFonts w:ascii="仿宋_GB2312" w:hAnsi="SimSun-ExtB" w:eastAsia="仿宋_GB2312"/>
              </w:rPr>
              <w:t xml:space="preserve">  74-60</w:t>
            </w:r>
            <w:r>
              <w:rPr>
                <w:rFonts w:hint="eastAsia" w:ascii="仿宋_GB2312" w:eastAsia="仿宋_GB2312"/>
              </w:rPr>
              <w:t>分；</w:t>
            </w:r>
            <w:r>
              <w:rPr>
                <w:rFonts w:ascii="仿宋_GB2312" w:hAnsi="SimSun-ExtB" w:eastAsia="仿宋_GB2312"/>
              </w:rPr>
              <w:t xml:space="preserve"> </w:t>
            </w:r>
            <w:r>
              <w:rPr>
                <w:rFonts w:hint="eastAsia" w:ascii="仿宋_GB2312" w:eastAsia="仿宋_GB2312"/>
              </w:rPr>
              <w:t>□较差</w:t>
            </w:r>
            <w:r>
              <w:rPr>
                <w:rFonts w:ascii="仿宋_GB2312" w:hAnsi="SimSun-ExtB" w:eastAsia="仿宋_GB2312"/>
              </w:rPr>
              <w:t xml:space="preserve">  59-0</w:t>
            </w:r>
            <w:r>
              <w:rPr>
                <w:rFonts w:hint="eastAsia" w:ascii="仿宋_GB2312" w:eastAsia="仿宋_GB2312"/>
              </w:rPr>
              <w:t>分</w:t>
            </w:r>
          </w:p>
        </w:tc>
      </w:tr>
    </w:tbl>
    <w:p>
      <w:pPr>
        <w:snapToGrid w:val="0"/>
        <w:spacing w:before="156" w:beforeLines="50" w:line="280" w:lineRule="exact"/>
        <w:ind w:firstLine="3960" w:firstLineChars="1650"/>
        <w:rPr>
          <w:rFonts w:ascii="仿宋_GB2312" w:hAnsi="SimSun-ExtB" w:eastAsia="仿宋_GB2312"/>
          <w:szCs w:val="21"/>
        </w:rPr>
      </w:pPr>
      <w:r>
        <w:rPr>
          <w:rFonts w:ascii="仿宋_GB2312" w:hAnsi="SimSun-ExtB" w:eastAsia="仿宋_GB2312"/>
        </w:rPr>
        <w:t xml:space="preserve">     </w:t>
      </w:r>
      <w:r>
        <w:rPr>
          <w:rFonts w:hint="eastAsia" w:ascii="仿宋_GB2312" w:eastAsia="仿宋_GB2312"/>
        </w:rPr>
        <w:t>填表日期：</w:t>
      </w:r>
      <w:r>
        <w:rPr>
          <w:rFonts w:ascii="仿宋_GB2312" w:hAnsi="SimSun-ExtB" w:eastAsia="仿宋_GB2312"/>
        </w:rPr>
        <w:t>201</w:t>
      </w:r>
      <w:r>
        <w:rPr>
          <w:rFonts w:hint="eastAsia" w:ascii="仿宋_GB2312" w:hAnsi="SimSun-ExtB" w:eastAsia="仿宋_GB2312"/>
        </w:rPr>
        <w:t>9</w:t>
      </w:r>
      <w:r>
        <w:rPr>
          <w:rFonts w:ascii="仿宋_GB2312" w:hAnsi="SimSun-ExtB" w:eastAsia="仿宋_GB2312"/>
        </w:rPr>
        <w:t xml:space="preserve"> </w:t>
      </w:r>
      <w:r>
        <w:rPr>
          <w:rFonts w:hint="eastAsia" w:ascii="仿宋_GB2312" w:eastAsia="仿宋_GB2312"/>
        </w:rPr>
        <w:t>年</w:t>
      </w:r>
      <w:r>
        <w:rPr>
          <w:rFonts w:ascii="仿宋_GB2312" w:hAnsi="SimSun-ExtB" w:eastAsia="仿宋_GB2312"/>
          <w:szCs w:val="21"/>
        </w:rPr>
        <w:t xml:space="preserve">2 </w:t>
      </w:r>
      <w:r>
        <w:rPr>
          <w:rFonts w:hint="eastAsia" w:ascii="仿宋_GB2312" w:eastAsia="仿宋_GB2312"/>
          <w:szCs w:val="21"/>
        </w:rPr>
        <w:t>月</w:t>
      </w:r>
      <w:r>
        <w:rPr>
          <w:rFonts w:ascii="仿宋_GB2312" w:eastAsia="仿宋_GB2312"/>
          <w:szCs w:val="21"/>
        </w:rPr>
        <w:t>26</w:t>
      </w:r>
      <w:r>
        <w:rPr>
          <w:rFonts w:ascii="仿宋_GB2312" w:hAnsi="SimSun-ExtB" w:eastAsia="仿宋_GB2312"/>
          <w:szCs w:val="21"/>
        </w:rPr>
        <w:t xml:space="preserve"> </w:t>
      </w:r>
      <w:r>
        <w:rPr>
          <w:rFonts w:hint="eastAsia" w:ascii="仿宋_GB2312" w:eastAsia="仿宋_GB2312"/>
          <w:szCs w:val="21"/>
        </w:rPr>
        <w:t>日</w:t>
      </w:r>
    </w:p>
    <w:p>
      <w:pPr>
        <w:spacing w:line="600" w:lineRule="atLeast"/>
        <w:ind w:firstLine="640"/>
        <w:jc w:val="both"/>
        <w:rPr>
          <w:rStyle w:val="7"/>
          <w:rFonts w:hint="eastAsia" w:ascii="仿宋" w:hAnsi="仿宋" w:eastAsia="仿宋" w:cs="Arial"/>
          <w:sz w:val="32"/>
          <w:szCs w:val="32"/>
        </w:rPr>
      </w:pPr>
      <w:r>
        <w:rPr>
          <w:rStyle w:val="7"/>
          <w:rFonts w:hint="eastAsia" w:ascii="仿宋" w:hAnsi="仿宋" w:eastAsia="仿宋" w:cs="Arial"/>
          <w:sz w:val="32"/>
          <w:szCs w:val="32"/>
        </w:rPr>
        <w:t>3.以部门为主体开展的重点绩效评价结果。</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2018年度本部门为主体开展的绩效评价项目零个。</w:t>
      </w:r>
    </w:p>
    <w:p>
      <w:pPr>
        <w:spacing w:line="600" w:lineRule="atLeast"/>
        <w:ind w:firstLine="640"/>
        <w:jc w:val="both"/>
      </w:pPr>
      <w:r>
        <w:rPr>
          <w:rStyle w:val="7"/>
          <w:rFonts w:hint="eastAsia" w:ascii="仿宋" w:hAnsi="仿宋" w:eastAsia="仿宋" w:cs="Arial"/>
          <w:sz w:val="32"/>
          <w:szCs w:val="32"/>
        </w:rPr>
        <w:t>4.财政部门组织开展的绩效评价结果。</w:t>
      </w:r>
    </w:p>
    <w:p>
      <w:pPr>
        <w:spacing w:line="600" w:lineRule="atLeast"/>
        <w:ind w:firstLine="640"/>
        <w:jc w:val="both"/>
      </w:pPr>
      <w:r>
        <w:rPr>
          <w:rFonts w:hint="eastAsia" w:ascii="仿宋" w:hAnsi="仿宋" w:eastAsia="仿宋" w:cs="Arial"/>
          <w:sz w:val="32"/>
          <w:szCs w:val="32"/>
        </w:rPr>
        <w:t>2018年度本部门由财政部门组织开展的绩效评价项目1个，预算金额共计218万元。其中：评价结果等次为优秀的项目0个；评价等次为良好的项目0个；评价结果等次为一般的项目1个，分别是支持温商创新创业与招商工作经费（2018）项目, 预算金额218万元，执行数为168.02万元，完成预算的77.07%。项目资金主要用于</w:t>
      </w:r>
      <w:r>
        <w:rPr>
          <w:rFonts w:hint="eastAsia" w:ascii="仿宋_GB2312" w:eastAsia="仿宋_GB2312"/>
          <w:sz w:val="32"/>
          <w:szCs w:val="32"/>
        </w:rPr>
        <w:t>招商引资业务培训、参加经济工作会议、外出招商活动、温商回归工作及宣传等方面，以激励更多的温商回归投资</w:t>
      </w:r>
      <w:r>
        <w:rPr>
          <w:rFonts w:hint="eastAsia" w:ascii="仿宋" w:hAnsi="仿宋" w:eastAsia="仿宋" w:cs="Arial"/>
          <w:sz w:val="32"/>
          <w:szCs w:val="32"/>
        </w:rPr>
        <w:t>；评价结果等次为较差的项目0个。</w:t>
      </w:r>
    </w:p>
    <w:p>
      <w:pPr>
        <w:spacing w:line="600" w:lineRule="atLeast"/>
        <w:ind w:firstLine="640"/>
        <w:jc w:val="both"/>
        <w:rPr>
          <w:rStyle w:val="7"/>
          <w:rFonts w:ascii="楷体" w:hAnsi="楷体" w:eastAsia="楷体" w:cs="Arial"/>
          <w:sz w:val="32"/>
          <w:szCs w:val="32"/>
        </w:rPr>
      </w:pPr>
      <w:r>
        <w:rPr>
          <w:rStyle w:val="7"/>
          <w:rFonts w:hint="eastAsia" w:ascii="楷体" w:hAnsi="楷体" w:eastAsia="楷体" w:cs="Arial"/>
          <w:sz w:val="32"/>
          <w:szCs w:val="32"/>
        </w:rPr>
        <w:t>（十）其他重要事项的情况说明</w:t>
      </w:r>
    </w:p>
    <w:p>
      <w:pPr>
        <w:spacing w:line="600" w:lineRule="atLeast"/>
        <w:ind w:firstLine="640"/>
        <w:jc w:val="both"/>
      </w:pPr>
      <w:r>
        <w:rPr>
          <w:rStyle w:val="7"/>
          <w:rFonts w:hint="eastAsia" w:ascii="仿宋" w:hAnsi="仿宋" w:eastAsia="仿宋" w:cs="Arial"/>
          <w:sz w:val="32"/>
          <w:szCs w:val="32"/>
        </w:rPr>
        <w:t>1.机关运行经费支出情况。</w:t>
      </w:r>
    </w:p>
    <w:p>
      <w:pPr>
        <w:spacing w:line="600" w:lineRule="atLeast"/>
        <w:ind w:firstLine="640"/>
        <w:jc w:val="both"/>
      </w:pPr>
      <w:r>
        <w:rPr>
          <w:rFonts w:hint="eastAsia" w:ascii="仿宋" w:hAnsi="仿宋" w:eastAsia="仿宋" w:cs="Arial"/>
          <w:sz w:val="32"/>
          <w:szCs w:val="32"/>
        </w:rPr>
        <w:t>2018年度机关运行经费支出93.04万元，比年初预算数增加15.44万元，增长19.9%，主要原因是人员支出增加等原因。</w:t>
      </w:r>
    </w:p>
    <w:p>
      <w:pPr>
        <w:spacing w:line="600" w:lineRule="atLeast"/>
        <w:ind w:firstLine="640"/>
        <w:jc w:val="both"/>
      </w:pPr>
      <w:r>
        <w:rPr>
          <w:rStyle w:val="7"/>
          <w:rFonts w:hint="eastAsia" w:ascii="仿宋" w:hAnsi="仿宋" w:eastAsia="仿宋" w:cs="Arial"/>
          <w:sz w:val="32"/>
          <w:szCs w:val="32"/>
        </w:rPr>
        <w:t>2.政府采购支出情况。</w:t>
      </w:r>
    </w:p>
    <w:p>
      <w:pPr>
        <w:spacing w:line="600" w:lineRule="atLeast"/>
        <w:ind w:firstLine="640"/>
        <w:jc w:val="both"/>
      </w:pPr>
      <w:r>
        <w:rPr>
          <w:rFonts w:hint="eastAsia" w:ascii="仿宋" w:hAnsi="仿宋" w:eastAsia="仿宋" w:cs="Arial"/>
          <w:sz w:val="32"/>
          <w:szCs w:val="32"/>
        </w:rPr>
        <w:t>2018年度政府采购支出总额1.6万元，其中：政府采购货物支出1.58万元、政府采购工程支出0万元、政府采购服务支出0万元。授予中小企业合同金额1.58万元，占政府采购支出总额的100%。其中，授予小微企业合同金额1.58万元，占政府采购支出总额的100%。</w:t>
      </w:r>
    </w:p>
    <w:p>
      <w:pPr>
        <w:spacing w:line="600" w:lineRule="atLeast"/>
        <w:ind w:firstLine="640"/>
        <w:jc w:val="both"/>
      </w:pPr>
      <w:r>
        <w:rPr>
          <w:rStyle w:val="7"/>
          <w:rFonts w:hint="eastAsia" w:ascii="仿宋" w:hAnsi="仿宋" w:eastAsia="仿宋" w:cs="Arial"/>
          <w:sz w:val="32"/>
          <w:szCs w:val="32"/>
        </w:rPr>
        <w:t>3.国有资产占有使用情况。</w:t>
      </w:r>
    </w:p>
    <w:p>
      <w:pPr>
        <w:spacing w:line="600" w:lineRule="atLeast"/>
        <w:ind w:firstLine="640"/>
        <w:jc w:val="both"/>
      </w:pPr>
      <w:r>
        <w:rPr>
          <w:rFonts w:hint="eastAsia" w:ascii="仿宋" w:hAnsi="仿宋" w:eastAsia="仿宋" w:cs="Arial"/>
          <w:sz w:val="32"/>
          <w:szCs w:val="32"/>
        </w:rPr>
        <w:t xml:space="preserve">截至2018年12月31日，温州市招商局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spacing w:line="600" w:lineRule="atLeast"/>
        <w:ind w:firstLine="640"/>
        <w:jc w:val="both"/>
      </w:pPr>
      <w:r>
        <w:rPr>
          <w:rStyle w:val="7"/>
          <w:rFonts w:hint="eastAsia" w:ascii="黑体" w:eastAsia="黑体" w:cs="Arial"/>
          <w:sz w:val="32"/>
          <w:szCs w:val="32"/>
        </w:rPr>
        <w:t>四、名词解释</w:t>
      </w:r>
    </w:p>
    <w:p>
      <w:pPr>
        <w:spacing w:line="600" w:lineRule="atLeast"/>
        <w:ind w:firstLine="640"/>
        <w:jc w:val="both"/>
      </w:pPr>
      <w:r>
        <w:rPr>
          <w:rFonts w:hint="eastAsia" w:ascii="仿宋" w:hAnsi="仿宋" w:eastAsia="仿宋" w:cs="Arial"/>
          <w:sz w:val="32"/>
          <w:szCs w:val="32"/>
        </w:rPr>
        <w:t>1.财政拨款收入：指本级财政部门当年拨付的财政预算资金，包括一般公共预算财政拨款和政府性基金预算财政拨款。</w:t>
      </w:r>
    </w:p>
    <w:p>
      <w:pPr>
        <w:spacing w:line="600" w:lineRule="atLeast"/>
        <w:ind w:firstLine="640"/>
        <w:jc w:val="both"/>
      </w:pPr>
      <w:r>
        <w:rPr>
          <w:rFonts w:hint="eastAsia" w:ascii="仿宋" w:hAnsi="仿宋" w:eastAsia="仿宋" w:cs="Arial"/>
          <w:sz w:val="32"/>
          <w:szCs w:val="32"/>
        </w:rPr>
        <w:t>2.事业收入：指事业单位开展专业业务活动及辅助活动所取得的收入。</w:t>
      </w:r>
    </w:p>
    <w:p>
      <w:pPr>
        <w:spacing w:line="600" w:lineRule="atLeast"/>
        <w:ind w:firstLine="640"/>
        <w:jc w:val="both"/>
      </w:pPr>
      <w:r>
        <w:rPr>
          <w:rFonts w:hint="eastAsia" w:ascii="仿宋" w:hAnsi="仿宋" w:eastAsia="仿宋" w:cs="Arial"/>
          <w:sz w:val="32"/>
          <w:szCs w:val="32"/>
        </w:rPr>
        <w:t>3.经营收入：指事业单位在专业业务活动及辅助活动之外开展非独立核算经营活动取得的收入。</w:t>
      </w:r>
    </w:p>
    <w:p>
      <w:pPr>
        <w:spacing w:line="600" w:lineRule="atLeast"/>
        <w:ind w:firstLine="640"/>
        <w:jc w:val="both"/>
      </w:pPr>
      <w:r>
        <w:rPr>
          <w:rFonts w:hint="eastAsia" w:ascii="仿宋" w:hAnsi="仿宋" w:eastAsia="仿宋" w:cs="Arial"/>
          <w:sz w:val="32"/>
          <w:szCs w:val="32"/>
        </w:rPr>
        <w:t>4.其他收入：指预算单位在“财政拨款”、“事业收入”、“经营收入”、“上级补助收入”、“附属单位上缴收入”等之外取得的各项收入。</w:t>
      </w:r>
    </w:p>
    <w:p>
      <w:pPr>
        <w:spacing w:line="600" w:lineRule="atLeast"/>
        <w:ind w:firstLine="640"/>
        <w:jc w:val="both"/>
      </w:pPr>
      <w:r>
        <w:rPr>
          <w:rFonts w:hint="eastAsia" w:ascii="仿宋" w:hAnsi="仿宋" w:eastAsia="仿宋" w:cs="Arial"/>
          <w:sz w:val="32"/>
          <w:szCs w:val="32"/>
        </w:rPr>
        <w:t>5.用事业基金弥补收支差额：指事业单位当年的“财政拨款收入”“事业收入”“其他收入”等不足以安排当年支出的情况下，使用以前年度积累的事业基金弥补本年收支缺口的资金。</w:t>
      </w:r>
    </w:p>
    <w:p>
      <w:pPr>
        <w:spacing w:line="600" w:lineRule="atLeast"/>
        <w:ind w:firstLine="640"/>
        <w:jc w:val="both"/>
      </w:pPr>
      <w:r>
        <w:rPr>
          <w:rFonts w:hint="eastAsia" w:ascii="仿宋" w:hAnsi="仿宋" w:eastAsia="仿宋" w:cs="Arial"/>
          <w:sz w:val="32"/>
          <w:szCs w:val="32"/>
        </w:rPr>
        <w:t>6.年初结转和结余：指预算单位以前年度尚未完成、结转到本年仍按原规定用途继续使用的资金。</w:t>
      </w:r>
    </w:p>
    <w:p>
      <w:pPr>
        <w:spacing w:line="600" w:lineRule="atLeast"/>
        <w:ind w:firstLine="640"/>
        <w:jc w:val="both"/>
      </w:pPr>
      <w:r>
        <w:rPr>
          <w:rFonts w:hint="eastAsia" w:ascii="仿宋" w:hAnsi="仿宋" w:eastAsia="仿宋" w:cs="Arial"/>
          <w:sz w:val="32"/>
          <w:szCs w:val="32"/>
        </w:rPr>
        <w:t>7.年末结转和结余：指单位按有关规定结转到下年或以后年度继续使用的资金。</w:t>
      </w:r>
    </w:p>
    <w:p>
      <w:pPr>
        <w:spacing w:line="600" w:lineRule="atLeast"/>
        <w:ind w:firstLine="640"/>
        <w:jc w:val="both"/>
      </w:pPr>
      <w:r>
        <w:rPr>
          <w:rFonts w:hint="eastAsia" w:ascii="仿宋" w:hAnsi="仿宋" w:eastAsia="仿宋" w:cs="Arial"/>
          <w:sz w:val="32"/>
          <w:szCs w:val="32"/>
        </w:rPr>
        <w:t>8.基本支出：指预算单位为保障其正常运转，完成日常工作任务所发生的支出，包括人员经费支出和日常公用经费支出。</w:t>
      </w:r>
    </w:p>
    <w:p>
      <w:pPr>
        <w:spacing w:line="600" w:lineRule="atLeast"/>
        <w:ind w:firstLine="640"/>
        <w:jc w:val="both"/>
      </w:pPr>
      <w:r>
        <w:rPr>
          <w:rFonts w:hint="eastAsia" w:ascii="仿宋" w:hAnsi="仿宋" w:eastAsia="仿宋" w:cs="Arial"/>
          <w:sz w:val="32"/>
          <w:szCs w:val="32"/>
        </w:rPr>
        <w:t>9.项目支出：指预算单位为完成其特定的行政工作任务或事业发展目标所发生的支出。</w:t>
      </w:r>
    </w:p>
    <w:p>
      <w:pPr>
        <w:spacing w:line="600" w:lineRule="atLeast"/>
        <w:ind w:firstLine="640"/>
        <w:jc w:val="both"/>
      </w:pPr>
      <w:r>
        <w:rPr>
          <w:rFonts w:hint="eastAsia" w:ascii="仿宋" w:hAnsi="仿宋" w:eastAsia="仿宋" w:cs="Arial"/>
          <w:sz w:val="32"/>
          <w:szCs w:val="32"/>
        </w:rPr>
        <w:t>10.经营支出：指事业单位在专业业务活动及其辅助活动之外开展非独立核算经营活动发生的支出。</w:t>
      </w:r>
    </w:p>
    <w:p>
      <w:pPr>
        <w:spacing w:line="600" w:lineRule="atLeast"/>
        <w:ind w:firstLine="640"/>
        <w:jc w:val="both"/>
      </w:pPr>
      <w:r>
        <w:rPr>
          <w:rFonts w:hint="eastAsia" w:ascii="仿宋" w:hAnsi="仿宋" w:eastAsia="仿宋" w:cs="Arial"/>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pPr>
      <w:r>
        <w:rPr>
          <w:rFonts w:hint="eastAsia" w:ascii="仿宋" w:hAnsi="仿宋" w:eastAsia="仿宋" w:cs="Arial"/>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pPr>
      <w:r>
        <w:rPr>
          <w:rFonts w:hint="eastAsia" w:ascii="仿宋" w:hAnsi="仿宋" w:eastAsia="仿宋"/>
          <w:sz w:val="32"/>
          <w:szCs w:val="32"/>
        </w:rPr>
        <w:t>13.流动资产：是指一年以内变现或耗用的资产，包括库存现金、银行存款、零余额用款额度、财政应返还额度、应收及预付款项、存货等。</w:t>
      </w:r>
    </w:p>
    <w:p>
      <w:pPr>
        <w:spacing w:line="600" w:lineRule="atLeast"/>
        <w:ind w:firstLine="640"/>
        <w:jc w:val="both"/>
      </w:pPr>
      <w:r>
        <w:rPr>
          <w:rFonts w:hint="eastAsia" w:ascii="仿宋" w:hAnsi="仿宋" w:eastAsia="仿宋"/>
          <w:sz w:val="32"/>
          <w:szCs w:val="32"/>
        </w:rPr>
        <w:t>14.固定资产：是指使用期限超过1年（不含1年），单位价值在规定标准以上，并且在使用过程中基本保持原有物质形态的资产。</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仿宋" w:eastAsia="仿宋"/>
          <w:sz w:val="32"/>
          <w:szCs w:val="32"/>
        </w:rPr>
        <w:t>15.</w:t>
      </w:r>
      <w:r>
        <w:rPr>
          <w:rFonts w:hint="eastAsia" w:ascii="仿宋" w:hAnsi="Times New Roman" w:eastAsia="仿宋" w:cs="仿宋"/>
          <w:color w:val="000000"/>
          <w:sz w:val="32"/>
          <w:szCs w:val="32"/>
        </w:rPr>
        <w:t>一般公共服务支出</w:t>
      </w:r>
      <w:r>
        <w:rPr>
          <w:rFonts w:hint="eastAsia" w:ascii="仿宋" w:hAnsi="仿宋" w:eastAsia="仿宋"/>
          <w:sz w:val="32"/>
          <w:szCs w:val="32"/>
        </w:rPr>
        <w:t>（类）政府办公厅（室）及相关机构事务（款）</w:t>
      </w:r>
      <w:r>
        <w:rPr>
          <w:rFonts w:hint="eastAsia" w:ascii="仿宋" w:hAnsi="Times New Roman" w:eastAsia="仿宋" w:cs="仿宋"/>
          <w:color w:val="000000"/>
          <w:sz w:val="32"/>
          <w:szCs w:val="32"/>
        </w:rPr>
        <w:t>行政运行</w:t>
      </w:r>
      <w:r>
        <w:rPr>
          <w:rFonts w:hint="eastAsia" w:ascii="仿宋" w:hAnsi="仿宋" w:eastAsia="仿宋"/>
          <w:sz w:val="32"/>
          <w:szCs w:val="32"/>
        </w:rPr>
        <w:t>（项）指反映行政单位（包括实行公务员管理的事业单位）的基本支出。</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16．一般公共服务支出</w:t>
      </w:r>
      <w:r>
        <w:rPr>
          <w:rFonts w:hint="eastAsia" w:ascii="仿宋" w:hAnsi="仿宋" w:eastAsia="仿宋"/>
          <w:sz w:val="32"/>
          <w:szCs w:val="32"/>
        </w:rPr>
        <w:t>（类）政府办公厅（室）及相关机构事务（款）一般行政管理（项）指反映为行政单位（包括实行公务员管理的事业单位）未单独设置项级科目的其他项目支出</w:t>
      </w:r>
      <w:r>
        <w:rPr>
          <w:rFonts w:hint="eastAsia" w:ascii="Times New Roman" w:eastAsia="仿宋_GB2312"/>
          <w:bCs/>
          <w:color w:val="000000"/>
          <w:sz w:val="32"/>
          <w:szCs w:val="32"/>
        </w:rPr>
        <w:t>。</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Times New Roman" w:eastAsia="仿宋" w:cs="仿宋"/>
          <w:color w:val="000000"/>
          <w:sz w:val="32"/>
          <w:szCs w:val="32"/>
        </w:rPr>
        <w:t>17．一般公共服务支出</w:t>
      </w:r>
      <w:r>
        <w:rPr>
          <w:rFonts w:hint="eastAsia" w:ascii="仿宋" w:hAnsi="仿宋" w:eastAsia="仿宋"/>
          <w:sz w:val="32"/>
          <w:szCs w:val="32"/>
        </w:rPr>
        <w:t>（类）政府办公厅（室）及相关机构事务（款）</w:t>
      </w:r>
      <w:r>
        <w:rPr>
          <w:rFonts w:hint="eastAsia" w:ascii="仿宋" w:hAnsi="Times New Roman" w:eastAsia="仿宋" w:cs="仿宋"/>
          <w:color w:val="000000"/>
          <w:sz w:val="32"/>
          <w:szCs w:val="32"/>
        </w:rPr>
        <w:t>事业运行（项）</w:t>
      </w:r>
      <w:r>
        <w:rPr>
          <w:rFonts w:hint="eastAsia" w:ascii="仿宋" w:hAnsi="仿宋" w:eastAsia="仿宋"/>
          <w:sz w:val="32"/>
          <w:szCs w:val="32"/>
        </w:rPr>
        <w:t>指反映事业单位的基本支出。</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Times New Roman" w:eastAsia="仿宋" w:cs="仿宋"/>
          <w:color w:val="000000"/>
          <w:sz w:val="32"/>
          <w:szCs w:val="32"/>
        </w:rPr>
        <w:t>18. 一般公共服务支出</w:t>
      </w:r>
      <w:r>
        <w:rPr>
          <w:rFonts w:hint="eastAsia" w:ascii="仿宋" w:hAnsi="仿宋" w:eastAsia="仿宋"/>
          <w:sz w:val="32"/>
          <w:szCs w:val="32"/>
        </w:rPr>
        <w:t>（类）政府办公厅（室）及相关机构事务（款）</w:t>
      </w:r>
      <w:r>
        <w:rPr>
          <w:rFonts w:hint="eastAsia" w:ascii="仿宋" w:hAnsi="Times New Roman" w:eastAsia="仿宋" w:cs="仿宋"/>
          <w:color w:val="000000"/>
          <w:sz w:val="32"/>
          <w:szCs w:val="32"/>
        </w:rPr>
        <w:t>其他政府办公厅（室）及相关机构事务支出（项）</w:t>
      </w:r>
      <w:r>
        <w:rPr>
          <w:rFonts w:hint="eastAsia" w:ascii="仿宋" w:hAnsi="仿宋" w:eastAsia="仿宋"/>
          <w:sz w:val="32"/>
          <w:szCs w:val="32"/>
        </w:rPr>
        <w:t xml:space="preserve">指反映除上述项目以外的其他政府办公厅（室）及相关机构事务支出。反映除上述项目以外的其他政府办公厅（室）及相关机构事务支出。 </w:t>
      </w:r>
    </w:p>
    <w:p>
      <w:pPr>
        <w:autoSpaceDE w:val="0"/>
        <w:autoSpaceDN w:val="0"/>
        <w:adjustRightInd w:val="0"/>
        <w:spacing w:line="560" w:lineRule="exact"/>
        <w:ind w:firstLine="640" w:firstLineChars="200"/>
      </w:pPr>
      <w:r>
        <w:rPr>
          <w:rFonts w:hint="eastAsia" w:ascii="仿宋" w:hAnsi="仿宋" w:eastAsia="仿宋"/>
          <w:sz w:val="32"/>
          <w:szCs w:val="32"/>
        </w:rPr>
        <w:t>19. 一般公共服务支出（类）发展与改革事务（款）其他发展与改革事务支出（项）指。</w:t>
      </w:r>
    </w:p>
    <w:p>
      <w:pPr>
        <w:autoSpaceDE w:val="0"/>
        <w:autoSpaceDN w:val="0"/>
        <w:adjustRightInd w:val="0"/>
        <w:spacing w:line="560" w:lineRule="exact"/>
        <w:ind w:firstLine="480" w:firstLineChars="200"/>
        <w:rPr>
          <w:rFonts w:ascii="仿宋" w:hAnsi="仿宋" w:eastAsia="仿宋"/>
          <w:sz w:val="32"/>
          <w:szCs w:val="32"/>
        </w:rPr>
      </w:pPr>
      <w:r>
        <w:rPr>
          <w:rFonts w:hint="eastAsia"/>
        </w:rPr>
        <w:t>20.</w:t>
      </w:r>
      <w:r>
        <w:rPr>
          <w:rFonts w:hint="eastAsia" w:ascii="仿宋" w:hAnsi="仿宋" w:eastAsia="仿宋"/>
          <w:sz w:val="32"/>
          <w:szCs w:val="32"/>
        </w:rPr>
        <w:t>社会保障和就业支出（类）行政事业单位离退休（款）机关事业单位基本养老保险缴费支出（项）指反映机关事业单位实施养老保险制度由单位缴纳的基本养老保险费的支出。</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仿宋" w:eastAsia="仿宋"/>
          <w:sz w:val="32"/>
          <w:szCs w:val="32"/>
        </w:rPr>
        <w:t>21. 社会保障和就业支出（类）行政事业单位离退休（款）机关事业单位职业年金缴费支出（项）指反映机关事业单位实施养老保险制度由单位实际缴纳的职业年金支出。</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仿宋" w:eastAsia="仿宋"/>
          <w:sz w:val="32"/>
          <w:szCs w:val="32"/>
        </w:rPr>
        <w:t>22. 医疗卫生与计划生育（类）医疗保障（款）行政单位医疗（项）指反映财政部门集中安排的行政单位基本医疗保险缴费经费。</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仿宋" w:eastAsia="仿宋"/>
          <w:sz w:val="32"/>
          <w:szCs w:val="32"/>
        </w:rPr>
        <w:t>23. 医疗卫生与计划生育（类）医疗保障（款）事业单位医疗（项）指反映财政部门集中安排的事业单位基本医疗保险缴费经费。</w:t>
      </w:r>
    </w:p>
    <w:p>
      <w:pPr>
        <w:spacing w:line="600" w:lineRule="atLeast"/>
        <w:ind w:firstLine="640"/>
        <w:jc w:val="both"/>
        <w:rPr>
          <w:rFonts w:ascii="仿宋" w:hAnsi="仿宋" w:eastAsia="仿宋"/>
          <w:sz w:val="32"/>
          <w:szCs w:val="32"/>
        </w:rPr>
      </w:pPr>
      <w:r>
        <w:rPr>
          <w:rFonts w:hint="eastAsia" w:ascii="仿宋" w:hAnsi="仿宋" w:eastAsia="仿宋"/>
          <w:sz w:val="32"/>
          <w:szCs w:val="32"/>
        </w:rPr>
        <w:t>24. 住房保障支出（类）住房改革支出（款）住房公积金（项）行政运行（项）指反映行政事业单位按人力资源和社会保障部、财政部规定的基本工资和津贴补贴以及规定比例为职工缴纳的住房公积金。</w:t>
      </w:r>
    </w:p>
    <w:p>
      <w:pPr>
        <w:spacing w:line="600" w:lineRule="atLeast"/>
        <w:ind w:firstLine="640"/>
        <w:jc w:val="both"/>
      </w:pPr>
      <w:r>
        <w:rPr>
          <w:rFonts w:hint="eastAsia" w:ascii="仿宋" w:hAnsi="仿宋" w:eastAsia="仿宋"/>
          <w:sz w:val="32"/>
          <w:szCs w:val="32"/>
        </w:rPr>
        <w:t>25. 住房保障支出（类）住房改革支出（款）购房补贴(项)：反映按房改政策规定，行政事业单位向符合条件职工发放的用于购房住房的补贴。</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NGEwNDIxMDQ4YjliZjBkMmE1ZGY4NTQ1Y2FmYTU1OTkifQ=="/>
  </w:docVars>
  <w:rsids>
    <w:rsidRoot w:val="00FA5588"/>
    <w:rsid w:val="00026914"/>
    <w:rsid w:val="0011675D"/>
    <w:rsid w:val="00174C0F"/>
    <w:rsid w:val="00182A47"/>
    <w:rsid w:val="002E039C"/>
    <w:rsid w:val="00366F98"/>
    <w:rsid w:val="0057785F"/>
    <w:rsid w:val="00620EC6"/>
    <w:rsid w:val="00702EE7"/>
    <w:rsid w:val="00772425"/>
    <w:rsid w:val="008D0004"/>
    <w:rsid w:val="00A1407F"/>
    <w:rsid w:val="00A83A6A"/>
    <w:rsid w:val="00AE2FDF"/>
    <w:rsid w:val="00AE6C00"/>
    <w:rsid w:val="00B11406"/>
    <w:rsid w:val="00BD338F"/>
    <w:rsid w:val="00C45F3F"/>
    <w:rsid w:val="00CB2CB9"/>
    <w:rsid w:val="00D36155"/>
    <w:rsid w:val="00F67243"/>
    <w:rsid w:val="00FA5588"/>
    <w:rsid w:val="46CE1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100" w:beforeAutospacing="1" w:after="100" w:afterAutospacing="1"/>
    </w:pPr>
  </w:style>
  <w:style w:type="character" w:styleId="7">
    <w:name w:val="Strong"/>
    <w:basedOn w:val="6"/>
    <w:qFormat/>
    <w:uiPriority w:val="22"/>
    <w:rPr>
      <w:b/>
      <w:bCs/>
    </w:rPr>
  </w:style>
  <w:style w:type="paragraph" w:styleId="8">
    <w:name w:val="List Paragraph"/>
    <w:basedOn w:val="1"/>
    <w:semiHidden/>
    <w:qFormat/>
    <w:uiPriority w:val="34"/>
    <w:pPr>
      <w:ind w:firstLine="420" w:firstLineChars="200"/>
    </w:pPr>
  </w:style>
  <w:style w:type="paragraph" w:customStyle="1" w:styleId="9">
    <w:name w:val="p0"/>
    <w:basedOn w:val="1"/>
    <w:uiPriority w:val="0"/>
    <w:pPr>
      <w:jc w:val="both"/>
    </w:pPr>
    <w:rPr>
      <w:rFonts w:ascii="Calibri" w:hAnsi="Calibri"/>
      <w:sz w:val="21"/>
      <w:szCs w:val="21"/>
    </w:rPr>
  </w:style>
  <w:style w:type="character" w:customStyle="1" w:styleId="10">
    <w:name w:val="页眉 Char"/>
    <w:basedOn w:val="6"/>
    <w:link w:val="3"/>
    <w:semiHidden/>
    <w:uiPriority w:val="99"/>
    <w:rPr>
      <w:rFonts w:ascii="宋体" w:hAnsi="宋体" w:eastAsia="宋体" w:cs="宋体"/>
      <w:sz w:val="18"/>
      <w:szCs w:val="18"/>
    </w:rPr>
  </w:style>
  <w:style w:type="character" w:customStyle="1" w:styleId="11">
    <w:name w:val="页脚 Char"/>
    <w:basedOn w:val="6"/>
    <w:link w:val="2"/>
    <w:semiHidden/>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8809</Words>
  <Characters>9813</Characters>
  <Lines>72</Lines>
  <Paragraphs>20</Paragraphs>
  <TotalTime>8</TotalTime>
  <ScaleCrop>false</ScaleCrop>
  <LinksUpToDate>false</LinksUpToDate>
  <CharactersWithSpaces>10001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2019-11-22T01:25:00Z</dcterms:created>
  <dc:creator>微软用户</dc:creator>
  <cp:lastModifiedBy>Administrator</cp:lastModifiedBy>
  <dcterms:modified xsi:type="dcterms:W3CDTF">2022-09-22T09:17:36Z</dcterms:modified>
  <dc:title>DWZDM</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EEB2115EEE24449C8658BE905D0610F2</vt:lpwstr>
  </property>
</Properties>
</file>