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ascii="方正小标宋简体" w:eastAsia="方正小标宋简体"/>
          <w:color w:val="auto"/>
          <w:sz w:val="44"/>
          <w:szCs w:val="44"/>
        </w:rPr>
      </w:pPr>
      <w:r>
        <w:rPr>
          <w:rFonts w:hint="eastAsia" w:ascii="方正小标宋简体" w:eastAsia="方正小标宋简体"/>
          <w:color w:val="auto"/>
          <w:sz w:val="44"/>
          <w:szCs w:val="44"/>
        </w:rPr>
        <w:t>温州市残疾人联合会</w:t>
      </w:r>
      <w:r>
        <w:rPr>
          <w:rFonts w:ascii="方正小标宋简体" w:eastAsia="方正小标宋简体"/>
          <w:color w:val="auto"/>
          <w:sz w:val="44"/>
          <w:szCs w:val="44"/>
        </w:rPr>
        <w:t>2016</w:t>
      </w:r>
      <w:r>
        <w:rPr>
          <w:rFonts w:hint="eastAsia" w:ascii="方正小标宋简体" w:eastAsia="方正小标宋简体"/>
          <w:color w:val="auto"/>
          <w:sz w:val="44"/>
          <w:szCs w:val="44"/>
        </w:rPr>
        <w:t>年度部门决算</w:t>
      </w:r>
    </w:p>
    <w:p>
      <w:pPr>
        <w:spacing w:line="600" w:lineRule="exact"/>
        <w:rPr>
          <w:rFonts w:ascii="仿宋_GB2312" w:eastAsia="仿宋_GB2312"/>
          <w:color w:val="auto"/>
          <w:sz w:val="32"/>
          <w:szCs w:val="32"/>
        </w:rPr>
      </w:pPr>
    </w:p>
    <w:p>
      <w:pPr>
        <w:spacing w:line="600" w:lineRule="exact"/>
        <w:rPr>
          <w:rFonts w:ascii="黑体" w:hAnsi="黑体" w:eastAsia="黑体"/>
          <w:color w:val="auto"/>
          <w:sz w:val="32"/>
          <w:szCs w:val="32"/>
        </w:rPr>
      </w:pPr>
      <w:r>
        <w:rPr>
          <w:rFonts w:ascii="仿宋_GB2312" w:eastAsia="仿宋_GB2312"/>
          <w:color w:val="auto"/>
          <w:sz w:val="32"/>
          <w:szCs w:val="32"/>
        </w:rPr>
        <w:t xml:space="preserve">   </w:t>
      </w:r>
      <w:r>
        <w:rPr>
          <w:rFonts w:ascii="黑体" w:hAnsi="黑体" w:eastAsia="黑体"/>
          <w:color w:val="auto"/>
          <w:sz w:val="32"/>
          <w:szCs w:val="32"/>
        </w:rPr>
        <w:t xml:space="preserve"> </w:t>
      </w:r>
      <w:r>
        <w:rPr>
          <w:rFonts w:hint="eastAsia" w:ascii="黑体" w:hAnsi="黑体" w:eastAsia="黑体"/>
          <w:color w:val="auto"/>
          <w:sz w:val="32"/>
          <w:szCs w:val="32"/>
        </w:rPr>
        <w:t>一、</w:t>
      </w:r>
      <w:r>
        <w:rPr>
          <w:rFonts w:ascii="黑体" w:hAnsi="黑体" w:eastAsia="黑体"/>
          <w:color w:val="auto"/>
          <w:sz w:val="32"/>
          <w:szCs w:val="32"/>
        </w:rPr>
        <w:t>2016</w:t>
      </w:r>
      <w:r>
        <w:rPr>
          <w:rFonts w:hint="eastAsia" w:ascii="黑体" w:hAnsi="黑体" w:eastAsia="黑体"/>
          <w:color w:val="auto"/>
          <w:sz w:val="32"/>
          <w:szCs w:val="32"/>
        </w:rPr>
        <w:t>年度部门决算概况</w:t>
      </w:r>
    </w:p>
    <w:p>
      <w:pPr>
        <w:spacing w:line="600" w:lineRule="exact"/>
        <w:rPr>
          <w:rFonts w:ascii="楷体_GB2312" w:eastAsia="楷体_GB2312"/>
          <w:color w:val="auto"/>
          <w:sz w:val="32"/>
          <w:szCs w:val="32"/>
        </w:rPr>
      </w:pPr>
      <w:r>
        <w:rPr>
          <w:rFonts w:ascii="仿宋_GB2312" w:eastAsia="仿宋_GB2312"/>
          <w:color w:val="auto"/>
          <w:sz w:val="32"/>
          <w:szCs w:val="32"/>
        </w:rPr>
        <w:t xml:space="preserve">    </w:t>
      </w:r>
      <w:r>
        <w:rPr>
          <w:rFonts w:hint="eastAsia" w:ascii="楷体_GB2312" w:eastAsia="楷体_GB2312"/>
          <w:color w:val="auto"/>
          <w:sz w:val="32"/>
          <w:szCs w:val="32"/>
        </w:rPr>
        <w:t>（一）主要职能</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1</w:t>
      </w:r>
      <w:r>
        <w:rPr>
          <w:rFonts w:hint="eastAsia" w:ascii="仿宋_GB2312" w:eastAsia="仿宋_GB2312"/>
          <w:color w:val="auto"/>
          <w:sz w:val="32"/>
          <w:szCs w:val="32"/>
        </w:rPr>
        <w:t>、贯彻执行党和国家有关残疾人工作的方针、政策；配合有关部门起草有关发展残疾人事业的规范性文件；协助政府研究制定我市残疾人事业发展规划、计划。</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2</w:t>
      </w:r>
      <w:r>
        <w:rPr>
          <w:rFonts w:hint="eastAsia" w:ascii="仿宋_GB2312" w:eastAsia="仿宋_GB2312"/>
          <w:color w:val="auto"/>
          <w:sz w:val="32"/>
          <w:szCs w:val="32"/>
        </w:rPr>
        <w:t>、听取残疾人意见，反映残疾人需求，维护残疾人权益，为残疾人服务。</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3</w:t>
      </w:r>
      <w:r>
        <w:rPr>
          <w:rFonts w:hint="eastAsia" w:ascii="仿宋_GB2312" w:eastAsia="仿宋_GB2312"/>
          <w:color w:val="auto"/>
          <w:sz w:val="32"/>
          <w:szCs w:val="32"/>
        </w:rPr>
        <w:t>、开展和促进残疾人健康、教育、劳动就业、培训、文化、体育、用品供应、福利、残疾预防和无障碍设施建设等工作，创造良好的环境和条件，扶助残疾人平等参与社会生活。</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4</w:t>
      </w:r>
      <w:r>
        <w:rPr>
          <w:rFonts w:hint="eastAsia" w:ascii="仿宋_GB2312" w:eastAsia="仿宋_GB2312"/>
          <w:color w:val="auto"/>
          <w:sz w:val="32"/>
          <w:szCs w:val="32"/>
        </w:rPr>
        <w:t>、团结、教育残疾人遵守法律，履行应尽的义务，发扬乐观进去精神，自尊、自信、自强、自立，为社会主义建设作出贡献。</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5</w:t>
      </w:r>
      <w:r>
        <w:rPr>
          <w:rFonts w:hint="eastAsia" w:ascii="仿宋_GB2312" w:eastAsia="仿宋_GB2312"/>
          <w:color w:val="auto"/>
          <w:sz w:val="32"/>
          <w:szCs w:val="32"/>
        </w:rPr>
        <w:t>、沟通政府、社会与残疾人之间的联系，动员社会理解、尊重、关心、帮助残疾人。</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6</w:t>
      </w:r>
      <w:r>
        <w:rPr>
          <w:rFonts w:hint="eastAsia" w:ascii="仿宋_GB2312" w:eastAsia="仿宋_GB2312"/>
          <w:color w:val="auto"/>
          <w:sz w:val="32"/>
          <w:szCs w:val="32"/>
        </w:rPr>
        <w:t>、承担市残疾人工作协调委员会和市残疾人福利基金会的日常工作。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7</w:t>
      </w:r>
      <w:r>
        <w:rPr>
          <w:rFonts w:hint="eastAsia" w:ascii="仿宋_GB2312" w:eastAsia="仿宋_GB2312"/>
          <w:color w:val="auto"/>
          <w:sz w:val="32"/>
          <w:szCs w:val="32"/>
        </w:rPr>
        <w:t>、指导和管理各类残疾人社团组织。</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8</w:t>
      </w:r>
      <w:r>
        <w:rPr>
          <w:rFonts w:hint="eastAsia" w:ascii="仿宋_GB2312" w:eastAsia="仿宋_GB2312"/>
          <w:color w:val="auto"/>
          <w:sz w:val="32"/>
          <w:szCs w:val="32"/>
        </w:rPr>
        <w:t>、开展残疾人事业的国际交流与合作。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9</w:t>
      </w:r>
      <w:r>
        <w:rPr>
          <w:rFonts w:hint="eastAsia" w:ascii="仿宋_GB2312" w:eastAsia="仿宋_GB2312"/>
          <w:color w:val="auto"/>
          <w:sz w:val="32"/>
          <w:szCs w:val="32"/>
        </w:rPr>
        <w:t>、指导县（市、区）残联的业务工作。</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10</w:t>
      </w:r>
      <w:r>
        <w:rPr>
          <w:rFonts w:hint="eastAsia" w:ascii="仿宋_GB2312" w:eastAsia="仿宋_GB2312"/>
          <w:color w:val="auto"/>
          <w:sz w:val="32"/>
          <w:szCs w:val="32"/>
        </w:rPr>
        <w:t>、承办市委、市政府和上级残联交办的其他工作。</w:t>
      </w:r>
    </w:p>
    <w:p>
      <w:pPr>
        <w:spacing w:line="600" w:lineRule="exact"/>
        <w:rPr>
          <w:rFonts w:ascii="楷体_GB2312" w:eastAsia="楷体_GB2312"/>
          <w:color w:val="auto"/>
          <w:sz w:val="32"/>
          <w:szCs w:val="32"/>
        </w:rPr>
      </w:pPr>
      <w:r>
        <w:rPr>
          <w:rFonts w:ascii="仿宋_GB2312" w:eastAsia="仿宋_GB2312"/>
          <w:color w:val="auto"/>
          <w:sz w:val="32"/>
          <w:szCs w:val="32"/>
        </w:rPr>
        <w:t xml:space="preserve">    </w:t>
      </w:r>
      <w:r>
        <w:rPr>
          <w:rFonts w:hint="eastAsia" w:ascii="楷体_GB2312" w:eastAsia="楷体_GB2312"/>
          <w:color w:val="auto"/>
          <w:sz w:val="32"/>
          <w:szCs w:val="32"/>
        </w:rPr>
        <w:t>（二）部门决算单位构成</w:t>
      </w:r>
    </w:p>
    <w:p>
      <w:pPr>
        <w:spacing w:line="600" w:lineRule="exact"/>
        <w:rPr>
          <w:rFonts w:ascii="仿宋_GB2312" w:eastAsia="仿宋_GB2312"/>
          <w:color w:val="auto"/>
          <w:sz w:val="32"/>
          <w:szCs w:val="32"/>
        </w:rPr>
      </w:pPr>
      <w:r>
        <w:rPr>
          <w:rFonts w:ascii="仿宋_GB2312" w:eastAsia="仿宋_GB2312"/>
          <w:color w:val="auto"/>
          <w:sz w:val="32"/>
          <w:szCs w:val="32"/>
        </w:rPr>
        <w:t xml:space="preserve">    2016</w:t>
      </w:r>
      <w:r>
        <w:rPr>
          <w:rFonts w:hint="eastAsia" w:ascii="仿宋_GB2312" w:eastAsia="仿宋_GB2312"/>
          <w:color w:val="auto"/>
          <w:sz w:val="32"/>
          <w:szCs w:val="32"/>
        </w:rPr>
        <w:t>年度温州市残疾人联合会部门决算包括：市残联本级及所属两个事业单位决算，具体如下：</w:t>
      </w:r>
    </w:p>
    <w:tbl>
      <w:tblPr>
        <w:tblStyle w:val="6"/>
        <w:tblW w:w="6730" w:type="dxa"/>
        <w:jc w:val="center"/>
        <w:tblLayout w:type="fixed"/>
        <w:tblCellMar>
          <w:top w:w="0" w:type="dxa"/>
          <w:left w:w="108" w:type="dxa"/>
          <w:bottom w:w="0" w:type="dxa"/>
          <w:right w:w="108" w:type="dxa"/>
        </w:tblCellMar>
      </w:tblPr>
      <w:tblGrid>
        <w:gridCol w:w="1230"/>
        <w:gridCol w:w="5500"/>
      </w:tblGrid>
      <w:tr>
        <w:tblPrEx>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hint="eastAsia" w:ascii="仿宋_GB2312" w:hAnsi="宋体" w:eastAsia="仿宋_GB2312" w:cs="Arial"/>
                <w:color w:val="auto"/>
                <w:kern w:val="0"/>
                <w:sz w:val="28"/>
                <w:szCs w:val="28"/>
              </w:rPr>
              <w:t>序号</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hint="eastAsia" w:ascii="仿宋_GB2312" w:hAnsi="宋体" w:eastAsia="仿宋_GB2312" w:cs="Arial"/>
                <w:color w:val="auto"/>
                <w:kern w:val="0"/>
                <w:sz w:val="28"/>
                <w:szCs w:val="28"/>
              </w:rPr>
              <w:t>单位名称</w:t>
            </w:r>
          </w:p>
        </w:tc>
      </w:tr>
      <w:tr>
        <w:tblPrEx>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1</w:t>
            </w:r>
          </w:p>
        </w:tc>
        <w:tc>
          <w:tcPr>
            <w:tcW w:w="5500" w:type="dxa"/>
            <w:tcBorders>
              <w:top w:val="nil"/>
              <w:left w:val="nil"/>
              <w:bottom w:val="single" w:color="auto" w:sz="4" w:space="0"/>
              <w:right w:val="single" w:color="auto" w:sz="4" w:space="0"/>
            </w:tcBorders>
            <w:vAlign w:val="center"/>
          </w:tcPr>
          <w:p>
            <w:pPr>
              <w:widowControl/>
              <w:jc w:val="center"/>
              <w:rPr>
                <w:rFonts w:ascii="仿宋_GB2312" w:eastAsia="仿宋_GB2312" w:cs="宋体"/>
                <w:color w:val="auto"/>
                <w:kern w:val="0"/>
                <w:sz w:val="28"/>
                <w:szCs w:val="28"/>
              </w:rPr>
            </w:pPr>
            <w:r>
              <w:rPr>
                <w:rFonts w:hint="eastAsia" w:ascii="仿宋_GB2312" w:hAnsi="宋体" w:eastAsia="仿宋_GB2312" w:cs="宋体"/>
                <w:color w:val="auto"/>
                <w:sz w:val="28"/>
                <w:szCs w:val="28"/>
                <w:lang w:val="zh-CN"/>
              </w:rPr>
              <w:t>温州市残疾人联合会本级</w:t>
            </w:r>
          </w:p>
        </w:tc>
      </w:tr>
      <w:tr>
        <w:tblPrEx>
          <w:tblCellMar>
            <w:top w:w="0" w:type="dxa"/>
            <w:left w:w="108" w:type="dxa"/>
            <w:bottom w:w="0" w:type="dxa"/>
            <w:right w:w="108" w:type="dxa"/>
          </w:tblCellMar>
        </w:tblPrEx>
        <w:trPr>
          <w:trHeight w:val="510" w:hRule="atLeast"/>
          <w:jc w:val="center"/>
        </w:trPr>
        <w:tc>
          <w:tcPr>
            <w:tcW w:w="1230" w:type="dxa"/>
            <w:tcBorders>
              <w:top w:val="single" w:color="auto" w:sz="4" w:space="0"/>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2</w:t>
            </w:r>
          </w:p>
        </w:tc>
        <w:tc>
          <w:tcPr>
            <w:tcW w:w="5500" w:type="dxa"/>
            <w:tcBorders>
              <w:top w:val="single" w:color="auto" w:sz="4" w:space="0"/>
              <w:left w:val="nil"/>
              <w:bottom w:val="single" w:color="auto" w:sz="4" w:space="0"/>
              <w:right w:val="single" w:color="auto" w:sz="4" w:space="0"/>
            </w:tcBorders>
            <w:vAlign w:val="center"/>
          </w:tcPr>
          <w:p>
            <w:pPr>
              <w:widowControl/>
              <w:jc w:val="center"/>
              <w:rPr>
                <w:rFonts w:ascii="仿宋_GB2312" w:eastAsia="仿宋_GB2312" w:cs="宋体"/>
                <w:color w:val="auto"/>
                <w:kern w:val="0"/>
                <w:sz w:val="28"/>
                <w:szCs w:val="28"/>
              </w:rPr>
            </w:pPr>
            <w:r>
              <w:rPr>
                <w:rFonts w:hint="eastAsia" w:ascii="仿宋_GB2312" w:hAnsi="宋体" w:eastAsia="仿宋_GB2312" w:cs="宋体"/>
                <w:color w:val="auto"/>
                <w:kern w:val="0"/>
                <w:sz w:val="28"/>
                <w:szCs w:val="28"/>
              </w:rPr>
              <w:t>温州市残疾人劳动就业服务部</w:t>
            </w:r>
          </w:p>
        </w:tc>
      </w:tr>
      <w:tr>
        <w:tblPrEx>
          <w:tblCellMar>
            <w:top w:w="0" w:type="dxa"/>
            <w:left w:w="108" w:type="dxa"/>
            <w:bottom w:w="0" w:type="dxa"/>
            <w:right w:w="108" w:type="dxa"/>
          </w:tblCellMar>
        </w:tblPrEx>
        <w:trPr>
          <w:trHeight w:val="510" w:hRule="atLeast"/>
          <w:jc w:val="center"/>
        </w:trPr>
        <w:tc>
          <w:tcPr>
            <w:tcW w:w="1230" w:type="dxa"/>
            <w:tcBorders>
              <w:top w:val="nil"/>
              <w:left w:val="single" w:color="auto" w:sz="4" w:space="0"/>
              <w:bottom w:val="single" w:color="auto" w:sz="4" w:space="0"/>
              <w:right w:val="single" w:color="auto" w:sz="4" w:space="0"/>
            </w:tcBorders>
            <w:vAlign w:val="center"/>
          </w:tcPr>
          <w:p>
            <w:pPr>
              <w:widowControl/>
              <w:jc w:val="center"/>
              <w:rPr>
                <w:rFonts w:ascii="仿宋_GB2312" w:eastAsia="仿宋_GB2312" w:cs="Arial"/>
                <w:color w:val="auto"/>
                <w:kern w:val="0"/>
                <w:sz w:val="28"/>
                <w:szCs w:val="28"/>
              </w:rPr>
            </w:pPr>
            <w:r>
              <w:rPr>
                <w:rFonts w:ascii="仿宋_GB2312" w:hAnsi="宋体" w:eastAsia="仿宋_GB2312" w:cs="Arial"/>
                <w:color w:val="auto"/>
                <w:kern w:val="0"/>
                <w:sz w:val="28"/>
                <w:szCs w:val="28"/>
              </w:rPr>
              <w:t>3</w:t>
            </w:r>
          </w:p>
        </w:tc>
        <w:tc>
          <w:tcPr>
            <w:tcW w:w="5500" w:type="dxa"/>
            <w:tcBorders>
              <w:top w:val="nil"/>
              <w:left w:val="nil"/>
              <w:bottom w:val="single" w:color="auto" w:sz="4" w:space="0"/>
              <w:right w:val="single" w:color="auto" w:sz="4" w:space="0"/>
            </w:tcBorders>
            <w:vAlign w:val="center"/>
          </w:tcPr>
          <w:p>
            <w:pPr>
              <w:widowControl/>
              <w:ind w:firstLine="280" w:firstLineChars="100"/>
              <w:jc w:val="center"/>
              <w:rPr>
                <w:rFonts w:ascii="仿宋_GB2312" w:eastAsia="仿宋_GB2312" w:cs="宋体"/>
                <w:color w:val="auto"/>
                <w:kern w:val="0"/>
                <w:sz w:val="28"/>
                <w:szCs w:val="28"/>
              </w:rPr>
            </w:pPr>
            <w:r>
              <w:rPr>
                <w:rFonts w:hint="eastAsia" w:ascii="仿宋_GB2312" w:hAnsi="宋体" w:eastAsia="仿宋_GB2312" w:cs="宋体"/>
                <w:color w:val="auto"/>
                <w:kern w:val="0"/>
                <w:sz w:val="28"/>
                <w:szCs w:val="28"/>
              </w:rPr>
              <w:t>温州市残疾人康复服务指导中心</w:t>
            </w:r>
          </w:p>
        </w:tc>
      </w:tr>
    </w:tbl>
    <w:p>
      <w:pPr>
        <w:autoSpaceDE w:val="0"/>
        <w:autoSpaceDN w:val="0"/>
        <w:adjustRightInd w:val="0"/>
        <w:spacing w:line="560" w:lineRule="exact"/>
        <w:rPr>
          <w:rFonts w:ascii="黑体" w:hAnsi="黑体" w:eastAsia="黑体" w:cs="??"/>
          <w:color w:val="auto"/>
          <w:sz w:val="32"/>
          <w:szCs w:val="32"/>
        </w:rPr>
      </w:pPr>
      <w:r>
        <w:rPr>
          <w:rFonts w:ascii="??_GB2312" w:hAnsi="Times New Roman" w:cs="??_GB2312"/>
          <w:color w:val="auto"/>
          <w:sz w:val="32"/>
          <w:szCs w:val="32"/>
        </w:rPr>
        <w:t xml:space="preserve">    </w:t>
      </w:r>
      <w:r>
        <w:rPr>
          <w:rFonts w:hint="eastAsia" w:ascii="黑体" w:hAnsi="黑体" w:eastAsia="黑体" w:cs="??"/>
          <w:color w:val="auto"/>
          <w:sz w:val="32"/>
          <w:szCs w:val="32"/>
        </w:rPr>
        <w:t>二、</w:t>
      </w:r>
      <w:r>
        <w:rPr>
          <w:rFonts w:ascii="黑体" w:hAnsi="黑体" w:eastAsia="黑体" w:cs="??"/>
          <w:color w:val="auto"/>
          <w:sz w:val="32"/>
          <w:szCs w:val="32"/>
          <w:lang w:val="zh-CN"/>
        </w:rPr>
        <w:t>2016</w:t>
      </w:r>
      <w:r>
        <w:rPr>
          <w:rFonts w:hint="eastAsia" w:ascii="黑体" w:hAnsi="黑体" w:eastAsia="黑体" w:cs="??"/>
          <w:color w:val="auto"/>
          <w:sz w:val="32"/>
          <w:szCs w:val="32"/>
          <w:lang w:val="zh-CN"/>
        </w:rPr>
        <w:t>年度部门决算报表</w:t>
      </w:r>
      <w:r>
        <w:rPr>
          <w:rFonts w:hint="eastAsia" w:ascii="黑体" w:hAnsi="黑体" w:eastAsia="黑体" w:cs="??"/>
          <w:color w:val="auto"/>
          <w:sz w:val="32"/>
          <w:szCs w:val="32"/>
        </w:rPr>
        <w:t>（无数据零反映）</w:t>
      </w:r>
    </w:p>
    <w:tbl>
      <w:tblPr>
        <w:tblStyle w:val="6"/>
        <w:tblW w:w="8860" w:type="dxa"/>
        <w:tblInd w:w="93" w:type="dxa"/>
        <w:tblLayout w:type="fixed"/>
        <w:tblCellMar>
          <w:top w:w="0" w:type="dxa"/>
          <w:left w:w="108" w:type="dxa"/>
          <w:bottom w:w="0" w:type="dxa"/>
          <w:right w:w="108" w:type="dxa"/>
        </w:tblCellMar>
      </w:tblPr>
      <w:tblGrid>
        <w:gridCol w:w="2283"/>
        <w:gridCol w:w="1063"/>
        <w:gridCol w:w="805"/>
        <w:gridCol w:w="2690"/>
        <w:gridCol w:w="2019"/>
      </w:tblGrid>
      <w:tr>
        <w:tblPrEx>
          <w:tblCellMar>
            <w:top w:w="0" w:type="dxa"/>
            <w:left w:w="108" w:type="dxa"/>
            <w:bottom w:w="0" w:type="dxa"/>
            <w:right w:w="108" w:type="dxa"/>
          </w:tblCellMar>
        </w:tblPrEx>
        <w:trPr>
          <w:trHeight w:val="540" w:hRule="atLeast"/>
        </w:trPr>
        <w:tc>
          <w:tcPr>
            <w:tcW w:w="8860" w:type="dxa"/>
            <w:gridSpan w:val="5"/>
            <w:tcBorders>
              <w:top w:val="nil"/>
              <w:left w:val="nil"/>
              <w:bottom w:val="nil"/>
              <w:right w:val="nil"/>
            </w:tcBorders>
            <w:vAlign w:val="bottom"/>
          </w:tcPr>
          <w:p>
            <w:pPr>
              <w:autoSpaceDE w:val="0"/>
              <w:autoSpaceDN w:val="0"/>
              <w:adjustRightInd w:val="0"/>
              <w:spacing w:line="560" w:lineRule="exact"/>
              <w:ind w:firstLine="627"/>
              <w:jc w:val="center"/>
              <w:rPr>
                <w:rFonts w:ascii="宋体" w:cs="??"/>
                <w:color w:val="auto"/>
                <w:sz w:val="32"/>
                <w:szCs w:val="32"/>
              </w:rPr>
            </w:pPr>
            <w:r>
              <w:rPr>
                <w:rFonts w:ascii="宋体" w:hAnsi="宋体" w:cs="??"/>
                <w:color w:val="auto"/>
                <w:sz w:val="32"/>
                <w:szCs w:val="32"/>
              </w:rPr>
              <w:t>2016</w:t>
            </w:r>
            <w:r>
              <w:rPr>
                <w:rFonts w:hint="eastAsia" w:ascii="宋体" w:hAnsi="宋体" w:cs="??"/>
                <w:color w:val="auto"/>
                <w:sz w:val="32"/>
                <w:szCs w:val="32"/>
              </w:rPr>
              <w:t>年度部门收支决算总表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Arial" w:hAnsi="Arial" w:cs="Arial"/>
                <w:color w:val="auto"/>
                <w:kern w:val="0"/>
                <w:sz w:val="20"/>
                <w:szCs w:val="20"/>
              </w:rPr>
            </w:pPr>
          </w:p>
        </w:tc>
        <w:tc>
          <w:tcPr>
            <w:tcW w:w="80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019" w:type="dxa"/>
            <w:tcBorders>
              <w:top w:val="nil"/>
              <w:left w:val="nil"/>
              <w:bottom w:val="nil"/>
              <w:right w:val="nil"/>
            </w:tcBorders>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01</w:t>
            </w:r>
            <w:r>
              <w:rPr>
                <w:rFonts w:hint="eastAsia" w:ascii="宋体" w:hAnsi="宋体" w:cs="Arial"/>
                <w:color w:val="auto"/>
                <w:kern w:val="0"/>
                <w:sz w:val="20"/>
                <w:szCs w:val="20"/>
              </w:rPr>
              <w:t>表</w:t>
            </w:r>
          </w:p>
        </w:tc>
      </w:tr>
      <w:tr>
        <w:tblPrEx>
          <w:tblCellMar>
            <w:top w:w="0" w:type="dxa"/>
            <w:left w:w="108" w:type="dxa"/>
            <w:bottom w:w="0" w:type="dxa"/>
            <w:right w:w="108" w:type="dxa"/>
          </w:tblCellMar>
        </w:tblPrEx>
        <w:trPr>
          <w:trHeight w:val="255" w:hRule="atLeast"/>
        </w:trPr>
        <w:tc>
          <w:tcPr>
            <w:tcW w:w="3346" w:type="dxa"/>
            <w:gridSpan w:val="2"/>
            <w:tcBorders>
              <w:top w:val="nil"/>
              <w:left w:val="nil"/>
              <w:bottom w:val="nil"/>
              <w:right w:val="nil"/>
            </w:tcBorders>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部门：温州市残疾人联合会（汇总）</w:t>
            </w:r>
          </w:p>
        </w:tc>
        <w:tc>
          <w:tcPr>
            <w:tcW w:w="80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69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019" w:type="dxa"/>
            <w:tcBorders>
              <w:top w:val="nil"/>
              <w:left w:val="nil"/>
              <w:bottom w:val="nil"/>
              <w:right w:val="nil"/>
            </w:tcBorders>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308" w:hRule="atLeast"/>
        </w:trPr>
        <w:tc>
          <w:tcPr>
            <w:tcW w:w="4151"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收</w:t>
            </w:r>
            <w:r>
              <w:rPr>
                <w:rFonts w:ascii="宋体" w:hAnsi="宋体" w:cs="Arial"/>
                <w:color w:val="auto"/>
                <w:kern w:val="0"/>
                <w:sz w:val="18"/>
                <w:szCs w:val="18"/>
              </w:rPr>
              <w:t xml:space="preserve">      </w:t>
            </w:r>
            <w:r>
              <w:rPr>
                <w:rFonts w:hint="eastAsia" w:ascii="宋体" w:hAnsi="宋体" w:cs="Arial"/>
                <w:color w:val="auto"/>
                <w:kern w:val="0"/>
                <w:sz w:val="18"/>
                <w:szCs w:val="18"/>
              </w:rPr>
              <w:t>入</w:t>
            </w:r>
          </w:p>
        </w:tc>
        <w:tc>
          <w:tcPr>
            <w:tcW w:w="4709" w:type="dxa"/>
            <w:gridSpan w:val="2"/>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支出</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1868" w:type="dxa"/>
            <w:gridSpan w:val="2"/>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w:t>
            </w:r>
          </w:p>
        </w:tc>
        <w:tc>
          <w:tcPr>
            <w:tcW w:w="2019"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一、财政拨款</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一、一般公共服务支出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一般公共预算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2809.4</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二、外交支出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政府性基金预算</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三、国防支出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二、上级补助收入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四、公共安全支出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三、事业收入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五、教育支出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四、经营收入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六、科学技术支出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五、附属单位上缴收入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七、文化体育与传媒支出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六、其他收入</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八、社会保障和就业支出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九、医疗卫生与计划生育支出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十、节能环保支出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十一、城乡社区支出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十二、农林水支出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十三、交通运输支出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十四、资源勘探信息等支出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十五、商业服务业等支出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十六、金融支出</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十七、援助其他地区支出</w:t>
            </w:r>
          </w:p>
        </w:tc>
        <w:tc>
          <w:tcPr>
            <w:tcW w:w="2019" w:type="dxa"/>
            <w:tcBorders>
              <w:top w:val="nil"/>
              <w:left w:val="nil"/>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十八、国土海洋气象等支出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十九、住房保障支出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二十、粮油物资储备支出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二十一、其他支出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二十二、债务还本支出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二十三、债务付息支出</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本年收入合计</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3714.87</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本年支出合计</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七、用事业基金弥补收支差额</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二十三、结余分配</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八、年初结转和结余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23.16</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交纳所得税</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基本支出结转</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20.97</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提取职工福利基金</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项目支出结转和结余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2.19</w:t>
            </w: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转入事业基金</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经营结余</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其他</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二十四、年末结转和结余</w:t>
            </w:r>
          </w:p>
        </w:tc>
        <w:tc>
          <w:tcPr>
            <w:tcW w:w="2019"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2.25</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single" w:color="auto" w:sz="4" w:space="0"/>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基本支出结转</w:t>
            </w:r>
          </w:p>
        </w:tc>
        <w:tc>
          <w:tcPr>
            <w:tcW w:w="2019" w:type="dxa"/>
            <w:tcBorders>
              <w:top w:val="single" w:color="auto" w:sz="4" w:space="0"/>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项目支出结转和结余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2.25</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 xml:space="preserve">        </w:t>
            </w:r>
            <w:r>
              <w:rPr>
                <w:rFonts w:hint="eastAsia" w:ascii="宋体" w:hAnsi="宋体" w:cs="Arial"/>
                <w:color w:val="auto"/>
                <w:kern w:val="0"/>
                <w:sz w:val="18"/>
                <w:szCs w:val="18"/>
              </w:rPr>
              <w:t>经营结余</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83" w:type="dxa"/>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收</w:t>
            </w:r>
            <w:r>
              <w:rPr>
                <w:rFonts w:ascii="宋体" w:hAnsi="宋体" w:cs="Arial"/>
                <w:color w:val="auto"/>
                <w:kern w:val="0"/>
                <w:sz w:val="18"/>
                <w:szCs w:val="18"/>
              </w:rPr>
              <w:t xml:space="preserve">  </w:t>
            </w:r>
            <w:r>
              <w:rPr>
                <w:rFonts w:hint="eastAsia" w:ascii="宋体" w:hAnsi="宋体" w:cs="Arial"/>
                <w:color w:val="auto"/>
                <w:kern w:val="0"/>
                <w:sz w:val="18"/>
                <w:szCs w:val="18"/>
              </w:rPr>
              <w:t>入</w:t>
            </w:r>
            <w:r>
              <w:rPr>
                <w:rFonts w:ascii="宋体" w:hAnsi="宋体" w:cs="Arial"/>
                <w:color w:val="auto"/>
                <w:kern w:val="0"/>
                <w:sz w:val="18"/>
                <w:szCs w:val="18"/>
              </w:rPr>
              <w:t xml:space="preserve">  </w:t>
            </w:r>
            <w:r>
              <w:rPr>
                <w:rFonts w:hint="eastAsia" w:ascii="宋体" w:hAnsi="宋体" w:cs="Arial"/>
                <w:color w:val="auto"/>
                <w:kern w:val="0"/>
                <w:sz w:val="18"/>
                <w:szCs w:val="18"/>
              </w:rPr>
              <w:t>总</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868" w:type="dxa"/>
            <w:gridSpan w:val="2"/>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r>
              <w:rPr>
                <w:rFonts w:hint="eastAsia" w:ascii="宋体" w:hAnsi="宋体" w:cs="Arial"/>
                <w:color w:val="auto"/>
                <w:kern w:val="0"/>
                <w:sz w:val="18"/>
                <w:szCs w:val="18"/>
              </w:rPr>
              <w:t>　</w:t>
            </w:r>
          </w:p>
        </w:tc>
        <w:tc>
          <w:tcPr>
            <w:tcW w:w="269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支</w:t>
            </w:r>
            <w:r>
              <w:rPr>
                <w:rFonts w:ascii="宋体" w:hAnsi="宋体" w:cs="Arial"/>
                <w:color w:val="auto"/>
                <w:kern w:val="0"/>
                <w:sz w:val="18"/>
                <w:szCs w:val="18"/>
              </w:rPr>
              <w:t xml:space="preserve">  </w:t>
            </w:r>
            <w:r>
              <w:rPr>
                <w:rFonts w:hint="eastAsia" w:ascii="宋体" w:hAnsi="宋体" w:cs="Arial"/>
                <w:color w:val="auto"/>
                <w:kern w:val="0"/>
                <w:sz w:val="18"/>
                <w:szCs w:val="18"/>
              </w:rPr>
              <w:t>出</w:t>
            </w:r>
            <w:r>
              <w:rPr>
                <w:rFonts w:ascii="宋体" w:hAnsi="宋体" w:cs="Arial"/>
                <w:color w:val="auto"/>
                <w:kern w:val="0"/>
                <w:sz w:val="18"/>
                <w:szCs w:val="18"/>
              </w:rPr>
              <w:t xml:space="preserve">  </w:t>
            </w:r>
            <w:r>
              <w:rPr>
                <w:rFonts w:hint="eastAsia" w:ascii="宋体" w:hAnsi="宋体" w:cs="Arial"/>
                <w:color w:val="auto"/>
                <w:kern w:val="0"/>
                <w:sz w:val="18"/>
                <w:szCs w:val="18"/>
              </w:rPr>
              <w:t>总</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2019"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r>
              <w:rPr>
                <w:rFonts w:hint="eastAsia" w:ascii="宋体" w:hAnsi="宋体" w:cs="Arial"/>
                <w:color w:val="auto"/>
                <w:kern w:val="0"/>
                <w:sz w:val="18"/>
                <w:szCs w:val="18"/>
              </w:rPr>
              <w:t>　</w:t>
            </w:r>
          </w:p>
        </w:tc>
      </w:tr>
    </w:tbl>
    <w:p>
      <w:pPr>
        <w:autoSpaceDE w:val="0"/>
        <w:autoSpaceDN w:val="0"/>
        <w:adjustRightInd w:val="0"/>
        <w:spacing w:line="560" w:lineRule="exact"/>
        <w:jc w:val="center"/>
        <w:rPr>
          <w:rFonts w:ascii="宋体" w:cs="宋体"/>
          <w:b/>
          <w:color w:val="auto"/>
          <w:sz w:val="36"/>
          <w:szCs w:val="36"/>
        </w:rPr>
      </w:pPr>
      <w:r>
        <w:rPr>
          <w:rFonts w:ascii="宋体" w:hAnsi="宋体" w:cs="宋体"/>
          <w:b/>
          <w:color w:val="auto"/>
          <w:sz w:val="36"/>
          <w:szCs w:val="36"/>
        </w:rPr>
        <w:t>2016</w:t>
      </w:r>
      <w:r>
        <w:rPr>
          <w:rFonts w:hint="eastAsia" w:ascii="宋体" w:hAnsi="宋体" w:cs="宋体"/>
          <w:b/>
          <w:color w:val="auto"/>
          <w:sz w:val="36"/>
          <w:szCs w:val="36"/>
        </w:rPr>
        <w:t>年度部门收入决算总表</w:t>
      </w:r>
      <w:r>
        <w:rPr>
          <w:rFonts w:ascii="宋体" w:hAnsi="宋体" w:cs="宋体"/>
          <w:b/>
          <w:color w:val="auto"/>
          <w:sz w:val="36"/>
          <w:szCs w:val="36"/>
        </w:rPr>
        <w:t>(</w:t>
      </w:r>
      <w:r>
        <w:rPr>
          <w:rFonts w:hint="eastAsia" w:ascii="宋体" w:hAnsi="宋体" w:cs="宋体"/>
          <w:b/>
          <w:color w:val="auto"/>
          <w:sz w:val="36"/>
          <w:szCs w:val="36"/>
        </w:rPr>
        <w:t>分单位）</w:t>
      </w:r>
    </w:p>
    <w:tbl>
      <w:tblPr>
        <w:tblStyle w:val="6"/>
        <w:tblW w:w="10091" w:type="dxa"/>
        <w:tblInd w:w="0" w:type="dxa"/>
        <w:tblLayout w:type="fixed"/>
        <w:tblCellMar>
          <w:top w:w="0" w:type="dxa"/>
          <w:left w:w="108" w:type="dxa"/>
          <w:bottom w:w="0" w:type="dxa"/>
          <w:right w:w="108" w:type="dxa"/>
        </w:tblCellMar>
      </w:tblPr>
      <w:tblGrid>
        <w:gridCol w:w="1271"/>
        <w:gridCol w:w="529"/>
        <w:gridCol w:w="371"/>
        <w:gridCol w:w="720"/>
        <w:gridCol w:w="900"/>
        <w:gridCol w:w="221"/>
        <w:gridCol w:w="640"/>
        <w:gridCol w:w="39"/>
        <w:gridCol w:w="1080"/>
        <w:gridCol w:w="540"/>
        <w:gridCol w:w="540"/>
        <w:gridCol w:w="720"/>
        <w:gridCol w:w="720"/>
        <w:gridCol w:w="900"/>
        <w:gridCol w:w="900"/>
      </w:tblGrid>
      <w:tr>
        <w:tblPrEx>
          <w:tblCellMar>
            <w:top w:w="0" w:type="dxa"/>
            <w:left w:w="108" w:type="dxa"/>
            <w:bottom w:w="0" w:type="dxa"/>
            <w:right w:w="108" w:type="dxa"/>
          </w:tblCellMar>
        </w:tblPrEx>
        <w:trPr>
          <w:trHeight w:val="255" w:hRule="atLeast"/>
        </w:trPr>
        <w:tc>
          <w:tcPr>
            <w:tcW w:w="1800" w:type="dxa"/>
            <w:gridSpan w:val="2"/>
            <w:vAlign w:val="bottom"/>
          </w:tcPr>
          <w:p>
            <w:pPr>
              <w:widowControl/>
              <w:jc w:val="left"/>
              <w:rPr>
                <w:rFonts w:ascii="宋体" w:cs="宋体"/>
                <w:color w:val="auto"/>
                <w:kern w:val="0"/>
                <w:sz w:val="20"/>
                <w:szCs w:val="20"/>
              </w:rPr>
            </w:pPr>
          </w:p>
        </w:tc>
        <w:tc>
          <w:tcPr>
            <w:tcW w:w="371"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1121" w:type="dxa"/>
            <w:gridSpan w:val="2"/>
            <w:vAlign w:val="bottom"/>
          </w:tcPr>
          <w:p>
            <w:pPr>
              <w:widowControl/>
              <w:jc w:val="left"/>
              <w:rPr>
                <w:rFonts w:ascii="宋体" w:cs="宋体"/>
                <w:color w:val="auto"/>
                <w:kern w:val="0"/>
                <w:sz w:val="20"/>
                <w:szCs w:val="20"/>
              </w:rPr>
            </w:pPr>
          </w:p>
        </w:tc>
        <w:tc>
          <w:tcPr>
            <w:tcW w:w="640" w:type="dxa"/>
            <w:vAlign w:val="bottom"/>
          </w:tcPr>
          <w:p>
            <w:pPr>
              <w:widowControl/>
              <w:jc w:val="left"/>
              <w:rPr>
                <w:rFonts w:ascii="宋体" w:cs="宋体"/>
                <w:color w:val="auto"/>
                <w:kern w:val="0"/>
                <w:sz w:val="20"/>
                <w:szCs w:val="20"/>
              </w:rPr>
            </w:pPr>
          </w:p>
        </w:tc>
        <w:tc>
          <w:tcPr>
            <w:tcW w:w="1119" w:type="dxa"/>
            <w:gridSpan w:val="2"/>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2520" w:type="dxa"/>
            <w:gridSpan w:val="3"/>
            <w:vAlign w:val="bottom"/>
          </w:tcPr>
          <w:p>
            <w:pPr>
              <w:widowControl/>
              <w:jc w:val="right"/>
              <w:rPr>
                <w:rFonts w:ascii="宋体" w:cs="宋体"/>
                <w:color w:val="auto"/>
                <w:kern w:val="0"/>
                <w:sz w:val="15"/>
                <w:szCs w:val="15"/>
              </w:rPr>
            </w:pPr>
            <w:r>
              <w:rPr>
                <w:rFonts w:hint="eastAsia" w:ascii="宋体" w:hAnsi="宋体" w:cs="宋体"/>
                <w:color w:val="auto"/>
                <w:kern w:val="0"/>
                <w:sz w:val="15"/>
                <w:szCs w:val="15"/>
              </w:rPr>
              <w:t>公开</w:t>
            </w:r>
            <w:r>
              <w:rPr>
                <w:rFonts w:ascii="宋体" w:hAnsi="宋体" w:cs="宋体"/>
                <w:color w:val="auto"/>
                <w:kern w:val="0"/>
                <w:sz w:val="15"/>
                <w:szCs w:val="15"/>
              </w:rPr>
              <w:t>02-1</w:t>
            </w:r>
            <w:r>
              <w:rPr>
                <w:rFonts w:hint="eastAsia" w:ascii="宋体" w:hAnsi="宋体" w:cs="宋体"/>
                <w:color w:val="auto"/>
                <w:kern w:val="0"/>
                <w:sz w:val="15"/>
                <w:szCs w:val="15"/>
              </w:rPr>
              <w:t>表</w:t>
            </w:r>
          </w:p>
        </w:tc>
      </w:tr>
      <w:tr>
        <w:tblPrEx>
          <w:tblCellMar>
            <w:top w:w="0" w:type="dxa"/>
            <w:left w:w="108" w:type="dxa"/>
            <w:bottom w:w="0" w:type="dxa"/>
            <w:right w:w="108" w:type="dxa"/>
          </w:tblCellMar>
        </w:tblPrEx>
        <w:trPr>
          <w:trHeight w:val="270" w:hRule="atLeast"/>
        </w:trPr>
        <w:tc>
          <w:tcPr>
            <w:tcW w:w="2171" w:type="dxa"/>
            <w:gridSpan w:val="3"/>
            <w:vAlign w:val="bottom"/>
          </w:tcPr>
          <w:p>
            <w:pPr>
              <w:widowControl/>
              <w:jc w:val="left"/>
              <w:rPr>
                <w:rFonts w:ascii="宋体" w:cs="宋体"/>
                <w:color w:val="auto"/>
                <w:kern w:val="0"/>
                <w:sz w:val="20"/>
                <w:szCs w:val="20"/>
              </w:rPr>
            </w:pPr>
            <w:r>
              <w:rPr>
                <w:rFonts w:hint="eastAsia" w:ascii="宋体" w:hAnsi="宋体" w:cs="宋体"/>
                <w:color w:val="auto"/>
                <w:kern w:val="0"/>
                <w:sz w:val="20"/>
                <w:szCs w:val="20"/>
              </w:rPr>
              <w:t>部门：温州市残疾人联合会（汇总）</w:t>
            </w:r>
          </w:p>
        </w:tc>
        <w:tc>
          <w:tcPr>
            <w:tcW w:w="720" w:type="dxa"/>
            <w:vAlign w:val="bottom"/>
          </w:tcPr>
          <w:p>
            <w:pPr>
              <w:widowControl/>
              <w:jc w:val="left"/>
              <w:rPr>
                <w:rFonts w:ascii="宋体" w:cs="宋体"/>
                <w:color w:val="auto"/>
                <w:kern w:val="0"/>
                <w:sz w:val="20"/>
                <w:szCs w:val="20"/>
              </w:rPr>
            </w:pPr>
          </w:p>
        </w:tc>
        <w:tc>
          <w:tcPr>
            <w:tcW w:w="1121" w:type="dxa"/>
            <w:gridSpan w:val="2"/>
            <w:vAlign w:val="bottom"/>
          </w:tcPr>
          <w:p>
            <w:pPr>
              <w:widowControl/>
              <w:jc w:val="left"/>
              <w:rPr>
                <w:rFonts w:ascii="宋体" w:cs="宋体"/>
                <w:color w:val="auto"/>
                <w:kern w:val="0"/>
                <w:sz w:val="20"/>
                <w:szCs w:val="20"/>
              </w:rPr>
            </w:pPr>
          </w:p>
        </w:tc>
        <w:tc>
          <w:tcPr>
            <w:tcW w:w="640" w:type="dxa"/>
            <w:vAlign w:val="bottom"/>
          </w:tcPr>
          <w:p>
            <w:pPr>
              <w:widowControl/>
              <w:jc w:val="left"/>
              <w:rPr>
                <w:rFonts w:ascii="宋体" w:cs="宋体"/>
                <w:color w:val="auto"/>
                <w:kern w:val="0"/>
                <w:sz w:val="20"/>
                <w:szCs w:val="20"/>
              </w:rPr>
            </w:pPr>
          </w:p>
        </w:tc>
        <w:tc>
          <w:tcPr>
            <w:tcW w:w="1119" w:type="dxa"/>
            <w:gridSpan w:val="2"/>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540" w:type="dxa"/>
            <w:vAlign w:val="bottom"/>
          </w:tcPr>
          <w:p>
            <w:pPr>
              <w:widowControl/>
              <w:jc w:val="left"/>
              <w:rPr>
                <w:rFonts w:ascii="宋体" w:cs="宋体"/>
                <w:color w:val="auto"/>
                <w:kern w:val="0"/>
                <w:sz w:val="20"/>
                <w:szCs w:val="20"/>
              </w:rPr>
            </w:pPr>
          </w:p>
        </w:tc>
        <w:tc>
          <w:tcPr>
            <w:tcW w:w="720" w:type="dxa"/>
            <w:vAlign w:val="bottom"/>
          </w:tcPr>
          <w:p>
            <w:pPr>
              <w:widowControl/>
              <w:jc w:val="left"/>
              <w:rPr>
                <w:rFonts w:ascii="宋体" w:cs="宋体"/>
                <w:color w:val="auto"/>
                <w:kern w:val="0"/>
                <w:sz w:val="20"/>
                <w:szCs w:val="20"/>
              </w:rPr>
            </w:pPr>
          </w:p>
        </w:tc>
        <w:tc>
          <w:tcPr>
            <w:tcW w:w="2520" w:type="dxa"/>
            <w:gridSpan w:val="3"/>
            <w:tcBorders>
              <w:bottom w:val="single" w:color="000000" w:sz="8" w:space="0"/>
            </w:tcBorders>
            <w:vAlign w:val="bottom"/>
          </w:tcPr>
          <w:p>
            <w:pPr>
              <w:widowControl/>
              <w:jc w:val="right"/>
              <w:rPr>
                <w:rFonts w:ascii="宋体" w:cs="宋体"/>
                <w:color w:val="auto"/>
                <w:kern w:val="0"/>
                <w:sz w:val="15"/>
                <w:szCs w:val="15"/>
              </w:rPr>
            </w:pPr>
            <w:r>
              <w:rPr>
                <w:rFonts w:hint="eastAsia" w:ascii="宋体" w:hAnsi="宋体" w:cs="宋体"/>
                <w:color w:val="auto"/>
                <w:kern w:val="0"/>
                <w:sz w:val="15"/>
                <w:szCs w:val="15"/>
              </w:rPr>
              <w:t>金额单位：万元</w:t>
            </w:r>
          </w:p>
        </w:tc>
      </w:tr>
      <w:tr>
        <w:tblPrEx>
          <w:tblCellMar>
            <w:top w:w="0" w:type="dxa"/>
            <w:left w:w="108" w:type="dxa"/>
            <w:bottom w:w="0" w:type="dxa"/>
            <w:right w:w="108" w:type="dxa"/>
          </w:tblCellMar>
        </w:tblPrEx>
        <w:trPr>
          <w:trHeight w:val="358" w:hRule="atLeast"/>
        </w:trPr>
        <w:tc>
          <w:tcPr>
            <w:tcW w:w="127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单位名称</w:t>
            </w:r>
          </w:p>
        </w:tc>
        <w:tc>
          <w:tcPr>
            <w:tcW w:w="900" w:type="dxa"/>
            <w:gridSpan w:val="2"/>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总计</w:t>
            </w:r>
          </w:p>
        </w:tc>
        <w:tc>
          <w:tcPr>
            <w:tcW w:w="72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上年结转</w:t>
            </w:r>
          </w:p>
        </w:tc>
        <w:tc>
          <w:tcPr>
            <w:tcW w:w="2880" w:type="dxa"/>
            <w:gridSpan w:val="5"/>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财政拨款</w:t>
            </w:r>
          </w:p>
        </w:tc>
        <w:tc>
          <w:tcPr>
            <w:tcW w:w="54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事业收入</w:t>
            </w:r>
          </w:p>
        </w:tc>
        <w:tc>
          <w:tcPr>
            <w:tcW w:w="54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经营收入</w:t>
            </w:r>
          </w:p>
        </w:tc>
        <w:tc>
          <w:tcPr>
            <w:tcW w:w="720" w:type="dxa"/>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其他收入</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上级补助收入</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附属单位上缴收入</w:t>
            </w:r>
          </w:p>
        </w:tc>
        <w:tc>
          <w:tcPr>
            <w:tcW w:w="900" w:type="dxa"/>
            <w:tcBorders>
              <w:bottom w:val="single" w:color="000000" w:sz="4" w:space="0"/>
              <w:right w:val="single" w:color="000000" w:sz="8"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用事业基金弥补收支差额</w:t>
            </w:r>
          </w:p>
        </w:tc>
      </w:tr>
      <w:tr>
        <w:tblPrEx>
          <w:tblCellMar>
            <w:top w:w="0" w:type="dxa"/>
            <w:left w:w="108" w:type="dxa"/>
            <w:bottom w:w="0" w:type="dxa"/>
            <w:right w:w="108" w:type="dxa"/>
          </w:tblCellMar>
        </w:tblPrEx>
        <w:trPr>
          <w:trHeight w:val="448" w:hRule="atLeast"/>
        </w:trPr>
        <w:tc>
          <w:tcPr>
            <w:tcW w:w="1271"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gridSpan w:val="2"/>
            <w:vMerge w:val="continue"/>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vMerge w:val="continue"/>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合计</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一般公共预算</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政府性基金预算</w:t>
            </w:r>
          </w:p>
        </w:tc>
        <w:tc>
          <w:tcPr>
            <w:tcW w:w="54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54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tcBorders>
              <w:top w:val="single" w:color="000000" w:sz="8" w:space="0"/>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720" w:type="dxa"/>
            <w:tcBorders>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4" w:space="0"/>
            </w:tcBorders>
            <w:vAlign w:val="center"/>
          </w:tcPr>
          <w:p>
            <w:pPr>
              <w:widowControl/>
              <w:jc w:val="left"/>
              <w:rPr>
                <w:rFonts w:ascii="宋体" w:cs="宋体"/>
                <w:color w:val="auto"/>
                <w:kern w:val="0"/>
                <w:sz w:val="18"/>
                <w:szCs w:val="18"/>
              </w:rPr>
            </w:pPr>
          </w:p>
        </w:tc>
        <w:tc>
          <w:tcPr>
            <w:tcW w:w="900" w:type="dxa"/>
            <w:tcBorders>
              <w:bottom w:val="single" w:color="000000" w:sz="4" w:space="0"/>
              <w:right w:val="single" w:color="000000" w:sz="8" w:space="0"/>
            </w:tcBorders>
            <w:vAlign w:val="center"/>
          </w:tcPr>
          <w:p>
            <w:pPr>
              <w:widowControl/>
              <w:jc w:val="left"/>
              <w:rPr>
                <w:rFonts w:ascii="宋体" w:cs="宋体"/>
                <w:color w:val="auto"/>
                <w:kern w:val="0"/>
                <w:sz w:val="18"/>
                <w:szCs w:val="18"/>
              </w:rPr>
            </w:pPr>
          </w:p>
        </w:tc>
      </w:tr>
      <w:tr>
        <w:tblPrEx>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栏</w:t>
            </w:r>
            <w:r>
              <w:rPr>
                <w:rFonts w:ascii="宋体" w:hAnsi="宋体" w:cs="宋体"/>
                <w:color w:val="auto"/>
                <w:kern w:val="0"/>
                <w:sz w:val="18"/>
                <w:szCs w:val="18"/>
              </w:rPr>
              <w:t xml:space="preserve">  </w:t>
            </w:r>
            <w:r>
              <w:rPr>
                <w:rFonts w:hint="eastAsia" w:ascii="宋体" w:hAnsi="宋体" w:cs="宋体"/>
                <w:color w:val="auto"/>
                <w:kern w:val="0"/>
                <w:sz w:val="18"/>
                <w:szCs w:val="18"/>
              </w:rPr>
              <w:t>次</w:t>
            </w:r>
          </w:p>
        </w:tc>
        <w:tc>
          <w:tcPr>
            <w:tcW w:w="900" w:type="dxa"/>
            <w:gridSpan w:val="2"/>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2</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3</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4</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5</w:t>
            </w:r>
          </w:p>
        </w:tc>
        <w:tc>
          <w:tcPr>
            <w:tcW w:w="54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6</w:t>
            </w:r>
          </w:p>
        </w:tc>
        <w:tc>
          <w:tcPr>
            <w:tcW w:w="54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7</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8</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9</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10</w:t>
            </w:r>
          </w:p>
        </w:tc>
        <w:tc>
          <w:tcPr>
            <w:tcW w:w="900" w:type="dxa"/>
            <w:tcBorders>
              <w:bottom w:val="single" w:color="000000" w:sz="4" w:space="0"/>
              <w:right w:val="single" w:color="000000" w:sz="8" w:space="0"/>
            </w:tcBorders>
            <w:shd w:val="clear" w:color="FFFFFF" w:fill="FFFFFF"/>
            <w:vAlign w:val="center"/>
          </w:tcPr>
          <w:p>
            <w:pPr>
              <w:widowControl/>
              <w:jc w:val="center"/>
              <w:rPr>
                <w:rFonts w:ascii="宋体" w:hAnsi="宋体" w:cs="宋体"/>
                <w:color w:val="auto"/>
                <w:kern w:val="0"/>
                <w:sz w:val="18"/>
                <w:szCs w:val="18"/>
              </w:rPr>
            </w:pPr>
            <w:r>
              <w:rPr>
                <w:rFonts w:ascii="宋体" w:hAnsi="宋体" w:cs="宋体"/>
                <w:color w:val="auto"/>
                <w:kern w:val="0"/>
                <w:sz w:val="18"/>
                <w:szCs w:val="18"/>
              </w:rPr>
              <w:t>11</w:t>
            </w:r>
          </w:p>
        </w:tc>
      </w:tr>
      <w:tr>
        <w:tblPrEx>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宋体"/>
                <w:color w:val="auto"/>
                <w:kern w:val="0"/>
                <w:sz w:val="18"/>
                <w:szCs w:val="18"/>
              </w:rPr>
            </w:pPr>
            <w:r>
              <w:rPr>
                <w:rFonts w:hint="eastAsia" w:ascii="宋体" w:hAnsi="宋体" w:cs="宋体"/>
                <w:color w:val="auto"/>
                <w:kern w:val="0"/>
                <w:sz w:val="18"/>
                <w:szCs w:val="18"/>
              </w:rPr>
              <w:t>合</w:t>
            </w:r>
            <w:r>
              <w:rPr>
                <w:rFonts w:ascii="宋体" w:hAnsi="宋体" w:cs="宋体"/>
                <w:color w:val="auto"/>
                <w:kern w:val="0"/>
                <w:sz w:val="18"/>
                <w:szCs w:val="18"/>
              </w:rPr>
              <w:t xml:space="preserve">  </w:t>
            </w:r>
            <w:r>
              <w:rPr>
                <w:rFonts w:hint="eastAsia" w:ascii="宋体" w:hAnsi="宋体" w:cs="宋体"/>
                <w:color w:val="auto"/>
                <w:kern w:val="0"/>
                <w:sz w:val="18"/>
                <w:szCs w:val="18"/>
              </w:rPr>
              <w:t>计</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3738.03</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23.16</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3714.81</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2809.4</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905.41</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0.06</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20"/>
                <w:szCs w:val="20"/>
              </w:rPr>
              <w:t>温州市残疾人联合会</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2976.33</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6.99</w:t>
            </w: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2969.28</w:t>
            </w:r>
            <w:r>
              <w:rPr>
                <w:rFonts w:hint="eastAsia" w:ascii="宋体" w:hAnsi="宋体" w:cs="宋体"/>
                <w:color w:val="auto"/>
                <w:kern w:val="0"/>
                <w:sz w:val="18"/>
                <w:szCs w:val="18"/>
              </w:rPr>
              <w:t>　</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2151.36</w:t>
            </w:r>
            <w:r>
              <w:rPr>
                <w:rFonts w:hint="eastAsia" w:ascii="宋体" w:hAnsi="宋体" w:cs="宋体"/>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817.92</w:t>
            </w: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0.06</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18"/>
                <w:szCs w:val="18"/>
              </w:rPr>
              <w:t>　</w:t>
            </w:r>
            <w:r>
              <w:rPr>
                <w:rFonts w:hint="eastAsia" w:ascii="宋体" w:hAnsi="宋体" w:cs="宋体"/>
                <w:color w:val="auto"/>
                <w:kern w:val="0"/>
                <w:sz w:val="20"/>
                <w:szCs w:val="20"/>
              </w:rPr>
              <w:t>温州市残疾人劳动就业服务部</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ascii="宋体" w:hAnsi="宋体" w:cs="宋体"/>
                <w:color w:val="auto"/>
                <w:kern w:val="0"/>
                <w:sz w:val="18"/>
                <w:szCs w:val="18"/>
              </w:rPr>
              <w:t>218.94</w:t>
            </w: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1.84</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217.1</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217.1</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r>
        <w:tblPrEx>
          <w:tblCellMar>
            <w:top w:w="0" w:type="dxa"/>
            <w:left w:w="108" w:type="dxa"/>
            <w:bottom w:w="0" w:type="dxa"/>
            <w:right w:w="108" w:type="dxa"/>
          </w:tblCellMar>
        </w:tblPrEx>
        <w:trPr>
          <w:trHeight w:val="308" w:hRule="atLeast"/>
        </w:trPr>
        <w:tc>
          <w:tcPr>
            <w:tcW w:w="1271"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宋体"/>
                <w:color w:val="auto"/>
                <w:kern w:val="0"/>
                <w:sz w:val="18"/>
                <w:szCs w:val="18"/>
              </w:rPr>
            </w:pPr>
            <w:r>
              <w:rPr>
                <w:rFonts w:hint="eastAsia" w:ascii="宋体" w:hAnsi="宋体" w:cs="宋体"/>
                <w:color w:val="auto"/>
                <w:kern w:val="0"/>
                <w:sz w:val="18"/>
                <w:szCs w:val="18"/>
              </w:rPr>
              <w:t>　</w:t>
            </w:r>
            <w:r>
              <w:rPr>
                <w:rFonts w:hint="eastAsia" w:ascii="宋体" w:hAnsi="宋体" w:cs="宋体"/>
                <w:color w:val="auto"/>
                <w:kern w:val="0"/>
                <w:sz w:val="20"/>
                <w:szCs w:val="20"/>
              </w:rPr>
              <w:t>温州市残疾人康复服务指导中心</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542.76</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14.33</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528.43</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440.94</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hAnsi="宋体" w:cs="宋体"/>
                <w:color w:val="auto"/>
                <w:kern w:val="0"/>
                <w:sz w:val="18"/>
                <w:szCs w:val="18"/>
              </w:rPr>
            </w:pPr>
            <w:r>
              <w:rPr>
                <w:rFonts w:ascii="宋体" w:hAnsi="宋体" w:cs="宋体"/>
                <w:color w:val="auto"/>
                <w:kern w:val="0"/>
                <w:sz w:val="18"/>
                <w:szCs w:val="18"/>
              </w:rPr>
              <w:t>87.49</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54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c>
          <w:tcPr>
            <w:tcW w:w="900" w:type="dxa"/>
            <w:tcBorders>
              <w:bottom w:val="single" w:color="000000" w:sz="4" w:space="0"/>
              <w:right w:val="single" w:color="000000" w:sz="8" w:space="0"/>
            </w:tcBorders>
            <w:shd w:val="clear" w:color="000000" w:fill="FFFFFF"/>
            <w:vAlign w:val="center"/>
          </w:tcPr>
          <w:p>
            <w:pPr>
              <w:widowControl/>
              <w:jc w:val="right"/>
              <w:rPr>
                <w:rFonts w:ascii="宋体" w:cs="宋体"/>
                <w:color w:val="auto"/>
                <w:kern w:val="0"/>
                <w:sz w:val="18"/>
                <w:szCs w:val="18"/>
              </w:rPr>
            </w:pPr>
            <w:r>
              <w:rPr>
                <w:rFonts w:hint="eastAsia" w:ascii="宋体" w:hAnsi="宋体" w:cs="宋体"/>
                <w:color w:val="auto"/>
                <w:kern w:val="0"/>
                <w:sz w:val="18"/>
                <w:szCs w:val="18"/>
              </w:rPr>
              <w:t>　</w:t>
            </w:r>
          </w:p>
        </w:tc>
      </w:tr>
    </w:tbl>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sectPr>
          <w:footerReference r:id="rId3" w:type="default"/>
          <w:footerReference r:id="rId4" w:type="even"/>
          <w:pgSz w:w="12240" w:h="15840"/>
          <w:pgMar w:top="1440" w:right="1800" w:bottom="1440" w:left="1800" w:header="720" w:footer="720" w:gutter="0"/>
          <w:cols w:space="720" w:num="1"/>
        </w:sectPr>
      </w:pPr>
    </w:p>
    <w:p>
      <w:pPr>
        <w:autoSpaceDE w:val="0"/>
        <w:autoSpaceDN w:val="0"/>
        <w:adjustRightInd w:val="0"/>
        <w:spacing w:line="560" w:lineRule="exact"/>
        <w:jc w:val="center"/>
        <w:rPr>
          <w:rFonts w:ascii="宋体" w:cs="宋体"/>
          <w:b/>
          <w:color w:val="auto"/>
          <w:sz w:val="36"/>
          <w:szCs w:val="36"/>
        </w:rPr>
      </w:pPr>
      <w:r>
        <w:rPr>
          <w:rFonts w:ascii="宋体" w:hAnsi="宋体" w:cs="宋体"/>
          <w:b/>
          <w:color w:val="auto"/>
          <w:sz w:val="36"/>
          <w:szCs w:val="36"/>
        </w:rPr>
        <w:t>2016</w:t>
      </w:r>
      <w:r>
        <w:rPr>
          <w:rFonts w:hint="eastAsia" w:ascii="宋体" w:hAnsi="宋体" w:cs="宋体"/>
          <w:b/>
          <w:color w:val="auto"/>
          <w:sz w:val="36"/>
          <w:szCs w:val="36"/>
        </w:rPr>
        <w:t>年度部门收入决算总表</w:t>
      </w:r>
      <w:r>
        <w:rPr>
          <w:rFonts w:ascii="宋体" w:hAnsi="宋体" w:cs="宋体"/>
          <w:b/>
          <w:color w:val="auto"/>
          <w:sz w:val="36"/>
          <w:szCs w:val="36"/>
        </w:rPr>
        <w:t>(</w:t>
      </w:r>
      <w:r>
        <w:rPr>
          <w:rFonts w:hint="eastAsia" w:ascii="宋体" w:hAnsi="宋体" w:cs="宋体"/>
          <w:b/>
          <w:color w:val="auto"/>
          <w:sz w:val="36"/>
          <w:szCs w:val="36"/>
        </w:rPr>
        <w:t>分科目）</w:t>
      </w:r>
    </w:p>
    <w:tbl>
      <w:tblPr>
        <w:tblStyle w:val="6"/>
        <w:tblW w:w="11385" w:type="dxa"/>
        <w:tblInd w:w="468" w:type="dxa"/>
        <w:tblLayout w:type="fixed"/>
        <w:tblCellMar>
          <w:top w:w="0" w:type="dxa"/>
          <w:left w:w="108" w:type="dxa"/>
          <w:bottom w:w="0" w:type="dxa"/>
          <w:right w:w="108" w:type="dxa"/>
        </w:tblCellMar>
      </w:tblPr>
      <w:tblGrid>
        <w:gridCol w:w="1080"/>
        <w:gridCol w:w="357"/>
        <w:gridCol w:w="984"/>
        <w:gridCol w:w="144"/>
        <w:gridCol w:w="436"/>
        <w:gridCol w:w="555"/>
        <w:gridCol w:w="33"/>
        <w:gridCol w:w="522"/>
        <w:gridCol w:w="18"/>
        <w:gridCol w:w="537"/>
        <w:gridCol w:w="419"/>
        <w:gridCol w:w="137"/>
        <w:gridCol w:w="555"/>
        <w:gridCol w:w="208"/>
        <w:gridCol w:w="347"/>
        <w:gridCol w:w="497"/>
        <w:gridCol w:w="596"/>
        <w:gridCol w:w="664"/>
        <w:gridCol w:w="596"/>
        <w:gridCol w:w="720"/>
        <w:gridCol w:w="844"/>
        <w:gridCol w:w="1136"/>
      </w:tblGrid>
      <w:tr>
        <w:tblPrEx>
          <w:tblCellMar>
            <w:top w:w="0" w:type="dxa"/>
            <w:left w:w="108" w:type="dxa"/>
            <w:bottom w:w="0" w:type="dxa"/>
            <w:right w:w="108" w:type="dxa"/>
          </w:tblCellMar>
        </w:tblPrEx>
        <w:trPr>
          <w:trHeight w:val="255" w:hRule="atLeast"/>
        </w:trPr>
        <w:tc>
          <w:tcPr>
            <w:tcW w:w="1437" w:type="dxa"/>
            <w:gridSpan w:val="2"/>
            <w:vAlign w:val="bottom"/>
          </w:tcPr>
          <w:p>
            <w:pPr>
              <w:widowControl/>
              <w:jc w:val="left"/>
              <w:rPr>
                <w:rFonts w:ascii="Arial" w:hAnsi="Arial" w:cs="Arial"/>
                <w:color w:val="auto"/>
                <w:kern w:val="0"/>
                <w:sz w:val="20"/>
                <w:szCs w:val="20"/>
              </w:rPr>
            </w:pPr>
          </w:p>
        </w:tc>
        <w:tc>
          <w:tcPr>
            <w:tcW w:w="984" w:type="dxa"/>
          </w:tcPr>
          <w:p>
            <w:pPr>
              <w:widowControl/>
              <w:jc w:val="left"/>
              <w:rPr>
                <w:rFonts w:ascii="Arial" w:hAnsi="Arial" w:cs="Arial"/>
                <w:color w:val="auto"/>
                <w:kern w:val="0"/>
                <w:sz w:val="20"/>
                <w:szCs w:val="20"/>
              </w:rPr>
            </w:pPr>
          </w:p>
        </w:tc>
        <w:tc>
          <w:tcPr>
            <w:tcW w:w="580" w:type="dxa"/>
            <w:gridSpan w:val="2"/>
            <w:vAlign w:val="bottom"/>
          </w:tcPr>
          <w:p>
            <w:pPr>
              <w:widowControl/>
              <w:jc w:val="left"/>
              <w:rPr>
                <w:rFonts w:ascii="Arial" w:hAnsi="Arial" w:cs="Arial"/>
                <w:color w:val="auto"/>
                <w:kern w:val="0"/>
                <w:sz w:val="20"/>
                <w:szCs w:val="20"/>
              </w:rPr>
            </w:pPr>
          </w:p>
        </w:tc>
        <w:tc>
          <w:tcPr>
            <w:tcW w:w="555" w:type="dxa"/>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556" w:type="dxa"/>
            <w:gridSpan w:val="2"/>
            <w:vAlign w:val="bottom"/>
          </w:tcPr>
          <w:p>
            <w:pPr>
              <w:widowControl/>
              <w:jc w:val="left"/>
              <w:rPr>
                <w:rFonts w:ascii="Arial" w:hAnsi="Arial" w:cs="Arial"/>
                <w:color w:val="auto"/>
                <w:kern w:val="0"/>
                <w:sz w:val="20"/>
                <w:szCs w:val="20"/>
              </w:rPr>
            </w:pPr>
          </w:p>
        </w:tc>
        <w:tc>
          <w:tcPr>
            <w:tcW w:w="555" w:type="dxa"/>
            <w:vAlign w:val="bottom"/>
          </w:tcPr>
          <w:p>
            <w:pPr>
              <w:widowControl/>
              <w:jc w:val="left"/>
              <w:rPr>
                <w:rFonts w:ascii="Arial" w:hAnsi="Arial" w:cs="Arial"/>
                <w:color w:val="auto"/>
                <w:kern w:val="0"/>
                <w:sz w:val="20"/>
                <w:szCs w:val="20"/>
              </w:rPr>
            </w:pPr>
          </w:p>
        </w:tc>
        <w:tc>
          <w:tcPr>
            <w:tcW w:w="555" w:type="dxa"/>
            <w:gridSpan w:val="2"/>
            <w:vAlign w:val="bottom"/>
          </w:tcPr>
          <w:p>
            <w:pPr>
              <w:widowControl/>
              <w:jc w:val="left"/>
              <w:rPr>
                <w:rFonts w:ascii="Arial" w:hAnsi="Arial" w:cs="Arial"/>
                <w:color w:val="auto"/>
                <w:kern w:val="0"/>
                <w:sz w:val="20"/>
                <w:szCs w:val="20"/>
              </w:rPr>
            </w:pPr>
          </w:p>
        </w:tc>
        <w:tc>
          <w:tcPr>
            <w:tcW w:w="2353" w:type="dxa"/>
            <w:gridSpan w:val="4"/>
            <w:vAlign w:val="bottom"/>
          </w:tcPr>
          <w:p>
            <w:pPr>
              <w:widowControl/>
              <w:jc w:val="left"/>
              <w:rPr>
                <w:rFonts w:ascii="Arial" w:hAnsi="Arial" w:cs="Arial"/>
                <w:color w:val="auto"/>
                <w:kern w:val="0"/>
                <w:sz w:val="20"/>
                <w:szCs w:val="20"/>
              </w:rPr>
            </w:pPr>
          </w:p>
        </w:tc>
        <w:tc>
          <w:tcPr>
            <w:tcW w:w="2700" w:type="dxa"/>
            <w:gridSpan w:val="3"/>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02-2</w:t>
            </w:r>
            <w:r>
              <w:rPr>
                <w:rFonts w:hint="eastAsia" w:ascii="宋体" w:hAnsi="宋体" w:cs="Arial"/>
                <w:color w:val="auto"/>
                <w:kern w:val="0"/>
                <w:sz w:val="15"/>
                <w:szCs w:val="15"/>
              </w:rPr>
              <w:t>表</w:t>
            </w:r>
          </w:p>
        </w:tc>
      </w:tr>
      <w:tr>
        <w:tblPrEx>
          <w:tblCellMar>
            <w:top w:w="0" w:type="dxa"/>
            <w:left w:w="108" w:type="dxa"/>
            <w:bottom w:w="0" w:type="dxa"/>
            <w:right w:w="108" w:type="dxa"/>
          </w:tblCellMar>
        </w:tblPrEx>
        <w:trPr>
          <w:trHeight w:val="270" w:hRule="atLeast"/>
        </w:trPr>
        <w:tc>
          <w:tcPr>
            <w:tcW w:w="8685" w:type="dxa"/>
            <w:gridSpan w:val="19"/>
            <w:tcBorders>
              <w:bottom w:val="single" w:color="auto" w:sz="4" w:space="0"/>
            </w:tcBorders>
            <w:vAlign w:val="bottom"/>
          </w:tcPr>
          <w:p>
            <w:pPr>
              <w:widowControl/>
              <w:jc w:val="left"/>
              <w:rPr>
                <w:rFonts w:ascii="Arial" w:hAnsi="Arial" w:cs="Arial"/>
                <w:color w:val="auto"/>
                <w:kern w:val="0"/>
                <w:sz w:val="20"/>
                <w:szCs w:val="20"/>
              </w:rPr>
            </w:pPr>
            <w:r>
              <w:rPr>
                <w:rFonts w:hint="eastAsia" w:ascii="宋体" w:hAnsi="宋体" w:cs="Arial"/>
                <w:color w:val="auto"/>
                <w:kern w:val="0"/>
                <w:sz w:val="20"/>
                <w:szCs w:val="20"/>
              </w:rPr>
              <w:t>部门：</w:t>
            </w:r>
            <w:r>
              <w:rPr>
                <w:rFonts w:hint="eastAsia" w:ascii="Arial" w:hAnsi="Arial" w:cs="Arial"/>
                <w:color w:val="auto"/>
                <w:kern w:val="0"/>
                <w:sz w:val="20"/>
                <w:szCs w:val="20"/>
              </w:rPr>
              <w:t>温州市残疾人联合会（汇总）</w:t>
            </w:r>
          </w:p>
        </w:tc>
        <w:tc>
          <w:tcPr>
            <w:tcW w:w="2700" w:type="dxa"/>
            <w:gridSpan w:val="3"/>
            <w:tcBorders>
              <w:bottom w:val="single" w:color="auto" w:sz="4" w:space="0"/>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w:t>
            </w:r>
          </w:p>
        </w:tc>
      </w:tr>
      <w:tr>
        <w:tblPrEx>
          <w:tblCellMar>
            <w:top w:w="0" w:type="dxa"/>
            <w:left w:w="108" w:type="dxa"/>
            <w:bottom w:w="0" w:type="dxa"/>
            <w:right w:w="108" w:type="dxa"/>
          </w:tblCellMar>
        </w:tblPrEx>
        <w:trPr>
          <w:trHeight w:val="537" w:hRule="atLeast"/>
        </w:trPr>
        <w:tc>
          <w:tcPr>
            <w:tcW w:w="1080"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485"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024"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540" w:type="dxa"/>
            <w:gridSpan w:val="2"/>
            <w:vMerge w:val="restart"/>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上年结转</w:t>
            </w:r>
          </w:p>
        </w:tc>
        <w:tc>
          <w:tcPr>
            <w:tcW w:w="2700" w:type="dxa"/>
            <w:gridSpan w:val="7"/>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财政拨款</w:t>
            </w:r>
          </w:p>
        </w:tc>
        <w:tc>
          <w:tcPr>
            <w:tcW w:w="596"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事业收入</w:t>
            </w:r>
          </w:p>
        </w:tc>
        <w:tc>
          <w:tcPr>
            <w:tcW w:w="664"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经营收入</w:t>
            </w:r>
          </w:p>
        </w:tc>
        <w:tc>
          <w:tcPr>
            <w:tcW w:w="596"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其他收入</w:t>
            </w:r>
          </w:p>
        </w:tc>
        <w:tc>
          <w:tcPr>
            <w:tcW w:w="72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上级补助收入</w:t>
            </w:r>
          </w:p>
        </w:tc>
        <w:tc>
          <w:tcPr>
            <w:tcW w:w="844"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附属单位上缴收入</w:t>
            </w:r>
          </w:p>
        </w:tc>
        <w:tc>
          <w:tcPr>
            <w:tcW w:w="1136" w:type="dxa"/>
            <w:vMerge w:val="restart"/>
            <w:tcBorders>
              <w:top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用事业基金弥补收支差额</w:t>
            </w:r>
          </w:p>
        </w:tc>
      </w:tr>
      <w:tr>
        <w:tblPrEx>
          <w:tblCellMar>
            <w:top w:w="0" w:type="dxa"/>
            <w:left w:w="108" w:type="dxa"/>
            <w:bottom w:w="0" w:type="dxa"/>
            <w:right w:w="108" w:type="dxa"/>
          </w:tblCellMar>
        </w:tblPrEx>
        <w:trPr>
          <w:trHeight w:val="893" w:hRule="atLeast"/>
        </w:trPr>
        <w:tc>
          <w:tcPr>
            <w:tcW w:w="1080"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cs="Arial"/>
                <w:color w:val="auto"/>
                <w:kern w:val="0"/>
                <w:sz w:val="18"/>
                <w:szCs w:val="18"/>
              </w:rPr>
            </w:pPr>
          </w:p>
        </w:tc>
        <w:tc>
          <w:tcPr>
            <w:tcW w:w="1485" w:type="dxa"/>
            <w:gridSpan w:val="3"/>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auto"/>
                <w:kern w:val="0"/>
                <w:sz w:val="18"/>
                <w:szCs w:val="18"/>
              </w:rPr>
            </w:pPr>
          </w:p>
        </w:tc>
        <w:tc>
          <w:tcPr>
            <w:tcW w:w="1024"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8"/>
                <w:szCs w:val="18"/>
              </w:rPr>
            </w:pPr>
          </w:p>
        </w:tc>
        <w:tc>
          <w:tcPr>
            <w:tcW w:w="540" w:type="dxa"/>
            <w:gridSpan w:val="2"/>
            <w:vMerge w:val="continue"/>
            <w:tcBorders>
              <w:top w:val="single" w:color="000000" w:sz="8" w:space="0"/>
              <w:left w:val="single" w:color="auto" w:sz="4"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56"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合计</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一般公共预算</w:t>
            </w:r>
          </w:p>
        </w:tc>
        <w:tc>
          <w:tcPr>
            <w:tcW w:w="844"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政府性基金预算</w:t>
            </w:r>
          </w:p>
        </w:tc>
        <w:tc>
          <w:tcPr>
            <w:tcW w:w="59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664"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596"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72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844"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36" w:type="dxa"/>
            <w:vMerge w:val="continue"/>
            <w:tcBorders>
              <w:bottom w:val="single" w:color="000000" w:sz="4" w:space="0"/>
              <w:right w:val="single" w:color="auto" w:sz="4" w:space="0"/>
            </w:tcBorders>
            <w:vAlign w:val="center"/>
          </w:tcPr>
          <w:p>
            <w:pPr>
              <w:widowControl/>
              <w:jc w:val="lef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2565" w:type="dxa"/>
            <w:gridSpan w:val="4"/>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24" w:type="dxa"/>
            <w:gridSpan w:val="3"/>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540"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956"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900" w:type="dxa"/>
            <w:gridSpan w:val="3"/>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844"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59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664"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c>
          <w:tcPr>
            <w:tcW w:w="59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8</w:t>
            </w:r>
          </w:p>
        </w:tc>
        <w:tc>
          <w:tcPr>
            <w:tcW w:w="72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9</w:t>
            </w:r>
          </w:p>
        </w:tc>
        <w:tc>
          <w:tcPr>
            <w:tcW w:w="844"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10</w:t>
            </w:r>
          </w:p>
        </w:tc>
        <w:tc>
          <w:tcPr>
            <w:tcW w:w="1136" w:type="dxa"/>
            <w:tcBorders>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11</w:t>
            </w:r>
          </w:p>
        </w:tc>
      </w:tr>
      <w:tr>
        <w:tblPrEx>
          <w:tblCellMar>
            <w:top w:w="0" w:type="dxa"/>
            <w:left w:w="108" w:type="dxa"/>
            <w:bottom w:w="0" w:type="dxa"/>
            <w:right w:w="108" w:type="dxa"/>
          </w:tblCellMar>
        </w:tblPrEx>
        <w:trPr>
          <w:trHeight w:val="308" w:hRule="atLeast"/>
        </w:trPr>
        <w:tc>
          <w:tcPr>
            <w:tcW w:w="2565" w:type="dxa"/>
            <w:gridSpan w:val="4"/>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24"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3738.03</w:t>
            </w:r>
          </w:p>
        </w:tc>
        <w:tc>
          <w:tcPr>
            <w:tcW w:w="54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3714.87</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p>
        </w:tc>
        <w:tc>
          <w:tcPr>
            <w:tcW w:w="844"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84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left w:val="single" w:color="auto" w:sz="4" w:space="0"/>
              <w:bottom w:val="single" w:color="000000"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2081101</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行政运行</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54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900" w:type="dxa"/>
            <w:gridSpan w:val="3"/>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352.44</w:t>
            </w:r>
          </w:p>
        </w:tc>
        <w:tc>
          <w:tcPr>
            <w:tcW w:w="844"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2081102</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一般行政管理事务</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54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900"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p>
        </w:tc>
        <w:tc>
          <w:tcPr>
            <w:tcW w:w="844"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2081104</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残疾人康复</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540" w:type="dxa"/>
            <w:gridSpan w:val="2"/>
            <w:tcBorders>
              <w:top w:val="single" w:color="auto" w:sz="4" w:space="0"/>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900" w:type="dxa"/>
            <w:gridSpan w:val="3"/>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p>
        </w:tc>
        <w:tc>
          <w:tcPr>
            <w:tcW w:w="844" w:type="dxa"/>
            <w:gridSpan w:val="2"/>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2081106</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残疾人体育</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54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900" w:type="dxa"/>
            <w:gridSpan w:val="3"/>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p>
        </w:tc>
        <w:tc>
          <w:tcPr>
            <w:tcW w:w="844"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2081199</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其他残疾人事业支出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2272.</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2272.</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2271.94</w:t>
            </w: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0.06</w:t>
            </w:r>
            <w:r>
              <w:rPr>
                <w:rFonts w:hint="eastAsia" w:ascii="宋体" w:hAnsi="宋体" w:cs="Arial"/>
                <w:color w:val="auto"/>
                <w:kern w:val="0"/>
                <w:sz w:val="18"/>
                <w:szCs w:val="18"/>
              </w:rPr>
              <w:t>　</w:t>
            </w: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2100501</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行政单位医疗</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12.11</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12.11</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2120899</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其他国有土地使用权出让收入安排的支出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2210201</w:t>
            </w:r>
          </w:p>
        </w:tc>
        <w:tc>
          <w:tcPr>
            <w:tcW w:w="1485" w:type="dxa"/>
            <w:gridSpan w:val="3"/>
            <w:tcBorders>
              <w:top w:val="single" w:color="auto" w:sz="4" w:space="0"/>
              <w:left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住房公积金</w:t>
            </w:r>
          </w:p>
        </w:tc>
        <w:tc>
          <w:tcPr>
            <w:tcW w:w="1024" w:type="dxa"/>
            <w:gridSpan w:val="3"/>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540"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52.1940</w:t>
            </w:r>
          </w:p>
        </w:tc>
        <w:tc>
          <w:tcPr>
            <w:tcW w:w="900" w:type="dxa"/>
            <w:gridSpan w:val="3"/>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52.194</w:t>
            </w:r>
          </w:p>
        </w:tc>
        <w:tc>
          <w:tcPr>
            <w:tcW w:w="59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80" w:type="dxa"/>
            <w:tcBorders>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2210203</w:t>
            </w:r>
          </w:p>
        </w:tc>
        <w:tc>
          <w:tcPr>
            <w:tcW w:w="1485" w:type="dxa"/>
            <w:gridSpan w:val="3"/>
            <w:tcBorders>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购房补贴</w:t>
            </w:r>
          </w:p>
        </w:tc>
        <w:tc>
          <w:tcPr>
            <w:tcW w:w="1024" w:type="dxa"/>
            <w:gridSpan w:val="3"/>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540"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11.274</w:t>
            </w:r>
          </w:p>
        </w:tc>
        <w:tc>
          <w:tcPr>
            <w:tcW w:w="900" w:type="dxa"/>
            <w:gridSpan w:val="3"/>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11.274</w:t>
            </w:r>
          </w:p>
        </w:tc>
        <w:tc>
          <w:tcPr>
            <w:tcW w:w="59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ascii="宋体" w:hAnsi="宋体" w:cs="Arial"/>
                <w:color w:val="auto"/>
                <w:kern w:val="0"/>
                <w:sz w:val="18"/>
                <w:szCs w:val="18"/>
              </w:rPr>
              <w:t>2290400</w:t>
            </w:r>
          </w:p>
        </w:tc>
        <w:tc>
          <w:tcPr>
            <w:tcW w:w="1485" w:type="dxa"/>
            <w:gridSpan w:val="3"/>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其他政府性基金及对应专项债务收入安排的支出</w:t>
            </w:r>
          </w:p>
        </w:tc>
        <w:tc>
          <w:tcPr>
            <w:tcW w:w="1024"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56"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90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66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9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7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844"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136"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bl>
    <w:p>
      <w:pPr>
        <w:autoSpaceDE w:val="0"/>
        <w:autoSpaceDN w:val="0"/>
        <w:adjustRightInd w:val="0"/>
        <w:spacing w:line="560" w:lineRule="exact"/>
        <w:ind w:firstLine="627"/>
        <w:jc w:val="center"/>
        <w:rPr>
          <w:rFonts w:ascii="宋体" w:cs="宋体"/>
          <w:b/>
          <w:color w:val="auto"/>
          <w:sz w:val="36"/>
          <w:szCs w:val="36"/>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2016年度部门支出决算总表（分单位）</w:t>
      </w:r>
    </w:p>
    <w:p>
      <w:pPr>
        <w:autoSpaceDE w:val="0"/>
        <w:autoSpaceDN w:val="0"/>
        <w:adjustRightInd w:val="0"/>
        <w:spacing w:line="560" w:lineRule="exact"/>
        <w:jc w:val="center"/>
        <w:rPr>
          <w:rFonts w:ascii="??" w:hAnsi="Times New Roman" w:cs="??"/>
          <w:b/>
          <w:color w:val="auto"/>
          <w:sz w:val="32"/>
          <w:szCs w:val="32"/>
        </w:rPr>
      </w:pPr>
    </w:p>
    <w:tbl>
      <w:tblPr>
        <w:tblStyle w:val="6"/>
        <w:tblW w:w="9202" w:type="dxa"/>
        <w:tblInd w:w="1890" w:type="dxa"/>
        <w:tblLayout w:type="fixed"/>
        <w:tblCellMar>
          <w:top w:w="0" w:type="dxa"/>
          <w:left w:w="108" w:type="dxa"/>
          <w:bottom w:w="0" w:type="dxa"/>
          <w:right w:w="108" w:type="dxa"/>
        </w:tblCellMar>
      </w:tblPr>
      <w:tblGrid>
        <w:gridCol w:w="2120"/>
        <w:gridCol w:w="1000"/>
        <w:gridCol w:w="1000"/>
        <w:gridCol w:w="1000"/>
        <w:gridCol w:w="1000"/>
        <w:gridCol w:w="1000"/>
        <w:gridCol w:w="1000"/>
        <w:gridCol w:w="1082"/>
      </w:tblGrid>
      <w:tr>
        <w:tblPrEx>
          <w:tblCellMar>
            <w:top w:w="0" w:type="dxa"/>
            <w:left w:w="108" w:type="dxa"/>
            <w:bottom w:w="0" w:type="dxa"/>
            <w:right w:w="108" w:type="dxa"/>
          </w:tblCellMar>
        </w:tblPrEx>
        <w:trPr>
          <w:trHeight w:val="255" w:hRule="atLeast"/>
        </w:trPr>
        <w:tc>
          <w:tcPr>
            <w:tcW w:w="212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082" w:type="dxa"/>
            <w:gridSpan w:val="2"/>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03-1</w:t>
            </w:r>
            <w:r>
              <w:rPr>
                <w:rFonts w:hint="eastAsia" w:ascii="宋体" w:hAnsi="宋体" w:cs="Arial"/>
                <w:color w:val="auto"/>
                <w:kern w:val="0"/>
                <w:sz w:val="20"/>
                <w:szCs w:val="20"/>
              </w:rPr>
              <w:t>表</w:t>
            </w:r>
          </w:p>
        </w:tc>
      </w:tr>
      <w:tr>
        <w:tblPrEx>
          <w:tblCellMar>
            <w:top w:w="0" w:type="dxa"/>
            <w:left w:w="108" w:type="dxa"/>
            <w:bottom w:w="0" w:type="dxa"/>
            <w:right w:w="108" w:type="dxa"/>
          </w:tblCellMar>
        </w:tblPrEx>
        <w:trPr>
          <w:trHeight w:val="270" w:hRule="atLeast"/>
        </w:trPr>
        <w:tc>
          <w:tcPr>
            <w:tcW w:w="2120" w:type="dxa"/>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　部门：温州市残疾人联合会（汇总）</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082" w:type="dxa"/>
            <w:gridSpan w:val="2"/>
            <w:tcBorders>
              <w:bottom w:val="single" w:color="000000" w:sz="8" w:space="0"/>
            </w:tcBorders>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537" w:hRule="atLeast"/>
        </w:trPr>
        <w:tc>
          <w:tcPr>
            <w:tcW w:w="2120"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单位名称</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2000" w:type="dxa"/>
            <w:gridSpan w:val="2"/>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1000" w:type="dxa"/>
            <w:vMerge w:val="restart"/>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事业单位经营支出</w:t>
            </w:r>
          </w:p>
        </w:tc>
        <w:tc>
          <w:tcPr>
            <w:tcW w:w="100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对附属单位补助支出</w:t>
            </w:r>
          </w:p>
        </w:tc>
        <w:tc>
          <w:tcPr>
            <w:tcW w:w="1082"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上缴上级支出</w:t>
            </w:r>
          </w:p>
        </w:tc>
      </w:tr>
      <w:tr>
        <w:tblPrEx>
          <w:tblCellMar>
            <w:top w:w="0" w:type="dxa"/>
            <w:left w:w="108" w:type="dxa"/>
            <w:bottom w:w="0" w:type="dxa"/>
            <w:right w:w="108" w:type="dxa"/>
          </w:tblCellMar>
        </w:tblPrEx>
        <w:trPr>
          <w:trHeight w:val="893" w:hRule="atLeast"/>
        </w:trPr>
        <w:tc>
          <w:tcPr>
            <w:tcW w:w="2120" w:type="dxa"/>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人员支出</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日常公用支出</w:t>
            </w: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0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82"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10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1082"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r>
      <w:tr>
        <w:tblPrEx>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3735.78</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850.97</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135.64</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cs="Arial"/>
                <w:color w:val="auto"/>
                <w:kern w:val="0"/>
                <w:sz w:val="18"/>
                <w:szCs w:val="18"/>
              </w:rPr>
              <w:t>2748.92</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温州市残疾人联合会</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2974.08</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335.37</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54.54</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2584.18</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温州市残疾人劳动就业服务部</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218.94</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127.43</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19.75</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71.51</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12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20"/>
                <w:szCs w:val="20"/>
              </w:rPr>
              <w:t>温州市残疾人康复服务指导中心</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542.76</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388.17</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61.35</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93.23</w:t>
            </w: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bl>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2016年度部门支出决算总表（分科目）</w:t>
      </w:r>
    </w:p>
    <w:tbl>
      <w:tblPr>
        <w:tblStyle w:val="6"/>
        <w:tblW w:w="9688" w:type="dxa"/>
        <w:tblInd w:w="1650" w:type="dxa"/>
        <w:tblLayout w:type="fixed"/>
        <w:tblCellMar>
          <w:top w:w="0" w:type="dxa"/>
          <w:left w:w="108" w:type="dxa"/>
          <w:bottom w:w="0" w:type="dxa"/>
          <w:right w:w="108" w:type="dxa"/>
        </w:tblCellMar>
      </w:tblPr>
      <w:tblGrid>
        <w:gridCol w:w="1041"/>
        <w:gridCol w:w="1947"/>
        <w:gridCol w:w="1080"/>
        <w:gridCol w:w="1052"/>
        <w:gridCol w:w="28"/>
        <w:gridCol w:w="1260"/>
        <w:gridCol w:w="900"/>
        <w:gridCol w:w="812"/>
        <w:gridCol w:w="88"/>
        <w:gridCol w:w="900"/>
        <w:gridCol w:w="580"/>
      </w:tblGrid>
      <w:tr>
        <w:tblPrEx>
          <w:tblCellMar>
            <w:top w:w="0" w:type="dxa"/>
            <w:left w:w="108" w:type="dxa"/>
            <w:bottom w:w="0" w:type="dxa"/>
            <w:right w:w="108" w:type="dxa"/>
          </w:tblCellMar>
        </w:tblPrEx>
        <w:trPr>
          <w:trHeight w:val="255" w:hRule="atLeast"/>
        </w:trPr>
        <w:tc>
          <w:tcPr>
            <w:tcW w:w="1041"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947" w:type="dxa"/>
            <w:shd w:val="clear" w:color="000000" w:fill="FFFFFF"/>
          </w:tcPr>
          <w:p>
            <w:pPr>
              <w:widowControl/>
              <w:jc w:val="left"/>
              <w:rPr>
                <w:rFonts w:ascii="Arial" w:hAnsi="Arial" w:cs="Arial"/>
                <w:color w:val="auto"/>
                <w:kern w:val="0"/>
                <w:sz w:val="20"/>
                <w:szCs w:val="20"/>
              </w:rPr>
            </w:pPr>
          </w:p>
        </w:tc>
        <w:tc>
          <w:tcPr>
            <w:tcW w:w="108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52"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288" w:type="dxa"/>
            <w:gridSpan w:val="2"/>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90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12"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68" w:type="dxa"/>
            <w:gridSpan w:val="3"/>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公开</w:t>
            </w:r>
            <w:r>
              <w:rPr>
                <w:rFonts w:ascii="宋体" w:hAnsi="宋体" w:cs="Arial"/>
                <w:color w:val="auto"/>
                <w:kern w:val="0"/>
                <w:sz w:val="20"/>
                <w:szCs w:val="20"/>
              </w:rPr>
              <w:t>03-2</w:t>
            </w:r>
            <w:r>
              <w:rPr>
                <w:rFonts w:hint="eastAsia" w:ascii="宋体" w:hAnsi="宋体" w:cs="Arial"/>
                <w:color w:val="auto"/>
                <w:kern w:val="0"/>
                <w:sz w:val="20"/>
                <w:szCs w:val="20"/>
              </w:rPr>
              <w:t>表</w:t>
            </w:r>
          </w:p>
        </w:tc>
      </w:tr>
      <w:tr>
        <w:tblPrEx>
          <w:tblCellMar>
            <w:top w:w="0" w:type="dxa"/>
            <w:left w:w="108" w:type="dxa"/>
            <w:bottom w:w="0" w:type="dxa"/>
            <w:right w:w="108" w:type="dxa"/>
          </w:tblCellMar>
        </w:tblPrEx>
        <w:trPr>
          <w:trHeight w:val="270" w:hRule="atLeast"/>
        </w:trPr>
        <w:tc>
          <w:tcPr>
            <w:tcW w:w="1041" w:type="dxa"/>
            <w:tcBorders>
              <w:bottom w:val="single" w:color="auto" w:sz="4" w:space="0"/>
            </w:tcBorders>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　部门：</w:t>
            </w:r>
          </w:p>
        </w:tc>
        <w:tc>
          <w:tcPr>
            <w:tcW w:w="1947" w:type="dxa"/>
            <w:tcBorders>
              <w:bottom w:val="single" w:color="auto" w:sz="4" w:space="0"/>
            </w:tcBorders>
            <w:shd w:val="clear" w:color="000000" w:fill="FFFFFF"/>
          </w:tcPr>
          <w:p>
            <w:pPr>
              <w:widowControl/>
              <w:jc w:val="left"/>
              <w:rPr>
                <w:rFonts w:ascii="Arial" w:hAnsi="Arial" w:cs="Arial"/>
                <w:color w:val="auto"/>
                <w:kern w:val="0"/>
                <w:sz w:val="20"/>
                <w:szCs w:val="20"/>
              </w:rPr>
            </w:pPr>
            <w:r>
              <w:rPr>
                <w:rFonts w:hint="eastAsia" w:ascii="Arial" w:hAnsi="Arial" w:cs="Arial"/>
                <w:color w:val="auto"/>
                <w:kern w:val="0"/>
                <w:sz w:val="20"/>
                <w:szCs w:val="20"/>
              </w:rPr>
              <w:t>温州市残疾人联合会（汇总）</w:t>
            </w:r>
          </w:p>
        </w:tc>
        <w:tc>
          <w:tcPr>
            <w:tcW w:w="1080"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052"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288" w:type="dxa"/>
            <w:gridSpan w:val="2"/>
            <w:tcBorders>
              <w:bottom w:val="single" w:color="auto" w:sz="4" w:space="0"/>
            </w:tcBorders>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900"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12" w:type="dxa"/>
            <w:tcBorders>
              <w:bottom w:val="single" w:color="auto" w:sz="4" w:space="0"/>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68" w:type="dxa"/>
            <w:gridSpan w:val="3"/>
            <w:tcBorders>
              <w:bottom w:val="single" w:color="auto" w:sz="4" w:space="0"/>
            </w:tcBorders>
            <w:shd w:val="clear" w:color="000000" w:fill="FFFFFF"/>
            <w:vAlign w:val="bottom"/>
          </w:tcPr>
          <w:p>
            <w:pPr>
              <w:widowControl/>
              <w:jc w:val="right"/>
              <w:rPr>
                <w:rFonts w:ascii="宋体" w:cs="Arial"/>
                <w:color w:val="auto"/>
                <w:kern w:val="0"/>
                <w:sz w:val="20"/>
                <w:szCs w:val="20"/>
              </w:rPr>
            </w:pPr>
            <w:r>
              <w:rPr>
                <w:rFonts w:hint="eastAsia" w:ascii="宋体" w:hAnsi="宋体" w:cs="Arial"/>
                <w:color w:val="auto"/>
                <w:kern w:val="0"/>
                <w:sz w:val="20"/>
                <w:szCs w:val="20"/>
              </w:rPr>
              <w:t>金额单位：万元</w:t>
            </w:r>
          </w:p>
        </w:tc>
      </w:tr>
      <w:tr>
        <w:tblPrEx>
          <w:tblCellMar>
            <w:top w:w="0" w:type="dxa"/>
            <w:left w:w="108" w:type="dxa"/>
            <w:bottom w:w="0" w:type="dxa"/>
            <w:right w:w="108" w:type="dxa"/>
          </w:tblCellMar>
        </w:tblPrEx>
        <w:trPr>
          <w:trHeight w:val="537" w:hRule="atLeast"/>
        </w:trPr>
        <w:tc>
          <w:tcPr>
            <w:tcW w:w="1041" w:type="dxa"/>
            <w:vMerge w:val="restart"/>
            <w:tcBorders>
              <w:top w:val="single" w:color="auto" w:sz="4" w:space="0"/>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947"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080"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总计</w:t>
            </w:r>
          </w:p>
        </w:tc>
        <w:tc>
          <w:tcPr>
            <w:tcW w:w="2340" w:type="dxa"/>
            <w:gridSpan w:val="3"/>
            <w:tcBorders>
              <w:top w:val="single" w:color="auto" w:sz="4" w:space="0"/>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90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900" w:type="dxa"/>
            <w:gridSpan w:val="2"/>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事业单位经营支出</w:t>
            </w:r>
          </w:p>
        </w:tc>
        <w:tc>
          <w:tcPr>
            <w:tcW w:w="900" w:type="dxa"/>
            <w:vMerge w:val="restart"/>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对附属单位补助支出</w:t>
            </w:r>
          </w:p>
        </w:tc>
        <w:tc>
          <w:tcPr>
            <w:tcW w:w="580" w:type="dxa"/>
            <w:vMerge w:val="restart"/>
            <w:tcBorders>
              <w:top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上缴上级支出</w:t>
            </w:r>
          </w:p>
        </w:tc>
      </w:tr>
      <w:tr>
        <w:tblPrEx>
          <w:tblCellMar>
            <w:top w:w="0" w:type="dxa"/>
            <w:left w:w="108" w:type="dxa"/>
            <w:bottom w:w="0" w:type="dxa"/>
            <w:right w:w="108" w:type="dxa"/>
          </w:tblCellMar>
        </w:tblPrEx>
        <w:trPr>
          <w:trHeight w:val="893" w:hRule="atLeast"/>
        </w:trPr>
        <w:tc>
          <w:tcPr>
            <w:tcW w:w="1041" w:type="dxa"/>
            <w:vMerge w:val="continue"/>
            <w:tcBorders>
              <w:top w:val="single" w:color="000000" w:sz="8" w:space="0"/>
              <w:left w:val="single" w:color="auto" w:sz="4" w:space="0"/>
              <w:bottom w:val="single" w:color="000000" w:sz="4" w:space="0"/>
              <w:right w:val="single" w:color="auto" w:sz="4" w:space="0"/>
            </w:tcBorders>
            <w:vAlign w:val="center"/>
          </w:tcPr>
          <w:p>
            <w:pPr>
              <w:widowControl/>
              <w:jc w:val="left"/>
              <w:rPr>
                <w:rFonts w:ascii="宋体" w:cs="Arial"/>
                <w:color w:val="auto"/>
                <w:kern w:val="0"/>
                <w:sz w:val="18"/>
                <w:szCs w:val="18"/>
              </w:rPr>
            </w:pPr>
          </w:p>
        </w:tc>
        <w:tc>
          <w:tcPr>
            <w:tcW w:w="1947" w:type="dxa"/>
            <w:vMerge w:val="continue"/>
            <w:tcBorders>
              <w:top w:val="single" w:color="auto" w:sz="4" w:space="0"/>
              <w:left w:val="single" w:color="auto" w:sz="4" w:space="0"/>
              <w:bottom w:val="single" w:color="auto" w:sz="4" w:space="0"/>
              <w:right w:val="single" w:color="auto" w:sz="4" w:space="0"/>
            </w:tcBorders>
          </w:tcPr>
          <w:p>
            <w:pPr>
              <w:widowControl/>
              <w:jc w:val="left"/>
              <w:rPr>
                <w:rFonts w:ascii="宋体" w:cs="Arial"/>
                <w:color w:val="auto"/>
                <w:kern w:val="0"/>
                <w:sz w:val="18"/>
                <w:szCs w:val="18"/>
              </w:rPr>
            </w:pPr>
          </w:p>
        </w:tc>
        <w:tc>
          <w:tcPr>
            <w:tcW w:w="10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8"/>
                <w:szCs w:val="18"/>
              </w:rPr>
            </w:pPr>
          </w:p>
        </w:tc>
        <w:tc>
          <w:tcPr>
            <w:tcW w:w="1080"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人员支出</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日常公用支出</w:t>
            </w:r>
          </w:p>
        </w:tc>
        <w:tc>
          <w:tcPr>
            <w:tcW w:w="900" w:type="dxa"/>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00" w:type="dxa"/>
            <w:gridSpan w:val="2"/>
            <w:vMerge w:val="continue"/>
            <w:tcBorders>
              <w:top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90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580" w:type="dxa"/>
            <w:vMerge w:val="continue"/>
            <w:tcBorders>
              <w:bottom w:val="single" w:color="000000" w:sz="4" w:space="0"/>
              <w:right w:val="single" w:color="auto" w:sz="4" w:space="0"/>
            </w:tcBorders>
            <w:vAlign w:val="center"/>
          </w:tcPr>
          <w:p>
            <w:pPr>
              <w:widowControl/>
              <w:jc w:val="lef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2988" w:type="dxa"/>
            <w:gridSpan w:val="2"/>
            <w:tcBorders>
              <w:left w:val="single" w:color="auto" w:sz="4" w:space="0"/>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108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1</w:t>
            </w:r>
          </w:p>
        </w:tc>
        <w:tc>
          <w:tcPr>
            <w:tcW w:w="1080"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2</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3</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4</w:t>
            </w:r>
          </w:p>
        </w:tc>
        <w:tc>
          <w:tcPr>
            <w:tcW w:w="900" w:type="dxa"/>
            <w:gridSpan w:val="2"/>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5</w:t>
            </w:r>
          </w:p>
        </w:tc>
        <w:tc>
          <w:tcPr>
            <w:tcW w:w="90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6</w:t>
            </w:r>
          </w:p>
        </w:tc>
        <w:tc>
          <w:tcPr>
            <w:tcW w:w="580" w:type="dxa"/>
            <w:tcBorders>
              <w:bottom w:val="single" w:color="000000"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7</w:t>
            </w:r>
          </w:p>
        </w:tc>
      </w:tr>
      <w:tr>
        <w:tblPrEx>
          <w:tblCellMar>
            <w:top w:w="0" w:type="dxa"/>
            <w:left w:w="108" w:type="dxa"/>
            <w:bottom w:w="0" w:type="dxa"/>
            <w:right w:w="108" w:type="dxa"/>
          </w:tblCellMar>
        </w:tblPrEx>
        <w:trPr>
          <w:trHeight w:val="308" w:hRule="atLeast"/>
        </w:trPr>
        <w:tc>
          <w:tcPr>
            <w:tcW w:w="2988" w:type="dxa"/>
            <w:gridSpan w:val="2"/>
            <w:tcBorders>
              <w:left w:val="single" w:color="auto"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0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08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851.22</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135.64</w:t>
            </w: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2748.92</w:t>
            </w: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41" w:type="dxa"/>
            <w:tcBorders>
              <w:left w:val="single" w:color="auto" w:sz="4" w:space="0"/>
              <w:bottom w:val="single" w:color="000000"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行政运行</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354.95</w:t>
            </w:r>
            <w:r>
              <w:rPr>
                <w:rFonts w:hint="eastAsia" w:ascii="宋体" w:hAnsi="宋体" w:cs="Arial"/>
                <w:color w:val="auto"/>
                <w:kern w:val="0"/>
                <w:sz w:val="18"/>
                <w:szCs w:val="18"/>
              </w:rPr>
              <w:t>　</w:t>
            </w:r>
          </w:p>
        </w:tc>
        <w:tc>
          <w:tcPr>
            <w:tcW w:w="108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354.95</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41" w:type="dxa"/>
            <w:tcBorders>
              <w:left w:val="single" w:color="auto" w:sz="4" w:space="0"/>
              <w:bottom w:val="single" w:color="000000"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2081102</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一般行政管理事务</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r>
              <w:rPr>
                <w:rFonts w:hint="eastAsia" w:ascii="宋体" w:hAnsi="宋体" w:cs="Arial"/>
                <w:color w:val="auto"/>
                <w:kern w:val="0"/>
                <w:sz w:val="18"/>
                <w:szCs w:val="18"/>
              </w:rPr>
              <w:t>　</w:t>
            </w:r>
          </w:p>
        </w:tc>
        <w:tc>
          <w:tcPr>
            <w:tcW w:w="1080" w:type="dxa"/>
            <w:gridSpan w:val="2"/>
            <w:tcBorders>
              <w:left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24.74</w:t>
            </w:r>
            <w:r>
              <w:rPr>
                <w:rFonts w:hint="eastAsia" w:ascii="宋体" w:hAnsi="宋体" w:cs="Arial"/>
                <w:color w:val="auto"/>
                <w:kern w:val="0"/>
                <w:sz w:val="18"/>
                <w:szCs w:val="18"/>
              </w:rPr>
              <w:t>　</w:t>
            </w:r>
          </w:p>
        </w:tc>
        <w:tc>
          <w:tcPr>
            <w:tcW w:w="900" w:type="dxa"/>
            <w:gridSpan w:val="2"/>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000000"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rPr>
          <w:trHeight w:val="308" w:hRule="atLeast"/>
        </w:trPr>
        <w:tc>
          <w:tcPr>
            <w:tcW w:w="1041" w:type="dxa"/>
            <w:tcBorders>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2081104</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残疾人康复</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r>
              <w:rPr>
                <w:rFonts w:hint="eastAsia" w:ascii="宋体" w:hAnsi="宋体" w:cs="Arial"/>
                <w:color w:val="auto"/>
                <w:kern w:val="0"/>
                <w:sz w:val="18"/>
                <w:szCs w:val="18"/>
              </w:rPr>
              <w:t>　</w:t>
            </w:r>
          </w:p>
        </w:tc>
        <w:tc>
          <w:tcPr>
            <w:tcW w:w="1080" w:type="dxa"/>
            <w:gridSpan w:val="2"/>
            <w:tcBorders>
              <w:left w:val="single" w:color="auto" w:sz="4" w:space="0"/>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30.42</w:t>
            </w:r>
            <w:r>
              <w:rPr>
                <w:rFonts w:hint="eastAsia" w:ascii="宋体" w:hAnsi="宋体" w:cs="Arial"/>
                <w:color w:val="auto"/>
                <w:kern w:val="0"/>
                <w:sz w:val="18"/>
                <w:szCs w:val="18"/>
              </w:rPr>
              <w:t>　</w:t>
            </w:r>
          </w:p>
        </w:tc>
        <w:tc>
          <w:tcPr>
            <w:tcW w:w="900" w:type="dxa"/>
            <w:gridSpan w:val="2"/>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2081106</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残疾人体育</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34.98</w:t>
            </w: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2081199</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其他残疾人事业支出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2283.12</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394.11</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135.65</w:t>
            </w: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1753.36</w:t>
            </w: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2100501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行政单位医疗</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14.4</w:t>
            </w:r>
            <w:r>
              <w:rPr>
                <w:rFonts w:hint="eastAsia" w:ascii="宋体" w:hAnsi="宋体" w:cs="Arial"/>
                <w:color w:val="auto"/>
                <w:kern w:val="0"/>
                <w:sz w:val="18"/>
                <w:szCs w:val="18"/>
              </w:rPr>
              <w:t>　</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14.4</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2100502</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事业单位医疗</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24.29</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24.29</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2120899</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其他国有土地使用权出让收入安排的支出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2210201</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住房公积金</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52.19</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2210203</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购房补贴</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11.27</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1041"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ind w:firstLine="180" w:firstLineChars="100"/>
              <w:rPr>
                <w:rFonts w:ascii="宋体" w:cs="Arial"/>
                <w:color w:val="auto"/>
                <w:kern w:val="0"/>
                <w:sz w:val="18"/>
                <w:szCs w:val="18"/>
              </w:rPr>
            </w:pPr>
            <w:r>
              <w:rPr>
                <w:rFonts w:ascii="宋体" w:hAnsi="宋体" w:cs="Arial"/>
                <w:color w:val="auto"/>
                <w:kern w:val="0"/>
                <w:sz w:val="18"/>
                <w:szCs w:val="18"/>
              </w:rPr>
              <w:t>2290400</w:t>
            </w:r>
          </w:p>
        </w:tc>
        <w:tc>
          <w:tcPr>
            <w:tcW w:w="1947" w:type="dxa"/>
            <w:tcBorders>
              <w:top w:val="single" w:color="auto" w:sz="4" w:space="0"/>
              <w:left w:val="single" w:color="auto" w:sz="4" w:space="0"/>
              <w:bottom w:val="single" w:color="auto" w:sz="4" w:space="0"/>
              <w:right w:val="single" w:color="auto" w:sz="4" w:space="0"/>
            </w:tcBorders>
            <w:shd w:val="clear" w:color="000000" w:fill="FFFFFF"/>
          </w:tcPr>
          <w:p>
            <w:pPr>
              <w:widowControl/>
              <w:jc w:val="right"/>
              <w:rPr>
                <w:rFonts w:ascii="宋体" w:cs="Arial"/>
                <w:color w:val="auto"/>
                <w:kern w:val="0"/>
                <w:sz w:val="18"/>
                <w:szCs w:val="18"/>
              </w:rPr>
            </w:pPr>
            <w:r>
              <w:rPr>
                <w:rFonts w:hint="eastAsia" w:ascii="宋体" w:hAnsi="宋体" w:cs="Arial"/>
                <w:color w:val="auto"/>
                <w:kern w:val="0"/>
                <w:sz w:val="18"/>
                <w:szCs w:val="18"/>
              </w:rPr>
              <w:t>其他政府性基金及对应专项债务收入安排的支出</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108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p>
        </w:tc>
        <w:tc>
          <w:tcPr>
            <w:tcW w:w="90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90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c>
          <w:tcPr>
            <w:tcW w:w="5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p>
        </w:tc>
      </w:tr>
    </w:tbl>
    <w:p>
      <w:pPr>
        <w:autoSpaceDE w:val="0"/>
        <w:autoSpaceDN w:val="0"/>
        <w:adjustRightInd w:val="0"/>
        <w:spacing w:line="560" w:lineRule="exact"/>
        <w:jc w:val="center"/>
        <w:rPr>
          <w:rFonts w:ascii="??" w:hAnsi="Times New Roman" w:cs="??"/>
          <w:b/>
          <w:color w:val="auto"/>
          <w:sz w:val="32"/>
          <w:szCs w:val="32"/>
        </w:rPr>
      </w:pPr>
    </w:p>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2016年度部门财政拨款收入支出决算总表</w:t>
      </w:r>
    </w:p>
    <w:tbl>
      <w:tblPr>
        <w:tblStyle w:val="6"/>
        <w:tblW w:w="9648" w:type="dxa"/>
        <w:tblInd w:w="1665" w:type="dxa"/>
        <w:tblLayout w:type="fixed"/>
        <w:tblCellMar>
          <w:top w:w="0" w:type="dxa"/>
          <w:left w:w="108" w:type="dxa"/>
          <w:bottom w:w="0" w:type="dxa"/>
          <w:right w:w="108" w:type="dxa"/>
        </w:tblCellMar>
      </w:tblPr>
      <w:tblGrid>
        <w:gridCol w:w="2260"/>
        <w:gridCol w:w="376"/>
        <w:gridCol w:w="880"/>
        <w:gridCol w:w="2240"/>
        <w:gridCol w:w="440"/>
        <w:gridCol w:w="1112"/>
        <w:gridCol w:w="1080"/>
        <w:gridCol w:w="1260"/>
      </w:tblGrid>
      <w:tr>
        <w:tblPrEx>
          <w:tblCellMar>
            <w:top w:w="0" w:type="dxa"/>
            <w:left w:w="108" w:type="dxa"/>
            <w:bottom w:w="0" w:type="dxa"/>
            <w:right w:w="108" w:type="dxa"/>
          </w:tblCellMar>
        </w:tblPrEx>
        <w:trPr>
          <w:trHeight w:val="255" w:hRule="atLeast"/>
        </w:trPr>
        <w:tc>
          <w:tcPr>
            <w:tcW w:w="226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76"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88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22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4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452" w:type="dxa"/>
            <w:gridSpan w:val="3"/>
            <w:shd w:val="clear" w:color="000000" w:fill="FFFFFF"/>
            <w:vAlign w:val="bottom"/>
          </w:tcPr>
          <w:p>
            <w:pPr>
              <w:widowControl/>
              <w:jc w:val="right"/>
              <w:rPr>
                <w:rFonts w:ascii="Arial" w:hAnsi="Arial" w:cs="Arial"/>
                <w:color w:val="auto"/>
                <w:kern w:val="0"/>
                <w:sz w:val="15"/>
                <w:szCs w:val="15"/>
              </w:rPr>
            </w:pPr>
            <w:r>
              <w:rPr>
                <w:rFonts w:hint="eastAsia" w:ascii="宋体" w:hAnsi="宋体" w:cs="Arial"/>
                <w:color w:val="auto"/>
                <w:kern w:val="0"/>
                <w:sz w:val="15"/>
                <w:szCs w:val="15"/>
              </w:rPr>
              <w:t>公开</w:t>
            </w:r>
            <w:r>
              <w:rPr>
                <w:rFonts w:ascii="Arial" w:hAnsi="Arial" w:cs="Arial"/>
                <w:color w:val="auto"/>
                <w:kern w:val="0"/>
                <w:sz w:val="15"/>
                <w:szCs w:val="15"/>
              </w:rPr>
              <w:t>04</w:t>
            </w:r>
            <w:r>
              <w:rPr>
                <w:rFonts w:hint="eastAsia" w:ascii="宋体" w:hAnsi="宋体" w:cs="Arial"/>
                <w:color w:val="auto"/>
                <w:kern w:val="0"/>
                <w:sz w:val="15"/>
                <w:szCs w:val="15"/>
              </w:rPr>
              <w:t>表</w:t>
            </w:r>
          </w:p>
        </w:tc>
      </w:tr>
      <w:tr>
        <w:tblPrEx>
          <w:tblCellMar>
            <w:top w:w="0" w:type="dxa"/>
            <w:left w:w="108" w:type="dxa"/>
            <w:bottom w:w="0" w:type="dxa"/>
            <w:right w:w="108" w:type="dxa"/>
          </w:tblCellMar>
        </w:tblPrEx>
        <w:trPr>
          <w:trHeight w:val="315" w:hRule="atLeast"/>
        </w:trPr>
        <w:tc>
          <w:tcPr>
            <w:tcW w:w="3516" w:type="dxa"/>
            <w:gridSpan w:val="3"/>
            <w:shd w:val="clear" w:color="000000" w:fill="FFFFFF"/>
            <w:vAlign w:val="bottom"/>
          </w:tcPr>
          <w:p>
            <w:pPr>
              <w:widowControl/>
              <w:jc w:val="left"/>
              <w:rPr>
                <w:rFonts w:ascii="宋体" w:cs="Arial"/>
                <w:color w:val="auto"/>
                <w:kern w:val="0"/>
                <w:szCs w:val="21"/>
              </w:rPr>
            </w:pPr>
            <w:r>
              <w:rPr>
                <w:rFonts w:hint="eastAsia" w:ascii="宋体" w:hAnsi="宋体" w:cs="Arial"/>
                <w:color w:val="auto"/>
                <w:kern w:val="0"/>
                <w:szCs w:val="21"/>
              </w:rPr>
              <w:t>部门：温州市残疾人联合会（汇总）</w:t>
            </w:r>
          </w:p>
        </w:tc>
        <w:tc>
          <w:tcPr>
            <w:tcW w:w="22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440" w:type="dxa"/>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452" w:type="dxa"/>
            <w:gridSpan w:val="3"/>
            <w:shd w:val="clear" w:color="000000" w:fill="FFFFFF"/>
            <w:vAlign w:val="bottom"/>
          </w:tcPr>
          <w:p>
            <w:pPr>
              <w:widowControl/>
              <w:jc w:val="right"/>
              <w:rPr>
                <w:rFonts w:ascii="Arial" w:hAnsi="Arial" w:cs="Arial"/>
                <w:color w:val="auto"/>
                <w:kern w:val="0"/>
                <w:sz w:val="15"/>
                <w:szCs w:val="15"/>
              </w:rPr>
            </w:pPr>
            <w:r>
              <w:rPr>
                <w:rFonts w:hint="eastAsia" w:ascii="Arial" w:hAnsi="Arial" w:cs="Arial"/>
                <w:color w:val="auto"/>
                <w:kern w:val="0"/>
                <w:sz w:val="15"/>
                <w:szCs w:val="15"/>
              </w:rPr>
              <w:t>金额单位：万元</w:t>
            </w:r>
          </w:p>
        </w:tc>
      </w:tr>
      <w:tr>
        <w:tblPrEx>
          <w:tblCellMar>
            <w:top w:w="0" w:type="dxa"/>
            <w:left w:w="108" w:type="dxa"/>
            <w:bottom w:w="0" w:type="dxa"/>
            <w:right w:w="108" w:type="dxa"/>
          </w:tblCellMar>
        </w:tblPrEx>
        <w:trPr>
          <w:trHeight w:val="308" w:hRule="atLeast"/>
        </w:trPr>
        <w:tc>
          <w:tcPr>
            <w:tcW w:w="3516" w:type="dxa"/>
            <w:gridSpan w:val="3"/>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收</w:t>
            </w:r>
            <w:r>
              <w:rPr>
                <w:rFonts w:ascii="宋体" w:hAnsi="宋体" w:cs="Arial"/>
                <w:color w:val="auto"/>
                <w:kern w:val="0"/>
                <w:sz w:val="16"/>
                <w:szCs w:val="16"/>
              </w:rPr>
              <w:t xml:space="preserve">     </w:t>
            </w:r>
            <w:r>
              <w:rPr>
                <w:rFonts w:hint="eastAsia" w:ascii="宋体" w:hAnsi="宋体" w:cs="Arial"/>
                <w:color w:val="auto"/>
                <w:kern w:val="0"/>
                <w:sz w:val="16"/>
                <w:szCs w:val="16"/>
              </w:rPr>
              <w:t>入</w:t>
            </w:r>
          </w:p>
        </w:tc>
        <w:tc>
          <w:tcPr>
            <w:tcW w:w="6132" w:type="dxa"/>
            <w:gridSpan w:val="5"/>
            <w:tcBorders>
              <w:top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支</w:t>
            </w:r>
            <w:r>
              <w:rPr>
                <w:rFonts w:ascii="宋体" w:hAnsi="宋体" w:cs="Arial"/>
                <w:color w:val="auto"/>
                <w:kern w:val="0"/>
                <w:sz w:val="16"/>
                <w:szCs w:val="16"/>
              </w:rPr>
              <w:t xml:space="preserve">     </w:t>
            </w:r>
            <w:r>
              <w:rPr>
                <w:rFonts w:hint="eastAsia" w:ascii="宋体" w:hAnsi="宋体" w:cs="Arial"/>
                <w:color w:val="auto"/>
                <w:kern w:val="0"/>
                <w:sz w:val="16"/>
                <w:szCs w:val="16"/>
              </w:rPr>
              <w:t>出</w:t>
            </w:r>
          </w:p>
        </w:tc>
      </w:tr>
      <w:tr>
        <w:tblPrEx>
          <w:tblCellMar>
            <w:top w:w="0" w:type="dxa"/>
            <w:left w:w="108" w:type="dxa"/>
            <w:bottom w:w="0" w:type="dxa"/>
            <w:right w:w="108" w:type="dxa"/>
          </w:tblCellMar>
        </w:tblPrEx>
        <w:trPr>
          <w:trHeight w:val="293" w:hRule="atLeast"/>
        </w:trPr>
        <w:tc>
          <w:tcPr>
            <w:tcW w:w="2260" w:type="dxa"/>
            <w:vMerge w:val="restart"/>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376"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行次</w:t>
            </w:r>
          </w:p>
        </w:tc>
        <w:tc>
          <w:tcPr>
            <w:tcW w:w="88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c>
          <w:tcPr>
            <w:tcW w:w="224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项目（按功能分类）</w:t>
            </w:r>
          </w:p>
        </w:tc>
        <w:tc>
          <w:tcPr>
            <w:tcW w:w="440" w:type="dxa"/>
            <w:vMerge w:val="restart"/>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行次</w:t>
            </w:r>
          </w:p>
        </w:tc>
        <w:tc>
          <w:tcPr>
            <w:tcW w:w="3452" w:type="dxa"/>
            <w:gridSpan w:val="3"/>
            <w:tcBorders>
              <w:top w:val="single" w:color="000000" w:sz="4"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决算数</w:t>
            </w:r>
          </w:p>
        </w:tc>
      </w:tr>
      <w:tr>
        <w:tblPrEx>
          <w:tblCellMar>
            <w:top w:w="0" w:type="dxa"/>
            <w:left w:w="108" w:type="dxa"/>
            <w:bottom w:w="0" w:type="dxa"/>
            <w:right w:w="108" w:type="dxa"/>
          </w:tblCellMar>
        </w:tblPrEx>
        <w:trPr>
          <w:trHeight w:val="615" w:hRule="atLeast"/>
        </w:trPr>
        <w:tc>
          <w:tcPr>
            <w:tcW w:w="2260" w:type="dxa"/>
            <w:vMerge w:val="continue"/>
            <w:tcBorders>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88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224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440" w:type="dxa"/>
            <w:vMerge w:val="continue"/>
            <w:tcBorders>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12"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小计</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一般公共预算财政拨款</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政府性基金预算财政拨款</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88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224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栏</w:t>
            </w:r>
            <w:r>
              <w:rPr>
                <w:rFonts w:ascii="宋体" w:hAnsi="宋体" w:cs="Arial"/>
                <w:color w:val="auto"/>
                <w:kern w:val="0"/>
                <w:sz w:val="18"/>
                <w:szCs w:val="18"/>
              </w:rPr>
              <w:t xml:space="preserve">    </w:t>
            </w:r>
            <w:r>
              <w:rPr>
                <w:rFonts w:hint="eastAsia" w:ascii="宋体" w:hAnsi="宋体" w:cs="Arial"/>
                <w:color w:val="auto"/>
                <w:kern w:val="0"/>
                <w:sz w:val="18"/>
                <w:szCs w:val="18"/>
              </w:rPr>
              <w:t>次</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1112"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108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126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一、一般公共预算财政拨款</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2809.4</w:t>
            </w: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一、一般公共服务支出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31</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二、政府性基金预算财政拨款</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二、外交支出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32</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三、国防支出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33</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四、公共安全支出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34</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五、教育支出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35</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6</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六、科学技术支出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36</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七、文化体育与传媒支出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37</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八、社会保障和就业支出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38</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2728.22</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9</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九、医疗卫生与计划生育支出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39</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38.69</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10</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十、节能环保支出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40</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11</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十一、城乡社区支出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41</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12</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十二、农林水支出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42</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13</w:t>
            </w:r>
          </w:p>
        </w:tc>
        <w:tc>
          <w:tcPr>
            <w:tcW w:w="8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十三、交通运输支出</w:t>
            </w:r>
          </w:p>
        </w:tc>
        <w:tc>
          <w:tcPr>
            <w:tcW w:w="440" w:type="dxa"/>
            <w:tcBorders>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43</w:t>
            </w:r>
          </w:p>
        </w:tc>
        <w:tc>
          <w:tcPr>
            <w:tcW w:w="1112"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bottom w:val="single" w:color="auto"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14</w:t>
            </w:r>
          </w:p>
        </w:tc>
        <w:tc>
          <w:tcPr>
            <w:tcW w:w="88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bottom w:val="single" w:color="auto"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十四、资源勘探信息等支出</w:t>
            </w:r>
          </w:p>
        </w:tc>
        <w:tc>
          <w:tcPr>
            <w:tcW w:w="440" w:type="dxa"/>
            <w:tcBorders>
              <w:bottom w:val="single" w:color="auto"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44</w:t>
            </w:r>
          </w:p>
        </w:tc>
        <w:tc>
          <w:tcPr>
            <w:tcW w:w="1112"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bottom w:val="single" w:color="auto"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十五、商业服务业等支出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45</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十六、金融支出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46</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十七、援助其他地区支出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47</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十八、国土海洋气象等支出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48</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19</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十九、住房保障支出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49</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63.47</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20</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二十、粮油物资储备支出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50</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21</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二十一、其他支出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51</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22</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二十二、债务还本支出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52</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23</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二十三、债务付息支出</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53</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本年收入合计</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24</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3714.81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本年支出合计</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77</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3735.78</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25</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78</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年初财政拨款结转和结余</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26</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年末财政拨款结转和结余</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79</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2.136</w:t>
            </w: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2.136</w:t>
            </w: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一、一般公共预算财政拨款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27</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23.11</w:t>
            </w: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Arial"/>
                <w:color w:val="auto"/>
                <w:kern w:val="0"/>
                <w:sz w:val="18"/>
                <w:szCs w:val="18"/>
              </w:rPr>
            </w:pPr>
            <w:r>
              <w:rPr>
                <w:rFonts w:ascii="宋体" w:hAnsi="宋体" w:cs="Arial"/>
                <w:color w:val="auto"/>
                <w:kern w:val="0"/>
                <w:sz w:val="18"/>
                <w:szCs w:val="18"/>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80</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二、政府性基金预算财政拨款</w:t>
            </w:r>
          </w:p>
        </w:tc>
        <w:tc>
          <w:tcPr>
            <w:tcW w:w="376"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28</w:t>
            </w:r>
          </w:p>
        </w:tc>
        <w:tc>
          <w:tcPr>
            <w:tcW w:w="8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left"/>
              <w:rPr>
                <w:rFonts w:ascii="宋体" w:hAnsi="宋体" w:cs="Arial"/>
                <w:color w:val="auto"/>
                <w:kern w:val="0"/>
                <w:sz w:val="18"/>
                <w:szCs w:val="18"/>
              </w:rPr>
            </w:pPr>
            <w:r>
              <w:rPr>
                <w:rFonts w:ascii="宋体" w:hAnsi="宋体" w:cs="Arial"/>
                <w:color w:val="auto"/>
                <w:kern w:val="0"/>
                <w:sz w:val="18"/>
                <w:szCs w:val="18"/>
              </w:rPr>
              <w:t xml:space="preserve">    </w:t>
            </w:r>
          </w:p>
        </w:tc>
        <w:tc>
          <w:tcPr>
            <w:tcW w:w="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81</w:t>
            </w:r>
          </w:p>
        </w:tc>
        <w:tc>
          <w:tcPr>
            <w:tcW w:w="1112"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top w:val="single" w:color="auto" w:sz="4" w:space="0"/>
              <w:left w:val="single" w:color="000000" w:sz="8"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376" w:type="dxa"/>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29</w:t>
            </w:r>
          </w:p>
        </w:tc>
        <w:tc>
          <w:tcPr>
            <w:tcW w:w="8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2240" w:type="dxa"/>
            <w:tcBorders>
              <w:top w:val="single" w:color="auto" w:sz="4" w:space="0"/>
              <w:bottom w:val="single" w:color="000000" w:sz="4" w:space="0"/>
              <w:right w:val="single" w:color="000000" w:sz="4" w:space="0"/>
            </w:tcBorders>
            <w:shd w:val="clear" w:color="FFFFFF" w:fill="FFFFFF"/>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w:t>
            </w:r>
          </w:p>
        </w:tc>
        <w:tc>
          <w:tcPr>
            <w:tcW w:w="440" w:type="dxa"/>
            <w:tcBorders>
              <w:top w:val="single" w:color="auto" w:sz="4" w:space="0"/>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82</w:t>
            </w:r>
          </w:p>
        </w:tc>
        <w:tc>
          <w:tcPr>
            <w:tcW w:w="1112"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260" w:type="dxa"/>
            <w:tcBorders>
              <w:top w:val="single" w:color="auto" w:sz="4" w:space="0"/>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2260" w:type="dxa"/>
            <w:tcBorders>
              <w:left w:val="single" w:color="000000" w:sz="8" w:space="0"/>
              <w:bottom w:val="single" w:color="000000" w:sz="8" w:space="0"/>
              <w:right w:val="single" w:color="000000"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总计</w:t>
            </w:r>
          </w:p>
        </w:tc>
        <w:tc>
          <w:tcPr>
            <w:tcW w:w="376" w:type="dxa"/>
            <w:tcBorders>
              <w:bottom w:val="single" w:color="000000" w:sz="8"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30</w:t>
            </w:r>
          </w:p>
        </w:tc>
        <w:tc>
          <w:tcPr>
            <w:tcW w:w="88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3737.92</w:t>
            </w:r>
            <w:r>
              <w:rPr>
                <w:rFonts w:hint="eastAsia" w:ascii="宋体" w:hAnsi="宋体" w:cs="Arial"/>
                <w:color w:val="auto"/>
                <w:kern w:val="0"/>
                <w:sz w:val="18"/>
                <w:szCs w:val="18"/>
              </w:rPr>
              <w:t>　</w:t>
            </w:r>
          </w:p>
        </w:tc>
        <w:tc>
          <w:tcPr>
            <w:tcW w:w="2240" w:type="dxa"/>
            <w:tcBorders>
              <w:bottom w:val="single" w:color="000000" w:sz="8" w:space="0"/>
              <w:right w:val="single" w:color="000000" w:sz="4" w:space="0"/>
            </w:tcBorders>
            <w:shd w:val="clear" w:color="FFFFFF" w:fill="FFFFFF"/>
            <w:vAlign w:val="center"/>
          </w:tcPr>
          <w:p>
            <w:pPr>
              <w:widowControl/>
              <w:jc w:val="center"/>
              <w:rPr>
                <w:rFonts w:ascii="宋体" w:cs="Arial"/>
                <w:b/>
                <w:bCs/>
                <w:color w:val="auto"/>
                <w:kern w:val="0"/>
                <w:sz w:val="18"/>
                <w:szCs w:val="18"/>
              </w:rPr>
            </w:pPr>
            <w:r>
              <w:rPr>
                <w:rFonts w:hint="eastAsia" w:ascii="宋体" w:hAnsi="宋体" w:cs="Arial"/>
                <w:b/>
                <w:bCs/>
                <w:color w:val="auto"/>
                <w:kern w:val="0"/>
                <w:sz w:val="18"/>
                <w:szCs w:val="18"/>
              </w:rPr>
              <w:t>总计</w:t>
            </w:r>
          </w:p>
        </w:tc>
        <w:tc>
          <w:tcPr>
            <w:tcW w:w="440" w:type="dxa"/>
            <w:tcBorders>
              <w:bottom w:val="single" w:color="000000" w:sz="8"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83</w:t>
            </w:r>
          </w:p>
        </w:tc>
        <w:tc>
          <w:tcPr>
            <w:tcW w:w="1112" w:type="dxa"/>
            <w:tcBorders>
              <w:bottom w:val="single" w:color="000000" w:sz="8" w:space="0"/>
              <w:right w:val="single" w:color="000000" w:sz="4" w:space="0"/>
            </w:tcBorders>
            <w:shd w:val="clear" w:color="000000" w:fill="FFFFFF"/>
            <w:vAlign w:val="center"/>
          </w:tcPr>
          <w:p>
            <w:pPr>
              <w:widowControl/>
              <w:jc w:val="right"/>
              <w:rPr>
                <w:rFonts w:ascii="宋体" w:hAnsi="宋体" w:cs="Arial"/>
                <w:color w:val="auto"/>
                <w:kern w:val="0"/>
                <w:sz w:val="18"/>
                <w:szCs w:val="18"/>
              </w:rPr>
            </w:pPr>
            <w:r>
              <w:rPr>
                <w:rFonts w:ascii="宋体" w:hAnsi="宋体" w:cs="Arial"/>
                <w:color w:val="auto"/>
                <w:kern w:val="0"/>
                <w:sz w:val="18"/>
                <w:szCs w:val="18"/>
              </w:rPr>
              <w:t>3737.92</w:t>
            </w:r>
          </w:p>
        </w:tc>
        <w:tc>
          <w:tcPr>
            <w:tcW w:w="108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2832.51</w:t>
            </w:r>
            <w:r>
              <w:rPr>
                <w:rFonts w:hint="eastAsia" w:ascii="宋体" w:hAnsi="宋体" w:cs="Arial"/>
                <w:color w:val="auto"/>
                <w:kern w:val="0"/>
                <w:sz w:val="18"/>
                <w:szCs w:val="18"/>
              </w:rPr>
              <w:t>　</w:t>
            </w:r>
          </w:p>
        </w:tc>
        <w:tc>
          <w:tcPr>
            <w:tcW w:w="1260" w:type="dxa"/>
            <w:tcBorders>
              <w:bottom w:val="single" w:color="000000" w:sz="8"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r>
    </w:tbl>
    <w:p>
      <w:pPr>
        <w:autoSpaceDE w:val="0"/>
        <w:autoSpaceDN w:val="0"/>
        <w:adjustRightInd w:val="0"/>
        <w:spacing w:line="560" w:lineRule="exact"/>
        <w:rPr>
          <w:rFonts w:ascii="??" w:hAnsi="Times New Roman" w:cs="??"/>
          <w:b/>
          <w:color w:val="auto"/>
          <w:sz w:val="32"/>
          <w:szCs w:val="32"/>
        </w:rPr>
      </w:pPr>
    </w:p>
    <w:p>
      <w:pPr>
        <w:autoSpaceDE w:val="0"/>
        <w:autoSpaceDN w:val="0"/>
        <w:adjustRightInd w:val="0"/>
        <w:spacing w:line="560" w:lineRule="exact"/>
        <w:ind w:firstLine="627"/>
        <w:jc w:val="center"/>
        <w:rPr>
          <w:rFonts w:ascii="??" w:hAnsi="Times New Roman" w:cs="??"/>
          <w:b/>
          <w:color w:val="auto"/>
          <w:sz w:val="32"/>
          <w:szCs w:val="32"/>
        </w:rPr>
      </w:pPr>
      <w:r>
        <w:rPr>
          <w:rFonts w:ascii="??" w:hAnsi="Times New Roman" w:eastAsia="Times New Roman" w:cs="??"/>
          <w:b/>
          <w:color w:val="auto"/>
          <w:sz w:val="32"/>
          <w:szCs w:val="32"/>
        </w:rPr>
        <w:t>2016年度部门一般公共预算财政拨款支出决算表</w:t>
      </w:r>
    </w:p>
    <w:tbl>
      <w:tblPr>
        <w:tblStyle w:val="6"/>
        <w:tblW w:w="9300" w:type="dxa"/>
        <w:tblInd w:w="1837" w:type="dxa"/>
        <w:tblLayout w:type="fixed"/>
        <w:tblCellMar>
          <w:top w:w="0" w:type="dxa"/>
          <w:left w:w="108" w:type="dxa"/>
          <w:bottom w:w="0" w:type="dxa"/>
          <w:right w:w="108" w:type="dxa"/>
        </w:tblCellMar>
      </w:tblPr>
      <w:tblGrid>
        <w:gridCol w:w="482"/>
        <w:gridCol w:w="482"/>
        <w:gridCol w:w="482"/>
        <w:gridCol w:w="1754"/>
        <w:gridCol w:w="1520"/>
        <w:gridCol w:w="1520"/>
        <w:gridCol w:w="1520"/>
        <w:gridCol w:w="1520"/>
        <w:gridCol w:w="20"/>
      </w:tblGrid>
      <w:tr>
        <w:tblPrEx>
          <w:tblCellMar>
            <w:top w:w="0" w:type="dxa"/>
            <w:left w:w="108" w:type="dxa"/>
            <w:bottom w:w="0" w:type="dxa"/>
            <w:right w:w="108" w:type="dxa"/>
          </w:tblCellMar>
        </w:tblPrEx>
        <w:trPr>
          <w:gridAfter w:val="1"/>
          <w:wAfter w:w="20" w:type="dxa"/>
          <w:trHeight w:val="255" w:hRule="atLeast"/>
        </w:trPr>
        <w:tc>
          <w:tcPr>
            <w:tcW w:w="3200" w:type="dxa"/>
            <w:gridSpan w:val="4"/>
            <w:tcBorders>
              <w:top w:val="nil"/>
              <w:left w:val="nil"/>
              <w:bottom w:val="nil"/>
              <w:right w:val="nil"/>
            </w:tcBorders>
            <w:shd w:val="clear" w:color="000000" w:fill="FFFFFF"/>
            <w:vAlign w:val="bottom"/>
          </w:tcPr>
          <w:p>
            <w:pPr>
              <w:widowControl/>
              <w:jc w:val="center"/>
              <w:rPr>
                <w:rFonts w:ascii="Arial" w:hAnsi="Arial" w:cs="Arial"/>
                <w:color w:val="auto"/>
                <w:kern w:val="0"/>
                <w:sz w:val="20"/>
                <w:szCs w:val="20"/>
              </w:rPr>
            </w:pPr>
            <w:r>
              <w:rPr>
                <w:rFonts w:hint="eastAsia" w:ascii="Arial" w:hAnsi="Arial"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040" w:type="dxa"/>
            <w:gridSpan w:val="2"/>
            <w:tcBorders>
              <w:top w:val="nil"/>
              <w:left w:val="nil"/>
              <w:bottom w:val="nil"/>
              <w:right w:val="nil"/>
            </w:tcBorders>
            <w:shd w:val="clear" w:color="000000" w:fill="FFFFFF"/>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05</w:t>
            </w:r>
            <w:r>
              <w:rPr>
                <w:rFonts w:hint="eastAsia" w:ascii="宋体" w:hAnsi="宋体" w:cs="Arial"/>
                <w:color w:val="auto"/>
                <w:kern w:val="0"/>
                <w:sz w:val="15"/>
                <w:szCs w:val="15"/>
              </w:rPr>
              <w:t>表</w:t>
            </w:r>
          </w:p>
        </w:tc>
      </w:tr>
      <w:tr>
        <w:tblPrEx>
          <w:tblCellMar>
            <w:top w:w="0" w:type="dxa"/>
            <w:left w:w="108" w:type="dxa"/>
            <w:bottom w:w="0" w:type="dxa"/>
            <w:right w:w="108" w:type="dxa"/>
          </w:tblCellMar>
        </w:tblPrEx>
        <w:trPr>
          <w:gridAfter w:val="1"/>
          <w:wAfter w:w="20" w:type="dxa"/>
          <w:trHeight w:val="270" w:hRule="atLeast"/>
        </w:trPr>
        <w:tc>
          <w:tcPr>
            <w:tcW w:w="3200" w:type="dxa"/>
            <w:gridSpan w:val="4"/>
            <w:tcBorders>
              <w:top w:val="nil"/>
              <w:left w:val="nil"/>
              <w:bottom w:val="single" w:color="000000" w:sz="8" w:space="0"/>
              <w:right w:val="nil"/>
            </w:tcBorders>
            <w:shd w:val="clear" w:color="000000" w:fill="FFFFFF"/>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部门：温州市残疾人联合会（汇总）</w:t>
            </w:r>
          </w:p>
        </w:tc>
        <w:tc>
          <w:tcPr>
            <w:tcW w:w="1520" w:type="dxa"/>
            <w:tcBorders>
              <w:top w:val="nil"/>
              <w:left w:val="nil"/>
              <w:bottom w:val="nil"/>
              <w:right w:val="nil"/>
            </w:tcBorders>
            <w:shd w:val="clear" w:color="000000" w:fill="FFFFFF"/>
            <w:vAlign w:val="bottom"/>
          </w:tcPr>
          <w:p>
            <w:pPr>
              <w:widowControl/>
              <w:jc w:val="center"/>
              <w:rPr>
                <w:rFonts w:ascii="宋体" w:cs="Arial"/>
                <w:color w:val="auto"/>
                <w:kern w:val="0"/>
                <w:sz w:val="20"/>
                <w:szCs w:val="20"/>
              </w:rPr>
            </w:pPr>
            <w:r>
              <w:rPr>
                <w:rFonts w:hint="eastAsia" w:ascii="宋体" w:hAnsi="宋体" w:cs="Arial"/>
                <w:color w:val="auto"/>
                <w:kern w:val="0"/>
                <w:sz w:val="20"/>
                <w:szCs w:val="20"/>
              </w:rPr>
              <w:t>　</w:t>
            </w:r>
          </w:p>
        </w:tc>
        <w:tc>
          <w:tcPr>
            <w:tcW w:w="1520" w:type="dxa"/>
            <w:tcBorders>
              <w:top w:val="nil"/>
              <w:left w:val="nil"/>
              <w:bottom w:val="nil"/>
              <w:right w:val="nil"/>
            </w:tcBorders>
            <w:shd w:val="clear" w:color="000000" w:fill="FFFFFF"/>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　</w:t>
            </w:r>
          </w:p>
        </w:tc>
        <w:tc>
          <w:tcPr>
            <w:tcW w:w="3040" w:type="dxa"/>
            <w:gridSpan w:val="2"/>
            <w:tcBorders>
              <w:top w:val="nil"/>
              <w:left w:val="nil"/>
              <w:bottom w:val="single" w:color="000000" w:sz="8" w:space="0"/>
              <w:right w:val="nil"/>
            </w:tcBorders>
            <w:shd w:val="clear" w:color="000000" w:fill="FFFFFF"/>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w:t>
            </w:r>
          </w:p>
        </w:tc>
      </w:tr>
      <w:tr>
        <w:tblPrEx>
          <w:tblCellMar>
            <w:top w:w="0" w:type="dxa"/>
            <w:left w:w="108" w:type="dxa"/>
            <w:bottom w:w="0" w:type="dxa"/>
            <w:right w:w="108" w:type="dxa"/>
          </w:tblCellMar>
        </w:tblPrEx>
        <w:trPr>
          <w:gridAfter w:val="1"/>
          <w:wAfter w:w="20" w:type="dxa"/>
          <w:trHeight w:val="308" w:hRule="atLeast"/>
        </w:trPr>
        <w:tc>
          <w:tcPr>
            <w:tcW w:w="3200" w:type="dxa"/>
            <w:gridSpan w:val="4"/>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项目</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合计</w:t>
            </w:r>
          </w:p>
        </w:tc>
        <w:tc>
          <w:tcPr>
            <w:tcW w:w="152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基本支出</w:t>
            </w:r>
          </w:p>
        </w:tc>
        <w:tc>
          <w:tcPr>
            <w:tcW w:w="152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项目支出</w:t>
            </w:r>
          </w:p>
        </w:tc>
        <w:tc>
          <w:tcPr>
            <w:tcW w:w="15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备注</w:t>
            </w:r>
          </w:p>
        </w:tc>
      </w:tr>
      <w:tr>
        <w:tblPrEx>
          <w:tblCellMar>
            <w:top w:w="0" w:type="dxa"/>
            <w:left w:w="108" w:type="dxa"/>
            <w:bottom w:w="0" w:type="dxa"/>
            <w:right w:w="108" w:type="dxa"/>
          </w:tblCellMar>
        </w:tblPrEx>
        <w:trPr>
          <w:trHeight w:val="308" w:hRule="atLeast"/>
        </w:trPr>
        <w:tc>
          <w:tcPr>
            <w:tcW w:w="1446" w:type="dxa"/>
            <w:gridSpan w:val="3"/>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支出功能分类科目编码</w:t>
            </w:r>
          </w:p>
        </w:tc>
        <w:tc>
          <w:tcPr>
            <w:tcW w:w="1754"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科目名称</w:t>
            </w: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restart"/>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CellMar>
            <w:top w:w="0" w:type="dxa"/>
            <w:left w:w="108" w:type="dxa"/>
            <w:bottom w:w="0" w:type="dxa"/>
            <w:right w:w="108" w:type="dxa"/>
          </w:tblCellMar>
        </w:tblPrEx>
        <w:trPr>
          <w:trHeight w:val="308" w:hRule="atLeast"/>
        </w:trPr>
        <w:tc>
          <w:tcPr>
            <w:tcW w:w="1446"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2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540"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r>
      <w:tr>
        <w:tblPrEx>
          <w:tblCellMar>
            <w:top w:w="0" w:type="dxa"/>
            <w:left w:w="108" w:type="dxa"/>
            <w:bottom w:w="0" w:type="dxa"/>
            <w:right w:w="108" w:type="dxa"/>
          </w:tblCellMar>
        </w:tblPrEx>
        <w:trPr>
          <w:trHeight w:val="308" w:hRule="atLeast"/>
        </w:trPr>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类</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款</w:t>
            </w:r>
          </w:p>
        </w:tc>
        <w:tc>
          <w:tcPr>
            <w:tcW w:w="482" w:type="dxa"/>
            <w:vMerge w:val="restart"/>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项</w:t>
            </w: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栏次</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1</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2</w:t>
            </w:r>
          </w:p>
        </w:tc>
        <w:tc>
          <w:tcPr>
            <w:tcW w:w="152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3</w:t>
            </w:r>
          </w:p>
        </w:tc>
        <w:tc>
          <w:tcPr>
            <w:tcW w:w="1540" w:type="dxa"/>
            <w:gridSpan w:val="2"/>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ascii="宋体" w:hAnsi="宋体" w:cs="Arial"/>
                <w:color w:val="auto"/>
                <w:kern w:val="0"/>
                <w:sz w:val="22"/>
              </w:rPr>
              <w:t>4</w:t>
            </w:r>
          </w:p>
        </w:tc>
      </w:tr>
      <w:tr>
        <w:tblPrEx>
          <w:tblCellMar>
            <w:top w:w="0" w:type="dxa"/>
            <w:left w:w="108" w:type="dxa"/>
            <w:bottom w:w="0" w:type="dxa"/>
            <w:right w:w="108" w:type="dxa"/>
          </w:tblCellMar>
        </w:tblPrEx>
        <w:trPr>
          <w:trHeight w:val="308" w:hRule="atLeast"/>
        </w:trPr>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48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22"/>
              </w:rPr>
            </w:pPr>
          </w:p>
        </w:tc>
        <w:tc>
          <w:tcPr>
            <w:tcW w:w="1754"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22"/>
              </w:rPr>
            </w:pPr>
            <w:r>
              <w:rPr>
                <w:rFonts w:hint="eastAsia" w:ascii="宋体" w:hAnsi="宋体" w:cs="Arial"/>
                <w:color w:val="auto"/>
                <w:kern w:val="0"/>
                <w:sz w:val="22"/>
              </w:rPr>
              <w:t>合计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2830.37</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986.87</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1843.51</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行政运行</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354</w:t>
            </w:r>
            <w:r>
              <w:rPr>
                <w:rFonts w:ascii="宋体" w:cs="Arial"/>
                <w:color w:val="auto"/>
                <w:kern w:val="0"/>
                <w:sz w:val="22"/>
              </w:rPr>
              <w:t>.</w:t>
            </w:r>
            <w:r>
              <w:rPr>
                <w:rFonts w:ascii="宋体" w:hAnsi="宋体" w:cs="Arial"/>
                <w:color w:val="auto"/>
                <w:kern w:val="0"/>
                <w:sz w:val="22"/>
              </w:rPr>
              <w:t>95</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354.95</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2081102</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一般行政管理事务</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24.74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24.74</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2081104</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残疾人康复</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30.42</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30.42</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2081106</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残疾人体育</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34.98</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34.98</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2081199</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其他残疾人事业支出</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518.64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518.64</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1753.36</w:t>
            </w: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2100501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行政单位医疗</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14.40</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14.40</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2100502</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18"/>
                <w:szCs w:val="18"/>
              </w:rPr>
              <w:t>事业单位医疗</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24.29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24.29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left"/>
              <w:rPr>
                <w:rFonts w:ascii="宋体" w:cs="Arial"/>
                <w:color w:val="auto"/>
                <w:kern w:val="0"/>
                <w:sz w:val="22"/>
              </w:rPr>
            </w:pPr>
            <w:r>
              <w:rPr>
                <w:rFonts w:hint="eastAsia" w:ascii="宋体" w:hAnsi="宋体" w:cs="Arial"/>
                <w:color w:val="auto"/>
                <w:kern w:val="0"/>
                <w:sz w:val="22"/>
              </w:rPr>
              <w:t>　</w:t>
            </w:r>
            <w:r>
              <w:rPr>
                <w:rFonts w:ascii="宋体" w:hAnsi="宋体" w:cs="Arial"/>
                <w:color w:val="auto"/>
                <w:kern w:val="0"/>
                <w:sz w:val="22"/>
              </w:rPr>
              <w:t>2210201</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22"/>
              </w:rPr>
              <w:t>住房公积金</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52.19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52.19</w:t>
            </w:r>
            <w:r>
              <w:rPr>
                <w:rFonts w:hint="eastAsia" w:ascii="宋体" w:hAnsi="宋体" w:cs="Arial"/>
                <w:color w:val="auto"/>
                <w:kern w:val="0"/>
                <w:sz w:val="22"/>
              </w:rPr>
              <w:t>　</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hint="eastAsia" w:ascii="宋体" w:hAnsi="宋体" w:cs="Arial"/>
                <w:color w:val="auto"/>
                <w:kern w:val="0"/>
                <w:sz w:val="22"/>
              </w:rPr>
              <w:t>　</w:t>
            </w:r>
          </w:p>
        </w:tc>
      </w:tr>
      <w:tr>
        <w:tblPrEx>
          <w:tblCellMar>
            <w:top w:w="0" w:type="dxa"/>
            <w:left w:w="108" w:type="dxa"/>
            <w:bottom w:w="0" w:type="dxa"/>
            <w:right w:w="108" w:type="dxa"/>
          </w:tblCellMar>
        </w:tblPrEx>
        <w:trPr>
          <w:trHeight w:val="308" w:hRule="atLeast"/>
        </w:trPr>
        <w:tc>
          <w:tcPr>
            <w:tcW w:w="1446"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ind w:firstLine="220" w:firstLineChars="100"/>
              <w:jc w:val="left"/>
              <w:rPr>
                <w:rFonts w:ascii="宋体" w:cs="Arial"/>
                <w:color w:val="auto"/>
                <w:kern w:val="0"/>
                <w:sz w:val="22"/>
              </w:rPr>
            </w:pPr>
            <w:r>
              <w:rPr>
                <w:rFonts w:ascii="宋体" w:hAnsi="宋体" w:cs="Arial"/>
                <w:color w:val="auto"/>
                <w:kern w:val="0"/>
                <w:sz w:val="22"/>
              </w:rPr>
              <w:t>2210203</w:t>
            </w:r>
          </w:p>
        </w:tc>
        <w:tc>
          <w:tcPr>
            <w:tcW w:w="1754" w:type="dxa"/>
            <w:tcBorders>
              <w:top w:val="single" w:color="auto" w:sz="4" w:space="0"/>
              <w:left w:val="single" w:color="auto" w:sz="4" w:space="0"/>
              <w:bottom w:val="single" w:color="auto" w:sz="4" w:space="0"/>
              <w:right w:val="single" w:color="auto" w:sz="4" w:space="0"/>
            </w:tcBorders>
            <w:shd w:val="clear" w:color="000000" w:fill="FFFFFF"/>
          </w:tcPr>
          <w:p>
            <w:pPr>
              <w:widowControl/>
              <w:jc w:val="left"/>
              <w:rPr>
                <w:rFonts w:ascii="宋体" w:cs="Arial"/>
                <w:color w:val="auto"/>
                <w:kern w:val="0"/>
                <w:sz w:val="22"/>
              </w:rPr>
            </w:pPr>
            <w:r>
              <w:rPr>
                <w:rFonts w:hint="eastAsia" w:ascii="宋体" w:hAnsi="宋体" w:cs="Arial"/>
                <w:color w:val="auto"/>
                <w:kern w:val="0"/>
                <w:sz w:val="22"/>
              </w:rPr>
              <w:t>购房补贴</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11.27</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r>
              <w:rPr>
                <w:rFonts w:ascii="宋体" w:hAnsi="宋体" w:cs="Arial"/>
                <w:color w:val="auto"/>
                <w:kern w:val="0"/>
                <w:sz w:val="22"/>
              </w:rPr>
              <w:t>11.27</w:t>
            </w:r>
          </w:p>
        </w:tc>
        <w:tc>
          <w:tcPr>
            <w:tcW w:w="1520" w:type="dxa"/>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p>
        </w:tc>
        <w:tc>
          <w:tcPr>
            <w:tcW w:w="1540" w:type="dxa"/>
            <w:gridSpan w:val="2"/>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right"/>
              <w:rPr>
                <w:rFonts w:ascii="宋体" w:cs="Arial"/>
                <w:color w:val="auto"/>
                <w:kern w:val="0"/>
                <w:sz w:val="22"/>
              </w:rPr>
            </w:pPr>
          </w:p>
        </w:tc>
      </w:tr>
    </w:tbl>
    <w:p>
      <w:pPr>
        <w:autoSpaceDE w:val="0"/>
        <w:autoSpaceDN w:val="0"/>
        <w:adjustRightInd w:val="0"/>
        <w:spacing w:line="560" w:lineRule="exact"/>
        <w:rPr>
          <w:rFonts w:ascii="??" w:hAnsi="Times New Roman" w:cs="??"/>
          <w:b/>
          <w:color w:val="auto"/>
          <w:sz w:val="32"/>
          <w:szCs w:val="32"/>
        </w:rPr>
      </w:pPr>
      <w:r>
        <w:rPr>
          <w:rFonts w:ascii="??" w:hAnsi="Times New Roman" w:cs="??"/>
          <w:b/>
          <w:color w:val="auto"/>
          <w:sz w:val="32"/>
          <w:szCs w:val="32"/>
        </w:rPr>
        <w:t xml:space="preserve">                    </w:t>
      </w:r>
      <w:r>
        <w:rPr>
          <w:rFonts w:ascii="??" w:hAnsi="Times New Roman" w:eastAsia="Times New Roman" w:cs="??"/>
          <w:b/>
          <w:color w:val="auto"/>
          <w:sz w:val="32"/>
          <w:szCs w:val="32"/>
        </w:rPr>
        <w:t>2016年度部门一般公共预算基本支出决算表</w:t>
      </w:r>
    </w:p>
    <w:tbl>
      <w:tblPr>
        <w:tblStyle w:val="6"/>
        <w:tblW w:w="10092" w:type="dxa"/>
        <w:tblInd w:w="1548" w:type="dxa"/>
        <w:tblLayout w:type="fixed"/>
        <w:tblCellMar>
          <w:top w:w="0" w:type="dxa"/>
          <w:left w:w="108" w:type="dxa"/>
          <w:bottom w:w="0" w:type="dxa"/>
          <w:right w:w="108" w:type="dxa"/>
        </w:tblCellMar>
      </w:tblPr>
      <w:tblGrid>
        <w:gridCol w:w="1440"/>
        <w:gridCol w:w="2935"/>
        <w:gridCol w:w="1237"/>
        <w:gridCol w:w="850"/>
        <w:gridCol w:w="1638"/>
        <w:gridCol w:w="1992"/>
      </w:tblGrid>
      <w:tr>
        <w:tblPrEx>
          <w:tblCellMar>
            <w:top w:w="0" w:type="dxa"/>
            <w:left w:w="108" w:type="dxa"/>
            <w:bottom w:w="0" w:type="dxa"/>
            <w:right w:w="108" w:type="dxa"/>
          </w:tblCellMar>
        </w:tblPrEx>
        <w:trPr>
          <w:trHeight w:val="255" w:hRule="atLeast"/>
        </w:trPr>
        <w:tc>
          <w:tcPr>
            <w:tcW w:w="144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2935"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237"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850"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638" w:type="dxa"/>
            <w:tcBorders>
              <w:top w:val="nil"/>
              <w:left w:val="nil"/>
              <w:bottom w:val="nil"/>
              <w:right w:val="nil"/>
            </w:tcBorders>
            <w:vAlign w:val="bottom"/>
          </w:tcPr>
          <w:p>
            <w:pPr>
              <w:widowControl/>
              <w:jc w:val="left"/>
              <w:rPr>
                <w:rFonts w:ascii="Arial" w:hAnsi="Arial" w:cs="Arial"/>
                <w:color w:val="auto"/>
                <w:kern w:val="0"/>
                <w:sz w:val="20"/>
                <w:szCs w:val="20"/>
              </w:rPr>
            </w:pPr>
          </w:p>
        </w:tc>
        <w:tc>
          <w:tcPr>
            <w:tcW w:w="1992" w:type="dxa"/>
            <w:tcBorders>
              <w:top w:val="nil"/>
              <w:left w:val="nil"/>
              <w:bottom w:val="nil"/>
              <w:right w:val="nil"/>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公开</w:t>
            </w:r>
            <w:r>
              <w:rPr>
                <w:rFonts w:ascii="宋体" w:hAnsi="宋体" w:cs="Arial"/>
                <w:color w:val="auto"/>
                <w:kern w:val="0"/>
                <w:sz w:val="15"/>
                <w:szCs w:val="15"/>
              </w:rPr>
              <w:t>06</w:t>
            </w:r>
            <w:r>
              <w:rPr>
                <w:rFonts w:hint="eastAsia" w:ascii="宋体" w:hAnsi="宋体" w:cs="Arial"/>
                <w:color w:val="auto"/>
                <w:kern w:val="0"/>
                <w:sz w:val="15"/>
                <w:szCs w:val="15"/>
              </w:rPr>
              <w:t>表</w:t>
            </w:r>
          </w:p>
        </w:tc>
      </w:tr>
      <w:tr>
        <w:tblPrEx>
          <w:tblCellMar>
            <w:top w:w="0" w:type="dxa"/>
            <w:left w:w="108" w:type="dxa"/>
            <w:bottom w:w="0" w:type="dxa"/>
            <w:right w:w="108" w:type="dxa"/>
          </w:tblCellMar>
        </w:tblPrEx>
        <w:trPr>
          <w:trHeight w:val="255" w:hRule="atLeast"/>
        </w:trPr>
        <w:tc>
          <w:tcPr>
            <w:tcW w:w="1440" w:type="dxa"/>
            <w:tcBorders>
              <w:top w:val="nil"/>
              <w:left w:val="nil"/>
              <w:bottom w:val="single" w:color="auto" w:sz="4" w:space="0"/>
              <w:right w:val="nil"/>
            </w:tcBorders>
            <w:vAlign w:val="bottom"/>
          </w:tcPr>
          <w:p>
            <w:pPr>
              <w:widowControl/>
              <w:jc w:val="left"/>
              <w:rPr>
                <w:rFonts w:ascii="宋体" w:cs="Arial"/>
                <w:color w:val="auto"/>
                <w:kern w:val="0"/>
                <w:sz w:val="20"/>
                <w:szCs w:val="20"/>
              </w:rPr>
            </w:pPr>
            <w:r>
              <w:rPr>
                <w:rFonts w:hint="eastAsia" w:ascii="宋体" w:hAnsi="宋体" w:cs="Arial"/>
                <w:color w:val="auto"/>
                <w:kern w:val="0"/>
                <w:sz w:val="20"/>
                <w:szCs w:val="20"/>
              </w:rPr>
              <w:t>部门：</w:t>
            </w:r>
          </w:p>
        </w:tc>
        <w:tc>
          <w:tcPr>
            <w:tcW w:w="2935"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r>
              <w:rPr>
                <w:rFonts w:hint="eastAsia" w:ascii="Arial" w:hAnsi="Arial" w:cs="Arial"/>
                <w:color w:val="auto"/>
                <w:kern w:val="0"/>
                <w:sz w:val="20"/>
                <w:szCs w:val="20"/>
              </w:rPr>
              <w:t>温州市残疾人联合会（汇总）</w:t>
            </w:r>
          </w:p>
        </w:tc>
        <w:tc>
          <w:tcPr>
            <w:tcW w:w="1237"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850"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1638" w:type="dxa"/>
            <w:tcBorders>
              <w:top w:val="nil"/>
              <w:left w:val="nil"/>
              <w:bottom w:val="single" w:color="auto" w:sz="4" w:space="0"/>
              <w:right w:val="nil"/>
            </w:tcBorders>
            <w:vAlign w:val="bottom"/>
          </w:tcPr>
          <w:p>
            <w:pPr>
              <w:widowControl/>
              <w:jc w:val="left"/>
              <w:rPr>
                <w:rFonts w:ascii="Arial" w:hAnsi="Arial" w:cs="Arial"/>
                <w:color w:val="auto"/>
                <w:kern w:val="0"/>
                <w:sz w:val="20"/>
                <w:szCs w:val="20"/>
              </w:rPr>
            </w:pPr>
          </w:p>
        </w:tc>
        <w:tc>
          <w:tcPr>
            <w:tcW w:w="1992" w:type="dxa"/>
            <w:tcBorders>
              <w:top w:val="nil"/>
              <w:left w:val="nil"/>
              <w:bottom w:val="single" w:color="auto" w:sz="4" w:space="0"/>
              <w:right w:val="nil"/>
            </w:tcBorders>
            <w:vAlign w:val="bottom"/>
          </w:tcPr>
          <w:p>
            <w:pPr>
              <w:widowControl/>
              <w:jc w:val="right"/>
              <w:rPr>
                <w:rFonts w:ascii="宋体" w:cs="Arial"/>
                <w:color w:val="auto"/>
                <w:kern w:val="0"/>
                <w:sz w:val="15"/>
                <w:szCs w:val="15"/>
              </w:rPr>
            </w:pPr>
            <w:r>
              <w:rPr>
                <w:rFonts w:hint="eastAsia" w:ascii="宋体" w:hAnsi="宋体" w:cs="Arial"/>
                <w:color w:val="auto"/>
                <w:kern w:val="0"/>
                <w:sz w:val="15"/>
                <w:szCs w:val="15"/>
              </w:rPr>
              <w:t>金额单位：万元</w:t>
            </w:r>
            <w:bookmarkStart w:id="0" w:name="_GoBack"/>
            <w:bookmarkEnd w:id="0"/>
          </w:p>
        </w:tc>
      </w:tr>
      <w:tr>
        <w:tblPrEx>
          <w:tblCellMar>
            <w:top w:w="0" w:type="dxa"/>
            <w:left w:w="108" w:type="dxa"/>
            <w:bottom w:w="0" w:type="dxa"/>
            <w:right w:w="108" w:type="dxa"/>
          </w:tblCellMar>
        </w:tblPrEx>
        <w:trPr>
          <w:trHeight w:val="308" w:hRule="atLeast"/>
        </w:trPr>
        <w:tc>
          <w:tcPr>
            <w:tcW w:w="5612"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人员经费</w:t>
            </w:r>
          </w:p>
        </w:tc>
        <w:tc>
          <w:tcPr>
            <w:tcW w:w="4480" w:type="dxa"/>
            <w:gridSpan w:val="3"/>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公用经费</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科目编码</w:t>
            </w:r>
          </w:p>
        </w:tc>
        <w:tc>
          <w:tcPr>
            <w:tcW w:w="2935"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科目名称</w:t>
            </w:r>
          </w:p>
        </w:tc>
        <w:tc>
          <w:tcPr>
            <w:tcW w:w="1237"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金额</w:t>
            </w:r>
          </w:p>
        </w:tc>
        <w:tc>
          <w:tcPr>
            <w:tcW w:w="850"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科目编码</w:t>
            </w:r>
          </w:p>
        </w:tc>
        <w:tc>
          <w:tcPr>
            <w:tcW w:w="1638"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科目名称</w:t>
            </w:r>
          </w:p>
        </w:tc>
        <w:tc>
          <w:tcPr>
            <w:tcW w:w="1992" w:type="dxa"/>
            <w:tcBorders>
              <w:top w:val="single" w:color="auto" w:sz="4" w:space="0"/>
              <w:left w:val="single" w:color="auto" w:sz="4" w:space="0"/>
              <w:bottom w:val="single" w:color="auto" w:sz="4" w:space="0"/>
              <w:right w:val="single" w:color="auto" w:sz="4" w:space="0"/>
            </w:tcBorders>
            <w:shd w:val="clear" w:color="FFFFFF" w:fill="FFFFFF"/>
            <w:vAlign w:val="center"/>
          </w:tcPr>
          <w:p>
            <w:pPr>
              <w:widowControl/>
              <w:jc w:val="center"/>
              <w:rPr>
                <w:rFonts w:ascii="宋体" w:cs="Arial"/>
                <w:color w:val="auto"/>
                <w:kern w:val="0"/>
                <w:sz w:val="16"/>
                <w:szCs w:val="16"/>
              </w:rPr>
            </w:pPr>
            <w:r>
              <w:rPr>
                <w:rFonts w:hint="eastAsia" w:ascii="宋体" w:hAnsi="宋体" w:cs="Arial"/>
                <w:color w:val="auto"/>
                <w:kern w:val="0"/>
                <w:sz w:val="16"/>
                <w:szCs w:val="16"/>
              </w:rPr>
              <w:t>金额</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工资福利支出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739.85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商品和服务支出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134.53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基本工资</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130.03</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办公费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4.73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27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津贴补贴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114.51</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印刷费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0.36</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奖金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82.79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咨询费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其他社会保障缴费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34.85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手续费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0.007</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30106</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伙食补助费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12.68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水费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0.32</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30107</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绩效工资</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202.75</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电费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5.54</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555"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30108</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机关事业单位基本养老保险缴费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45.28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邮电费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2.00</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30109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职业年金缴费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68.36</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取暖费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30199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其他工资福利支出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48.59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30209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物业管理费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0.355</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对个人和家庭的补助</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111.37</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差旅费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11.01</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离休费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因公出国（境）费用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3.34</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退休费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8.09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维修</w:t>
            </w:r>
            <w:r>
              <w:rPr>
                <w:rFonts w:ascii="宋体" w:hAnsi="宋体" w:cs="Arial"/>
                <w:color w:val="auto"/>
                <w:kern w:val="0"/>
                <w:sz w:val="16"/>
                <w:szCs w:val="16"/>
              </w:rPr>
              <w:t>(</w:t>
            </w:r>
            <w:r>
              <w:rPr>
                <w:rFonts w:hint="eastAsia" w:ascii="宋体" w:hAnsi="宋体" w:cs="Arial"/>
                <w:color w:val="auto"/>
                <w:kern w:val="0"/>
                <w:sz w:val="16"/>
                <w:szCs w:val="16"/>
              </w:rPr>
              <w:t>护</w:t>
            </w:r>
            <w:r>
              <w:rPr>
                <w:rFonts w:ascii="宋体" w:hAnsi="宋体" w:cs="Arial"/>
                <w:color w:val="auto"/>
                <w:kern w:val="0"/>
                <w:sz w:val="16"/>
                <w:szCs w:val="16"/>
              </w:rPr>
              <w:t>)</w:t>
            </w:r>
            <w:r>
              <w:rPr>
                <w:rFonts w:hint="eastAsia" w:ascii="宋体" w:hAnsi="宋体" w:cs="Arial"/>
                <w:color w:val="auto"/>
                <w:kern w:val="0"/>
                <w:sz w:val="16"/>
                <w:szCs w:val="16"/>
              </w:rPr>
              <w:t>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1.68</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退职（役）费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租赁费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0.6</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抚恤金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会议费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30305</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生活补助</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培训费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2.35</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30306</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救济费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公务接待费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1.03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30307</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医疗费</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39.73</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30218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专用材料费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30308</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助学金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被装购置费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30309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奖励金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专用燃料费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0.33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30310</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生产补贴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劳务费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55.93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30311</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住房公积金</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52.19</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委托业务费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30312</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提租补贴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工会经费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5.85</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30313</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购房补贴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11.27</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30229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福利费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6.72</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30314</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采暖补贴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30231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公务用车运行维护费</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30315</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物业服务补贴</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30239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其他交通费用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31.97</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30399</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其他对个人和家庭的补助支出</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0.08</w:t>
            </w: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30240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税金及附加费用</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30299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其他商品和服务支出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0.73</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304</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对事业单位的补贴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企业政策性补贴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事业单位补贴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财政贴息</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30499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其他对企事业单位的补贴</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310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其他资本性支出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房屋建筑物购建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办公设备购置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专用设备购置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31005</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基础设施建设</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大型修缮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31007</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信息网络及软件购置更新</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31008</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物资储备</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31009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土地补偿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31010</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安置补助</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31011</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地上附着物和青苗补偿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31012</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拆迁补偿</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31013</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公务用车购置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31019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其他交通工具购置</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31099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其他资本性支出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ascii="宋体" w:hAnsi="宋体" w:cs="Arial"/>
                <w:color w:val="auto"/>
                <w:kern w:val="0"/>
                <w:sz w:val="16"/>
                <w:szCs w:val="16"/>
              </w:rPr>
              <w:t>1.12</w:t>
            </w: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ascii="宋体" w:hAnsi="宋体" w:cs="Arial"/>
                <w:b/>
                <w:bCs/>
                <w:color w:val="auto"/>
                <w:kern w:val="0"/>
                <w:sz w:val="16"/>
                <w:szCs w:val="16"/>
              </w:rPr>
              <w:t>399</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b/>
                <w:bCs/>
                <w:color w:val="auto"/>
                <w:kern w:val="0"/>
                <w:sz w:val="16"/>
                <w:szCs w:val="16"/>
              </w:rPr>
            </w:pPr>
            <w:r>
              <w:rPr>
                <w:rFonts w:hint="eastAsia" w:ascii="宋体" w:hAnsi="宋体" w:cs="Arial"/>
                <w:b/>
                <w:bCs/>
                <w:color w:val="auto"/>
                <w:kern w:val="0"/>
                <w:sz w:val="16"/>
                <w:szCs w:val="16"/>
              </w:rPr>
              <w:t>其他支出</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308" w:hRule="atLeast"/>
        </w:trPr>
        <w:tc>
          <w:tcPr>
            <w:tcW w:w="144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2935"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1237"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　</w:t>
            </w:r>
          </w:p>
        </w:tc>
        <w:tc>
          <w:tcPr>
            <w:tcW w:w="850"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ascii="宋体" w:hAnsi="宋体" w:cs="Arial"/>
                <w:color w:val="auto"/>
                <w:kern w:val="0"/>
                <w:sz w:val="16"/>
                <w:szCs w:val="16"/>
              </w:rPr>
              <w:t>39906</w:t>
            </w:r>
          </w:p>
        </w:tc>
        <w:tc>
          <w:tcPr>
            <w:tcW w:w="1638" w:type="dxa"/>
            <w:tcBorders>
              <w:top w:val="single" w:color="auto" w:sz="4" w:space="0"/>
              <w:left w:val="single" w:color="auto" w:sz="4" w:space="0"/>
              <w:bottom w:val="single" w:color="auto" w:sz="4" w:space="0"/>
              <w:right w:val="single" w:color="auto" w:sz="4" w:space="0"/>
            </w:tcBorders>
            <w:vAlign w:val="center"/>
          </w:tcPr>
          <w:p>
            <w:pPr>
              <w:widowControl/>
              <w:jc w:val="left"/>
              <w:rPr>
                <w:rFonts w:ascii="宋体" w:cs="Arial"/>
                <w:color w:val="auto"/>
                <w:kern w:val="0"/>
                <w:sz w:val="16"/>
                <w:szCs w:val="16"/>
              </w:rPr>
            </w:pPr>
            <w:r>
              <w:rPr>
                <w:rFonts w:hint="eastAsia" w:ascii="宋体" w:hAnsi="宋体" w:cs="Arial"/>
                <w:color w:val="auto"/>
                <w:kern w:val="0"/>
                <w:sz w:val="16"/>
                <w:szCs w:val="16"/>
              </w:rPr>
              <w:t>赠与</w:t>
            </w:r>
          </w:p>
        </w:tc>
        <w:tc>
          <w:tcPr>
            <w:tcW w:w="1992" w:type="dxa"/>
            <w:tcBorders>
              <w:top w:val="single" w:color="auto" w:sz="4" w:space="0"/>
              <w:left w:val="single" w:color="auto" w:sz="4" w:space="0"/>
              <w:bottom w:val="single" w:color="auto" w:sz="4" w:space="0"/>
              <w:right w:val="single" w:color="auto" w:sz="4" w:space="0"/>
            </w:tcBorders>
            <w:vAlign w:val="center"/>
          </w:tcPr>
          <w:p>
            <w:pPr>
              <w:widowControl/>
              <w:jc w:val="right"/>
              <w:rPr>
                <w:rFonts w:ascii="宋体" w:cs="Arial"/>
                <w:color w:val="auto"/>
                <w:kern w:val="0"/>
                <w:sz w:val="16"/>
                <w:szCs w:val="16"/>
              </w:rPr>
            </w:pPr>
            <w:r>
              <w:rPr>
                <w:rFonts w:hint="eastAsia" w:ascii="宋体" w:hAnsi="宋体" w:cs="Arial"/>
                <w:color w:val="auto"/>
                <w:kern w:val="0"/>
                <w:sz w:val="16"/>
                <w:szCs w:val="16"/>
              </w:rPr>
              <w:t>　</w:t>
            </w:r>
          </w:p>
        </w:tc>
      </w:tr>
      <w:tr>
        <w:tblPrEx>
          <w:tblCellMar>
            <w:top w:w="0" w:type="dxa"/>
            <w:left w:w="108" w:type="dxa"/>
            <w:bottom w:w="0" w:type="dxa"/>
            <w:right w:w="108" w:type="dxa"/>
          </w:tblCellMar>
        </w:tblPrEx>
        <w:trPr>
          <w:trHeight w:val="255" w:hRule="atLeast"/>
        </w:trPr>
        <w:tc>
          <w:tcPr>
            <w:tcW w:w="4375"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color w:val="auto"/>
                <w:kern w:val="0"/>
                <w:sz w:val="16"/>
                <w:szCs w:val="16"/>
              </w:rPr>
            </w:pPr>
            <w:r>
              <w:rPr>
                <w:rFonts w:hint="eastAsia" w:ascii="宋体" w:hAnsi="宋体" w:cs="Arial"/>
                <w:color w:val="auto"/>
                <w:kern w:val="0"/>
                <w:sz w:val="16"/>
                <w:szCs w:val="16"/>
              </w:rPr>
              <w:t>人员经费合计</w:t>
            </w:r>
          </w:p>
        </w:tc>
        <w:tc>
          <w:tcPr>
            <w:tcW w:w="1237"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color w:val="auto"/>
                <w:kern w:val="0"/>
                <w:sz w:val="16"/>
                <w:szCs w:val="16"/>
              </w:rPr>
            </w:pPr>
            <w:r>
              <w:rPr>
                <w:rFonts w:hint="eastAsia" w:ascii="Arial" w:hAnsi="Arial" w:cs="Arial"/>
                <w:color w:val="auto"/>
                <w:kern w:val="0"/>
                <w:sz w:val="16"/>
                <w:szCs w:val="16"/>
              </w:rPr>
              <w:t>　</w:t>
            </w:r>
            <w:r>
              <w:rPr>
                <w:rFonts w:ascii="Arial" w:hAnsi="Arial" w:cs="Arial"/>
                <w:color w:val="auto"/>
                <w:kern w:val="0"/>
                <w:sz w:val="16"/>
                <w:szCs w:val="16"/>
              </w:rPr>
              <w:t>851.22</w:t>
            </w:r>
          </w:p>
        </w:tc>
        <w:tc>
          <w:tcPr>
            <w:tcW w:w="2488" w:type="dxa"/>
            <w:gridSpan w:val="2"/>
            <w:tcBorders>
              <w:top w:val="single" w:color="auto" w:sz="4" w:space="0"/>
              <w:left w:val="single" w:color="auto" w:sz="4" w:space="0"/>
              <w:bottom w:val="single" w:color="auto" w:sz="4" w:space="0"/>
              <w:right w:val="single" w:color="auto" w:sz="4" w:space="0"/>
            </w:tcBorders>
            <w:vAlign w:val="bottom"/>
          </w:tcPr>
          <w:p>
            <w:pPr>
              <w:widowControl/>
              <w:jc w:val="center"/>
              <w:rPr>
                <w:rFonts w:ascii="宋体" w:cs="Arial"/>
                <w:color w:val="auto"/>
                <w:kern w:val="0"/>
                <w:sz w:val="16"/>
                <w:szCs w:val="16"/>
              </w:rPr>
            </w:pPr>
            <w:r>
              <w:rPr>
                <w:rFonts w:hint="eastAsia" w:ascii="宋体" w:hAnsi="宋体" w:cs="Arial"/>
                <w:color w:val="auto"/>
                <w:kern w:val="0"/>
                <w:sz w:val="16"/>
                <w:szCs w:val="16"/>
              </w:rPr>
              <w:t>公用经费合计</w:t>
            </w:r>
          </w:p>
        </w:tc>
        <w:tc>
          <w:tcPr>
            <w:tcW w:w="1992" w:type="dxa"/>
            <w:tcBorders>
              <w:top w:val="single" w:color="auto" w:sz="4" w:space="0"/>
              <w:left w:val="single" w:color="auto" w:sz="4" w:space="0"/>
              <w:bottom w:val="single" w:color="auto" w:sz="4" w:space="0"/>
              <w:right w:val="single" w:color="auto" w:sz="4" w:space="0"/>
            </w:tcBorders>
            <w:vAlign w:val="bottom"/>
          </w:tcPr>
          <w:p>
            <w:pPr>
              <w:widowControl/>
              <w:jc w:val="left"/>
              <w:rPr>
                <w:rFonts w:ascii="Arial" w:hAnsi="Arial" w:cs="Arial"/>
                <w:color w:val="auto"/>
                <w:kern w:val="0"/>
                <w:sz w:val="16"/>
                <w:szCs w:val="16"/>
              </w:rPr>
            </w:pPr>
            <w:r>
              <w:rPr>
                <w:rFonts w:hint="eastAsia" w:ascii="Arial" w:hAnsi="Arial" w:cs="Arial"/>
                <w:color w:val="auto"/>
                <w:kern w:val="0"/>
                <w:sz w:val="16"/>
                <w:szCs w:val="16"/>
              </w:rPr>
              <w:t>　</w:t>
            </w:r>
            <w:r>
              <w:rPr>
                <w:rFonts w:ascii="Arial" w:hAnsi="Arial" w:cs="Arial"/>
                <w:color w:val="auto"/>
                <w:kern w:val="0"/>
                <w:sz w:val="16"/>
                <w:szCs w:val="16"/>
              </w:rPr>
              <w:t>135.65</w:t>
            </w:r>
          </w:p>
        </w:tc>
      </w:tr>
    </w:tbl>
    <w:p>
      <w:pPr>
        <w:autoSpaceDE w:val="0"/>
        <w:autoSpaceDN w:val="0"/>
        <w:adjustRightInd w:val="0"/>
        <w:spacing w:line="560" w:lineRule="exact"/>
        <w:ind w:firstLine="627"/>
        <w:jc w:val="center"/>
        <w:rPr>
          <w:rFonts w:ascii="??" w:hAnsi="Times New Roman" w:cs="??"/>
          <w:color w:val="auto"/>
          <w:sz w:val="28"/>
          <w:szCs w:val="28"/>
        </w:rPr>
      </w:pPr>
    </w:p>
    <w:p>
      <w:pPr>
        <w:autoSpaceDE w:val="0"/>
        <w:autoSpaceDN w:val="0"/>
        <w:adjustRightInd w:val="0"/>
        <w:spacing w:line="560" w:lineRule="exact"/>
        <w:jc w:val="center"/>
        <w:rPr>
          <w:rFonts w:ascii="??" w:hAnsi="Times New Roman" w:eastAsia="Times New Roman" w:cs="??"/>
          <w:b/>
          <w:color w:val="auto"/>
          <w:sz w:val="32"/>
          <w:szCs w:val="32"/>
        </w:rPr>
      </w:pPr>
      <w:r>
        <w:rPr>
          <w:rFonts w:ascii="??" w:hAnsi="Times New Roman" w:eastAsia="Times New Roman" w:cs="??"/>
          <w:b/>
          <w:color w:val="auto"/>
          <w:sz w:val="32"/>
          <w:szCs w:val="32"/>
        </w:rPr>
        <w:t>2016年度部门政府性基金收入支出决算表</w:t>
      </w:r>
    </w:p>
    <w:tbl>
      <w:tblPr>
        <w:tblStyle w:val="6"/>
        <w:tblW w:w="9428" w:type="dxa"/>
        <w:tblInd w:w="2340" w:type="dxa"/>
        <w:tblLayout w:type="fixed"/>
        <w:tblCellMar>
          <w:top w:w="0" w:type="dxa"/>
          <w:left w:w="108" w:type="dxa"/>
          <w:bottom w:w="0" w:type="dxa"/>
          <w:right w:w="108" w:type="dxa"/>
        </w:tblCellMar>
      </w:tblPr>
      <w:tblGrid>
        <w:gridCol w:w="376"/>
        <w:gridCol w:w="376"/>
        <w:gridCol w:w="376"/>
        <w:gridCol w:w="1460"/>
        <w:gridCol w:w="1240"/>
        <w:gridCol w:w="1080"/>
        <w:gridCol w:w="1120"/>
        <w:gridCol w:w="1100"/>
        <w:gridCol w:w="1060"/>
        <w:gridCol w:w="1240"/>
      </w:tblGrid>
      <w:tr>
        <w:tblPrEx>
          <w:tblCellMar>
            <w:top w:w="0" w:type="dxa"/>
            <w:left w:w="108" w:type="dxa"/>
            <w:bottom w:w="0" w:type="dxa"/>
            <w:right w:w="108" w:type="dxa"/>
          </w:tblCellMar>
        </w:tblPrEx>
        <w:trPr>
          <w:trHeight w:val="255" w:hRule="atLeast"/>
        </w:trPr>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376"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46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24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08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12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10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060" w:type="dxa"/>
            <w:tcBorders>
              <w:top w:val="nil"/>
              <w:left w:val="nil"/>
              <w:bottom w:val="nil"/>
              <w:right w:val="nil"/>
            </w:tcBorders>
            <w:vAlign w:val="bottom"/>
          </w:tcPr>
          <w:p>
            <w:pPr>
              <w:widowControl/>
              <w:jc w:val="left"/>
              <w:rPr>
                <w:rFonts w:ascii="Arial" w:hAnsi="Arial" w:cs="Arial"/>
                <w:color w:val="auto"/>
                <w:kern w:val="0"/>
                <w:sz w:val="16"/>
                <w:szCs w:val="16"/>
              </w:rPr>
            </w:pPr>
          </w:p>
        </w:tc>
        <w:tc>
          <w:tcPr>
            <w:tcW w:w="1240" w:type="dxa"/>
            <w:tcBorders>
              <w:top w:val="nil"/>
              <w:left w:val="nil"/>
              <w:bottom w:val="nil"/>
              <w:right w:val="nil"/>
            </w:tcBorders>
            <w:vAlign w:val="bottom"/>
          </w:tcPr>
          <w:p>
            <w:pPr>
              <w:widowControl/>
              <w:jc w:val="right"/>
              <w:rPr>
                <w:rFonts w:ascii="宋体" w:cs="Arial"/>
                <w:color w:val="auto"/>
                <w:kern w:val="0"/>
                <w:sz w:val="16"/>
                <w:szCs w:val="16"/>
              </w:rPr>
            </w:pPr>
            <w:r>
              <w:rPr>
                <w:rFonts w:hint="eastAsia" w:ascii="宋体" w:hAnsi="宋体" w:cs="Arial"/>
                <w:color w:val="auto"/>
                <w:kern w:val="0"/>
                <w:sz w:val="16"/>
                <w:szCs w:val="16"/>
              </w:rPr>
              <w:t>公开</w:t>
            </w:r>
            <w:r>
              <w:rPr>
                <w:rFonts w:ascii="宋体" w:hAnsi="宋体" w:cs="Arial"/>
                <w:color w:val="auto"/>
                <w:kern w:val="0"/>
                <w:sz w:val="16"/>
                <w:szCs w:val="16"/>
              </w:rPr>
              <w:t>07</w:t>
            </w:r>
            <w:r>
              <w:rPr>
                <w:rFonts w:hint="eastAsia" w:ascii="宋体" w:hAnsi="宋体" w:cs="Arial"/>
                <w:color w:val="auto"/>
                <w:kern w:val="0"/>
                <w:sz w:val="16"/>
                <w:szCs w:val="16"/>
              </w:rPr>
              <w:t>表</w:t>
            </w:r>
          </w:p>
        </w:tc>
      </w:tr>
      <w:tr>
        <w:tblPrEx>
          <w:tblCellMar>
            <w:top w:w="0" w:type="dxa"/>
            <w:left w:w="108" w:type="dxa"/>
            <w:bottom w:w="0" w:type="dxa"/>
            <w:right w:w="108" w:type="dxa"/>
          </w:tblCellMar>
        </w:tblPrEx>
        <w:trPr>
          <w:trHeight w:val="255" w:hRule="atLeast"/>
        </w:trPr>
        <w:tc>
          <w:tcPr>
            <w:tcW w:w="1128" w:type="dxa"/>
            <w:gridSpan w:val="3"/>
            <w:tcBorders>
              <w:top w:val="nil"/>
              <w:left w:val="nil"/>
              <w:bottom w:val="nil"/>
              <w:right w:val="nil"/>
            </w:tcBorders>
            <w:vAlign w:val="bottom"/>
          </w:tcPr>
          <w:p>
            <w:pPr>
              <w:widowControl/>
              <w:jc w:val="left"/>
              <w:rPr>
                <w:rFonts w:ascii="宋体" w:cs="Arial"/>
                <w:color w:val="auto"/>
                <w:kern w:val="0"/>
                <w:sz w:val="18"/>
                <w:szCs w:val="18"/>
              </w:rPr>
            </w:pPr>
            <w:r>
              <w:rPr>
                <w:rFonts w:hint="eastAsia" w:ascii="宋体" w:hAnsi="宋体" w:cs="Arial"/>
                <w:color w:val="auto"/>
                <w:kern w:val="0"/>
                <w:sz w:val="18"/>
                <w:szCs w:val="18"/>
              </w:rPr>
              <w:t>部门：</w:t>
            </w:r>
          </w:p>
        </w:tc>
        <w:tc>
          <w:tcPr>
            <w:tcW w:w="1460" w:type="dxa"/>
            <w:tcBorders>
              <w:top w:val="nil"/>
              <w:left w:val="nil"/>
              <w:bottom w:val="nil"/>
              <w:right w:val="nil"/>
            </w:tcBorders>
            <w:vAlign w:val="bottom"/>
          </w:tcPr>
          <w:p>
            <w:pPr>
              <w:widowControl/>
              <w:jc w:val="left"/>
              <w:rPr>
                <w:rFonts w:ascii="宋体" w:cs="Arial"/>
                <w:color w:val="auto"/>
                <w:kern w:val="0"/>
                <w:sz w:val="18"/>
                <w:szCs w:val="18"/>
              </w:rPr>
            </w:pPr>
            <w:r>
              <w:rPr>
                <w:rFonts w:hint="eastAsia" w:ascii="宋体" w:hAnsi="宋体" w:cs="Arial"/>
                <w:color w:val="auto"/>
                <w:kern w:val="0"/>
                <w:sz w:val="18"/>
                <w:szCs w:val="18"/>
              </w:rPr>
              <w:t>温州市残疾人联合会（汇总）</w:t>
            </w:r>
          </w:p>
        </w:tc>
        <w:tc>
          <w:tcPr>
            <w:tcW w:w="1240" w:type="dxa"/>
            <w:tcBorders>
              <w:top w:val="nil"/>
              <w:left w:val="nil"/>
              <w:bottom w:val="nil"/>
              <w:right w:val="nil"/>
            </w:tcBorders>
            <w:vAlign w:val="bottom"/>
          </w:tcPr>
          <w:p>
            <w:pPr>
              <w:widowControl/>
              <w:jc w:val="left"/>
              <w:rPr>
                <w:rFonts w:ascii="宋体" w:cs="Arial"/>
                <w:color w:val="auto"/>
                <w:kern w:val="0"/>
                <w:sz w:val="18"/>
                <w:szCs w:val="18"/>
              </w:rPr>
            </w:pPr>
          </w:p>
        </w:tc>
        <w:tc>
          <w:tcPr>
            <w:tcW w:w="1080" w:type="dxa"/>
            <w:tcBorders>
              <w:top w:val="nil"/>
              <w:left w:val="nil"/>
              <w:bottom w:val="nil"/>
              <w:right w:val="nil"/>
            </w:tcBorders>
            <w:vAlign w:val="bottom"/>
          </w:tcPr>
          <w:p>
            <w:pPr>
              <w:widowControl/>
              <w:jc w:val="left"/>
              <w:rPr>
                <w:rFonts w:ascii="宋体" w:cs="Arial"/>
                <w:color w:val="auto"/>
                <w:kern w:val="0"/>
                <w:sz w:val="18"/>
                <w:szCs w:val="18"/>
              </w:rPr>
            </w:pPr>
          </w:p>
        </w:tc>
        <w:tc>
          <w:tcPr>
            <w:tcW w:w="1120" w:type="dxa"/>
            <w:tcBorders>
              <w:top w:val="nil"/>
              <w:left w:val="nil"/>
              <w:bottom w:val="nil"/>
              <w:right w:val="nil"/>
            </w:tcBorders>
            <w:vAlign w:val="bottom"/>
          </w:tcPr>
          <w:p>
            <w:pPr>
              <w:widowControl/>
              <w:jc w:val="left"/>
              <w:rPr>
                <w:rFonts w:ascii="宋体" w:cs="Arial"/>
                <w:color w:val="auto"/>
                <w:kern w:val="0"/>
                <w:sz w:val="18"/>
                <w:szCs w:val="18"/>
              </w:rPr>
            </w:pPr>
          </w:p>
        </w:tc>
        <w:tc>
          <w:tcPr>
            <w:tcW w:w="1100" w:type="dxa"/>
            <w:tcBorders>
              <w:top w:val="nil"/>
              <w:left w:val="nil"/>
              <w:bottom w:val="nil"/>
              <w:right w:val="nil"/>
            </w:tcBorders>
            <w:vAlign w:val="bottom"/>
          </w:tcPr>
          <w:p>
            <w:pPr>
              <w:widowControl/>
              <w:jc w:val="left"/>
              <w:rPr>
                <w:rFonts w:ascii="宋体" w:cs="Arial"/>
                <w:color w:val="auto"/>
                <w:kern w:val="0"/>
                <w:sz w:val="18"/>
                <w:szCs w:val="18"/>
              </w:rPr>
            </w:pPr>
          </w:p>
        </w:tc>
        <w:tc>
          <w:tcPr>
            <w:tcW w:w="1060" w:type="dxa"/>
            <w:tcBorders>
              <w:top w:val="nil"/>
              <w:left w:val="nil"/>
              <w:bottom w:val="nil"/>
              <w:right w:val="nil"/>
            </w:tcBorders>
            <w:vAlign w:val="bottom"/>
          </w:tcPr>
          <w:p>
            <w:pPr>
              <w:widowControl/>
              <w:jc w:val="left"/>
              <w:rPr>
                <w:rFonts w:ascii="宋体" w:cs="Arial"/>
                <w:color w:val="auto"/>
                <w:kern w:val="0"/>
                <w:sz w:val="18"/>
                <w:szCs w:val="18"/>
              </w:rPr>
            </w:pPr>
          </w:p>
        </w:tc>
        <w:tc>
          <w:tcPr>
            <w:tcW w:w="1240" w:type="dxa"/>
            <w:tcBorders>
              <w:top w:val="nil"/>
              <w:left w:val="nil"/>
              <w:bottom w:val="nil"/>
              <w:right w:val="nil"/>
            </w:tcBorders>
            <w:vAlign w:val="bottom"/>
          </w:tcPr>
          <w:p>
            <w:pPr>
              <w:widowControl/>
              <w:jc w:val="right"/>
              <w:rPr>
                <w:rFonts w:ascii="宋体" w:cs="Arial"/>
                <w:color w:val="auto"/>
                <w:kern w:val="0"/>
                <w:sz w:val="18"/>
                <w:szCs w:val="18"/>
              </w:rPr>
            </w:pPr>
            <w:r>
              <w:rPr>
                <w:rFonts w:hint="eastAsia" w:ascii="宋体" w:hAnsi="宋体" w:cs="Arial"/>
                <w:color w:val="auto"/>
                <w:kern w:val="0"/>
                <w:sz w:val="18"/>
                <w:szCs w:val="18"/>
              </w:rPr>
              <w:t>金额单位：万元</w:t>
            </w:r>
          </w:p>
        </w:tc>
      </w:tr>
      <w:tr>
        <w:tblPrEx>
          <w:tblCellMar>
            <w:top w:w="0" w:type="dxa"/>
            <w:left w:w="108" w:type="dxa"/>
            <w:bottom w:w="0" w:type="dxa"/>
            <w:right w:w="108" w:type="dxa"/>
          </w:tblCellMar>
        </w:tblPrEx>
        <w:trPr>
          <w:trHeight w:val="308" w:hRule="atLeast"/>
        </w:trPr>
        <w:tc>
          <w:tcPr>
            <w:tcW w:w="1128" w:type="dxa"/>
            <w:gridSpan w:val="3"/>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科目编码</w:t>
            </w:r>
          </w:p>
        </w:tc>
        <w:tc>
          <w:tcPr>
            <w:tcW w:w="146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科目名称</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年初结余和结转</w:t>
            </w:r>
          </w:p>
        </w:tc>
        <w:tc>
          <w:tcPr>
            <w:tcW w:w="108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本年收入</w:t>
            </w:r>
          </w:p>
        </w:tc>
        <w:tc>
          <w:tcPr>
            <w:tcW w:w="3280" w:type="dxa"/>
            <w:gridSpan w:val="3"/>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本年支出</w:t>
            </w:r>
          </w:p>
        </w:tc>
        <w:tc>
          <w:tcPr>
            <w:tcW w:w="1240" w:type="dxa"/>
            <w:vMerge w:val="restart"/>
            <w:tcBorders>
              <w:top w:val="single" w:color="000000" w:sz="8" w:space="0"/>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年末结余结转</w:t>
            </w:r>
          </w:p>
        </w:tc>
      </w:tr>
      <w:tr>
        <w:tblPrEx>
          <w:tblCellMar>
            <w:top w:w="0" w:type="dxa"/>
            <w:left w:w="108" w:type="dxa"/>
            <w:bottom w:w="0" w:type="dxa"/>
            <w:right w:w="108" w:type="dxa"/>
          </w:tblCellMar>
        </w:tblPrEx>
        <w:trPr>
          <w:trHeight w:val="308" w:hRule="atLeast"/>
        </w:trPr>
        <w:tc>
          <w:tcPr>
            <w:tcW w:w="1128" w:type="dxa"/>
            <w:gridSpan w:val="3"/>
            <w:vMerge w:val="continue"/>
            <w:tcBorders>
              <w:top w:val="single" w:color="000000" w:sz="8" w:space="0"/>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46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08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小</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基本支出</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项目支出</w:t>
            </w:r>
          </w:p>
        </w:tc>
        <w:tc>
          <w:tcPr>
            <w:tcW w:w="1240" w:type="dxa"/>
            <w:vMerge w:val="continue"/>
            <w:tcBorders>
              <w:top w:val="single" w:color="000000" w:sz="8" w:space="0"/>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类</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款</w:t>
            </w:r>
          </w:p>
        </w:tc>
        <w:tc>
          <w:tcPr>
            <w:tcW w:w="376"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项</w:t>
            </w:r>
          </w:p>
        </w:tc>
        <w:tc>
          <w:tcPr>
            <w:tcW w:w="1460" w:type="dxa"/>
            <w:vMerge w:val="restart"/>
            <w:tcBorders>
              <w:top w:val="nil"/>
              <w:left w:val="nil"/>
              <w:bottom w:val="single" w:color="000000" w:sz="4" w:space="0"/>
              <w:right w:val="single" w:color="000000" w:sz="4" w:space="0"/>
            </w:tcBorders>
            <w:shd w:val="clear" w:color="FFFFFF" w:fill="FFFFFF"/>
            <w:vAlign w:val="center"/>
          </w:tcPr>
          <w:p>
            <w:pPr>
              <w:widowControl/>
              <w:jc w:val="center"/>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1</w:t>
            </w:r>
          </w:p>
        </w:tc>
        <w:tc>
          <w:tcPr>
            <w:tcW w:w="108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2</w:t>
            </w:r>
          </w:p>
        </w:tc>
        <w:tc>
          <w:tcPr>
            <w:tcW w:w="112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3</w:t>
            </w:r>
          </w:p>
        </w:tc>
        <w:tc>
          <w:tcPr>
            <w:tcW w:w="110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4</w:t>
            </w:r>
          </w:p>
        </w:tc>
        <w:tc>
          <w:tcPr>
            <w:tcW w:w="106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5</w:t>
            </w:r>
          </w:p>
        </w:tc>
        <w:tc>
          <w:tcPr>
            <w:tcW w:w="1240" w:type="dxa"/>
            <w:tcBorders>
              <w:top w:val="nil"/>
              <w:left w:val="nil"/>
              <w:bottom w:val="single" w:color="000000" w:sz="4" w:space="0"/>
              <w:right w:val="single" w:color="000000" w:sz="4" w:space="0"/>
            </w:tcBorders>
            <w:shd w:val="clear" w:color="FFFFFF" w:fill="FFFFFF"/>
            <w:vAlign w:val="center"/>
          </w:tcPr>
          <w:p>
            <w:pPr>
              <w:widowControl/>
              <w:jc w:val="center"/>
              <w:rPr>
                <w:rFonts w:ascii="宋体" w:hAnsi="宋体" w:cs="Arial"/>
                <w:color w:val="auto"/>
                <w:kern w:val="0"/>
                <w:sz w:val="18"/>
                <w:szCs w:val="18"/>
              </w:rPr>
            </w:pPr>
            <w:r>
              <w:rPr>
                <w:rFonts w:ascii="宋体" w:hAnsi="宋体" w:cs="Arial"/>
                <w:color w:val="auto"/>
                <w:kern w:val="0"/>
                <w:sz w:val="18"/>
                <w:szCs w:val="18"/>
              </w:rPr>
              <w:t>6</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376"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460" w:type="dxa"/>
            <w:vMerge w:val="continue"/>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shd w:val="clear" w:color="000000" w:fill="FFFFFF"/>
            <w:vAlign w:val="center"/>
          </w:tcPr>
          <w:p>
            <w:pPr>
              <w:widowControl/>
              <w:jc w:val="center"/>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ascii="宋体" w:hAnsi="宋体" w:cs="Arial"/>
                <w:color w:val="auto"/>
                <w:kern w:val="0"/>
                <w:sz w:val="18"/>
                <w:szCs w:val="18"/>
              </w:rPr>
              <w:t>905.41</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shd w:val="clear" w:color="000000" w:fill="FFFFFF"/>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2120899</w:t>
            </w:r>
          </w:p>
        </w:tc>
        <w:tc>
          <w:tcPr>
            <w:tcW w:w="1460" w:type="dxa"/>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其他国有土地使用权出让收入安排的支出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510.97</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r>
        <w:tblPrEx>
          <w:tblCellMar>
            <w:top w:w="0" w:type="dxa"/>
            <w:left w:w="108" w:type="dxa"/>
            <w:bottom w:w="0" w:type="dxa"/>
            <w:right w:w="108" w:type="dxa"/>
          </w:tblCellMar>
        </w:tblPrEx>
        <w:trPr>
          <w:trHeight w:val="308" w:hRule="atLeast"/>
        </w:trPr>
        <w:tc>
          <w:tcPr>
            <w:tcW w:w="1128" w:type="dxa"/>
            <w:gridSpan w:val="3"/>
            <w:tcBorders>
              <w:top w:val="single" w:color="000000" w:sz="4" w:space="0"/>
              <w:left w:val="single" w:color="000000" w:sz="8" w:space="0"/>
              <w:bottom w:val="single" w:color="000000" w:sz="4" w:space="0"/>
              <w:right w:val="single" w:color="000000" w:sz="4" w:space="0"/>
            </w:tcBorders>
            <w:vAlign w:val="center"/>
          </w:tcPr>
          <w:p>
            <w:pPr>
              <w:widowControl/>
              <w:jc w:val="left"/>
              <w:rPr>
                <w:rFonts w:ascii="宋体" w:hAnsi="宋体" w:cs="Arial"/>
                <w:color w:val="auto"/>
                <w:kern w:val="0"/>
                <w:sz w:val="18"/>
                <w:szCs w:val="18"/>
              </w:rPr>
            </w:pPr>
            <w:r>
              <w:rPr>
                <w:rFonts w:hint="eastAsia" w:ascii="宋体" w:hAnsi="宋体" w:cs="Arial"/>
                <w:color w:val="auto"/>
                <w:kern w:val="0"/>
                <w:sz w:val="18"/>
                <w:szCs w:val="18"/>
              </w:rPr>
              <w:t>　</w:t>
            </w:r>
            <w:r>
              <w:rPr>
                <w:rFonts w:ascii="宋体" w:hAnsi="宋体" w:cs="Arial"/>
                <w:color w:val="auto"/>
                <w:kern w:val="0"/>
                <w:sz w:val="18"/>
                <w:szCs w:val="18"/>
              </w:rPr>
              <w:t>2290400</w:t>
            </w:r>
          </w:p>
        </w:tc>
        <w:tc>
          <w:tcPr>
            <w:tcW w:w="1460" w:type="dxa"/>
            <w:tcBorders>
              <w:top w:val="nil"/>
              <w:left w:val="nil"/>
              <w:bottom w:val="single" w:color="000000" w:sz="4" w:space="0"/>
              <w:right w:val="single" w:color="000000" w:sz="4" w:space="0"/>
            </w:tcBorders>
            <w:vAlign w:val="center"/>
          </w:tcPr>
          <w:p>
            <w:pPr>
              <w:widowControl/>
              <w:jc w:val="left"/>
              <w:rPr>
                <w:rFonts w:ascii="宋体" w:cs="Arial"/>
                <w:color w:val="auto"/>
                <w:kern w:val="0"/>
                <w:sz w:val="18"/>
                <w:szCs w:val="18"/>
              </w:rPr>
            </w:pPr>
            <w:r>
              <w:rPr>
                <w:rFonts w:hint="eastAsia" w:ascii="宋体" w:hAnsi="宋体" w:cs="Arial"/>
                <w:color w:val="auto"/>
                <w:kern w:val="0"/>
                <w:sz w:val="18"/>
                <w:szCs w:val="18"/>
              </w:rPr>
              <w:t>　其他政府性基金及对应专项债务收入安排的支出</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8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12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10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c>
          <w:tcPr>
            <w:tcW w:w="106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ascii="宋体" w:hAnsi="宋体" w:cs="Arial"/>
                <w:color w:val="auto"/>
                <w:kern w:val="0"/>
                <w:sz w:val="18"/>
                <w:szCs w:val="18"/>
              </w:rPr>
              <w:t>394.44</w:t>
            </w:r>
            <w:r>
              <w:rPr>
                <w:rFonts w:hint="eastAsia" w:ascii="宋体" w:hAnsi="宋体" w:cs="Arial"/>
                <w:color w:val="auto"/>
                <w:kern w:val="0"/>
                <w:sz w:val="18"/>
                <w:szCs w:val="18"/>
              </w:rPr>
              <w:t>　</w:t>
            </w:r>
          </w:p>
        </w:tc>
        <w:tc>
          <w:tcPr>
            <w:tcW w:w="1240" w:type="dxa"/>
            <w:tcBorders>
              <w:top w:val="nil"/>
              <w:left w:val="nil"/>
              <w:bottom w:val="single" w:color="000000" w:sz="4" w:space="0"/>
              <w:right w:val="single" w:color="000000" w:sz="4" w:space="0"/>
            </w:tcBorders>
            <w:vAlign w:val="center"/>
          </w:tcPr>
          <w:p>
            <w:pPr>
              <w:widowControl/>
              <w:jc w:val="right"/>
              <w:rPr>
                <w:rFonts w:ascii="宋体" w:cs="Arial"/>
                <w:color w:val="auto"/>
                <w:kern w:val="0"/>
                <w:sz w:val="18"/>
                <w:szCs w:val="18"/>
              </w:rPr>
            </w:pPr>
            <w:r>
              <w:rPr>
                <w:rFonts w:hint="eastAsia" w:ascii="宋体" w:hAnsi="宋体" w:cs="Arial"/>
                <w:color w:val="auto"/>
                <w:kern w:val="0"/>
                <w:sz w:val="18"/>
                <w:szCs w:val="18"/>
              </w:rPr>
              <w:t>　</w:t>
            </w:r>
          </w:p>
        </w:tc>
      </w:tr>
    </w:tbl>
    <w:p>
      <w:pPr>
        <w:tabs>
          <w:tab w:val="left" w:pos="6720"/>
        </w:tabs>
        <w:autoSpaceDE w:val="0"/>
        <w:autoSpaceDN w:val="0"/>
        <w:adjustRightInd w:val="0"/>
        <w:spacing w:line="560" w:lineRule="exact"/>
        <w:jc w:val="center"/>
        <w:rPr>
          <w:rFonts w:ascii="??" w:hAnsi="Times New Roman" w:cs="??"/>
          <w:b/>
          <w:color w:val="auto"/>
          <w:sz w:val="32"/>
          <w:szCs w:val="32"/>
        </w:rPr>
      </w:pPr>
      <w:r>
        <w:rPr>
          <w:rFonts w:ascii="??" w:hAnsi="Times New Roman" w:eastAsia="Times New Roman" w:cs="??"/>
          <w:b/>
          <w:color w:val="auto"/>
          <w:sz w:val="32"/>
          <w:szCs w:val="32"/>
        </w:rPr>
        <w:t>2016年度部门“三公”经费决算表</w:t>
      </w:r>
      <w:r>
        <w:rPr>
          <w:rFonts w:ascii="??" w:hAnsi="Times New Roman" w:eastAsia="Times New Roman" w:cs="??"/>
          <w:color w:val="auto"/>
          <w:szCs w:val="21"/>
        </w:rPr>
        <w:t>(“三公”经费决算数与部门预算“三公”经费公开的资金性质口径一致)</w:t>
      </w:r>
    </w:p>
    <w:tbl>
      <w:tblPr>
        <w:tblStyle w:val="6"/>
        <w:tblW w:w="8835" w:type="dxa"/>
        <w:tblInd w:w="2070" w:type="dxa"/>
        <w:tblLayout w:type="fixed"/>
        <w:tblCellMar>
          <w:top w:w="0" w:type="dxa"/>
          <w:left w:w="108" w:type="dxa"/>
          <w:bottom w:w="0" w:type="dxa"/>
          <w:right w:w="108" w:type="dxa"/>
        </w:tblCellMar>
      </w:tblPr>
      <w:tblGrid>
        <w:gridCol w:w="3060"/>
        <w:gridCol w:w="15"/>
        <w:gridCol w:w="3060"/>
        <w:gridCol w:w="2700"/>
      </w:tblGrid>
      <w:tr>
        <w:tblPrEx>
          <w:tblCellMar>
            <w:top w:w="0" w:type="dxa"/>
            <w:left w:w="108" w:type="dxa"/>
            <w:bottom w:w="0" w:type="dxa"/>
            <w:right w:w="108" w:type="dxa"/>
          </w:tblCellMar>
        </w:tblPrEx>
        <w:trPr>
          <w:trHeight w:val="255" w:hRule="atLeast"/>
        </w:trPr>
        <w:tc>
          <w:tcPr>
            <w:tcW w:w="3075" w:type="dxa"/>
            <w:gridSpan w:val="2"/>
            <w:tcBorders>
              <w:top w:val="nil"/>
              <w:left w:val="nil"/>
              <w:bottom w:val="nil"/>
              <w:right w:val="nil"/>
            </w:tcBorders>
          </w:tcPr>
          <w:p>
            <w:pPr>
              <w:rPr>
                <w:rFonts w:ascii="Arial" w:hAnsi="Arial" w:cs="Arial"/>
                <w:color w:val="auto"/>
                <w:sz w:val="20"/>
                <w:szCs w:val="20"/>
              </w:rPr>
            </w:pPr>
          </w:p>
        </w:tc>
        <w:tc>
          <w:tcPr>
            <w:tcW w:w="3060" w:type="dxa"/>
            <w:tcBorders>
              <w:top w:val="nil"/>
              <w:left w:val="nil"/>
              <w:bottom w:val="nil"/>
              <w:right w:val="nil"/>
            </w:tcBorders>
            <w:vAlign w:val="bottom"/>
          </w:tcPr>
          <w:p>
            <w:pPr>
              <w:rPr>
                <w:rFonts w:ascii="Arial" w:hAnsi="Arial" w:cs="Arial"/>
                <w:color w:val="auto"/>
                <w:sz w:val="20"/>
                <w:szCs w:val="20"/>
              </w:rPr>
            </w:pPr>
          </w:p>
        </w:tc>
        <w:tc>
          <w:tcPr>
            <w:tcW w:w="2700" w:type="dxa"/>
            <w:tcBorders>
              <w:top w:val="nil"/>
              <w:left w:val="nil"/>
              <w:bottom w:val="nil"/>
              <w:right w:val="nil"/>
            </w:tcBorders>
            <w:vAlign w:val="bottom"/>
          </w:tcPr>
          <w:p>
            <w:pPr>
              <w:rPr>
                <w:rFonts w:ascii="宋体" w:cs="Arial"/>
                <w:color w:val="auto"/>
                <w:sz w:val="15"/>
                <w:szCs w:val="15"/>
              </w:rPr>
            </w:pPr>
            <w:r>
              <w:rPr>
                <w:rFonts w:hint="eastAsia" w:cs="Arial"/>
                <w:color w:val="auto"/>
                <w:sz w:val="15"/>
                <w:szCs w:val="15"/>
              </w:rPr>
              <w:t>公开</w:t>
            </w:r>
            <w:r>
              <w:rPr>
                <w:rFonts w:cs="Arial"/>
                <w:color w:val="auto"/>
                <w:sz w:val="15"/>
                <w:szCs w:val="15"/>
              </w:rPr>
              <w:t>08</w:t>
            </w:r>
            <w:r>
              <w:rPr>
                <w:rFonts w:hint="eastAsia" w:cs="Arial"/>
                <w:color w:val="auto"/>
                <w:sz w:val="15"/>
                <w:szCs w:val="15"/>
              </w:rPr>
              <w:t>表</w:t>
            </w:r>
          </w:p>
        </w:tc>
      </w:tr>
      <w:tr>
        <w:tblPrEx>
          <w:tblCellMar>
            <w:top w:w="0" w:type="dxa"/>
            <w:left w:w="108" w:type="dxa"/>
            <w:bottom w:w="0" w:type="dxa"/>
            <w:right w:w="108" w:type="dxa"/>
          </w:tblCellMar>
        </w:tblPrEx>
        <w:trPr>
          <w:trHeight w:val="270" w:hRule="atLeast"/>
        </w:trPr>
        <w:tc>
          <w:tcPr>
            <w:tcW w:w="3075" w:type="dxa"/>
            <w:gridSpan w:val="2"/>
            <w:tcBorders>
              <w:top w:val="nil"/>
              <w:left w:val="nil"/>
              <w:bottom w:val="nil"/>
              <w:right w:val="nil"/>
            </w:tcBorders>
          </w:tcPr>
          <w:p>
            <w:pPr>
              <w:rPr>
                <w:rFonts w:cs="Arial"/>
                <w:color w:val="auto"/>
                <w:sz w:val="18"/>
                <w:szCs w:val="18"/>
              </w:rPr>
            </w:pPr>
            <w:r>
              <w:rPr>
                <w:rFonts w:hint="eastAsia" w:cs="Arial"/>
                <w:color w:val="auto"/>
                <w:sz w:val="18"/>
                <w:szCs w:val="18"/>
              </w:rPr>
              <w:t>部门：温州市残疾人联合会（汇总）</w:t>
            </w:r>
          </w:p>
        </w:tc>
        <w:tc>
          <w:tcPr>
            <w:tcW w:w="3060" w:type="dxa"/>
            <w:tcBorders>
              <w:top w:val="nil"/>
              <w:left w:val="nil"/>
              <w:bottom w:val="nil"/>
              <w:right w:val="nil"/>
            </w:tcBorders>
            <w:vAlign w:val="bottom"/>
          </w:tcPr>
          <w:p>
            <w:pPr>
              <w:rPr>
                <w:rFonts w:ascii="宋体" w:cs="Arial"/>
                <w:color w:val="auto"/>
                <w:sz w:val="18"/>
                <w:szCs w:val="18"/>
              </w:rPr>
            </w:pPr>
          </w:p>
        </w:tc>
        <w:tc>
          <w:tcPr>
            <w:tcW w:w="2700" w:type="dxa"/>
            <w:tcBorders>
              <w:top w:val="nil"/>
              <w:left w:val="nil"/>
              <w:bottom w:val="single" w:color="000000" w:sz="8" w:space="0"/>
              <w:right w:val="nil"/>
            </w:tcBorders>
            <w:vAlign w:val="bottom"/>
          </w:tcPr>
          <w:p>
            <w:pPr>
              <w:rPr>
                <w:rFonts w:ascii="宋体" w:cs="Arial"/>
                <w:color w:val="auto"/>
                <w:sz w:val="18"/>
                <w:szCs w:val="18"/>
              </w:rPr>
            </w:pPr>
            <w:r>
              <w:rPr>
                <w:rFonts w:hint="eastAsia" w:cs="Arial"/>
                <w:color w:val="auto"/>
                <w:sz w:val="18"/>
                <w:szCs w:val="18"/>
              </w:rPr>
              <w:t>金额单位：万元</w:t>
            </w:r>
          </w:p>
        </w:tc>
      </w:tr>
      <w:tr>
        <w:tblPrEx>
          <w:tblCellMar>
            <w:top w:w="0" w:type="dxa"/>
            <w:left w:w="108" w:type="dxa"/>
            <w:bottom w:w="0" w:type="dxa"/>
            <w:right w:w="108" w:type="dxa"/>
          </w:tblCellMar>
        </w:tblPrEx>
        <w:trPr>
          <w:trHeight w:val="611"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项</w:t>
            </w:r>
            <w:r>
              <w:rPr>
                <w:rFonts w:ascii="宋体" w:hAnsi="宋体" w:cs="Arial"/>
                <w:color w:val="auto"/>
                <w:kern w:val="0"/>
                <w:sz w:val="18"/>
                <w:szCs w:val="18"/>
              </w:rPr>
              <w:t xml:space="preserve">   </w:t>
            </w:r>
            <w:r>
              <w:rPr>
                <w:rFonts w:hint="eastAsia" w:ascii="宋体" w:hAnsi="宋体" w:cs="Arial"/>
                <w:color w:val="auto"/>
                <w:kern w:val="0"/>
                <w:sz w:val="18"/>
                <w:szCs w:val="18"/>
              </w:rPr>
              <w:t>目</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p>
            <w:pPr>
              <w:widowControl/>
              <w:rPr>
                <w:rFonts w:ascii="宋体" w:cs="Arial"/>
                <w:color w:val="auto"/>
                <w:kern w:val="0"/>
                <w:sz w:val="18"/>
                <w:szCs w:val="18"/>
              </w:rPr>
            </w:pPr>
            <w:r>
              <w:rPr>
                <w:rFonts w:hint="eastAsia" w:ascii="宋体" w:hAnsi="宋体" w:cs="Arial"/>
                <w:color w:val="auto"/>
                <w:kern w:val="0"/>
                <w:sz w:val="18"/>
                <w:szCs w:val="18"/>
              </w:rPr>
              <w:t>预算数</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决算数</w:t>
            </w: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合</w:t>
            </w:r>
            <w:r>
              <w:rPr>
                <w:rFonts w:ascii="宋体" w:hAnsi="宋体" w:cs="Arial"/>
                <w:color w:val="auto"/>
                <w:kern w:val="0"/>
                <w:sz w:val="18"/>
                <w:szCs w:val="18"/>
              </w:rPr>
              <w:t xml:space="preserve">   </w:t>
            </w:r>
            <w:r>
              <w:rPr>
                <w:rFonts w:hint="eastAsia" w:ascii="宋体" w:hAnsi="宋体" w:cs="Arial"/>
                <w:color w:val="auto"/>
                <w:kern w:val="0"/>
                <w:sz w:val="18"/>
                <w:szCs w:val="18"/>
              </w:rPr>
              <w:t>计</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hint="eastAsia" w:ascii="宋体" w:eastAsia="宋体" w:cs="Arial"/>
                <w:color w:val="auto"/>
                <w:kern w:val="0"/>
                <w:sz w:val="18"/>
                <w:szCs w:val="18"/>
                <w:lang w:eastAsia="zh-CN"/>
              </w:rPr>
            </w:pPr>
            <w:r>
              <w:rPr>
                <w:rFonts w:hint="eastAsia" w:ascii="宋体" w:hAnsi="宋体" w:cs="Arial"/>
                <w:color w:val="auto"/>
                <w:kern w:val="0"/>
                <w:sz w:val="18"/>
                <w:szCs w:val="18"/>
                <w:lang w:val="en-US" w:eastAsia="zh-CN"/>
              </w:rPr>
              <w:t>11.7</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4.37</w:t>
            </w: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1.</w:t>
            </w:r>
            <w:r>
              <w:rPr>
                <w:rFonts w:hint="eastAsia" w:ascii="宋体" w:hAnsi="宋体" w:cs="Arial"/>
                <w:color w:val="auto"/>
                <w:kern w:val="0"/>
                <w:sz w:val="18"/>
                <w:szCs w:val="18"/>
              </w:rPr>
              <w:t>因公出国（境）费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r>
              <w:rPr>
                <w:rFonts w:ascii="宋体" w:hAnsi="宋体" w:cs="Arial"/>
                <w:color w:val="auto"/>
                <w:kern w:val="0"/>
                <w:sz w:val="18"/>
                <w:szCs w:val="18"/>
              </w:rPr>
              <w:t>4</w:t>
            </w:r>
            <w:r>
              <w:rPr>
                <w:rFonts w:hint="eastAsia" w:ascii="宋体" w:hAnsi="宋体" w:cs="Arial"/>
                <w:color w:val="auto"/>
                <w:kern w:val="0"/>
                <w:sz w:val="18"/>
                <w:szCs w:val="18"/>
                <w:lang w:val="en-US" w:eastAsia="zh-CN"/>
              </w:rPr>
              <w:t>.9</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3.34</w:t>
            </w: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2.</w:t>
            </w:r>
            <w:r>
              <w:rPr>
                <w:rFonts w:hint="eastAsia" w:ascii="宋体" w:hAnsi="宋体" w:cs="Arial"/>
                <w:color w:val="auto"/>
                <w:kern w:val="0"/>
                <w:sz w:val="18"/>
                <w:szCs w:val="18"/>
              </w:rPr>
              <w:t>公务接待费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hint="eastAsia" w:ascii="宋体" w:eastAsia="宋体" w:cs="Arial"/>
                <w:color w:val="auto"/>
                <w:kern w:val="0"/>
                <w:sz w:val="18"/>
                <w:szCs w:val="18"/>
                <w:lang w:eastAsia="zh-CN"/>
              </w:rPr>
            </w:pPr>
            <w:r>
              <w:rPr>
                <w:rFonts w:hint="eastAsia" w:ascii="宋体" w:hAnsi="宋体" w:cs="Arial"/>
                <w:color w:val="auto"/>
                <w:kern w:val="0"/>
                <w:sz w:val="18"/>
                <w:szCs w:val="18"/>
                <w:lang w:val="en-US" w:eastAsia="zh-CN"/>
              </w:rPr>
              <w:t>6.8</w:t>
            </w: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1.03</w:t>
            </w: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ascii="宋体" w:hAnsi="宋体" w:cs="Arial"/>
                <w:color w:val="auto"/>
                <w:kern w:val="0"/>
                <w:sz w:val="18"/>
                <w:szCs w:val="18"/>
              </w:rPr>
              <w:t>3.</w:t>
            </w:r>
            <w:r>
              <w:rPr>
                <w:rFonts w:hint="eastAsia" w:ascii="宋体" w:hAnsi="宋体" w:cs="Arial"/>
                <w:color w:val="auto"/>
                <w:kern w:val="0"/>
                <w:sz w:val="18"/>
                <w:szCs w:val="18"/>
              </w:rPr>
              <w:t>公务用车购置及运行费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其中：公务用车购置费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r>
        <w:tblPrEx>
          <w:tblCellMar>
            <w:top w:w="0" w:type="dxa"/>
            <w:left w:w="108" w:type="dxa"/>
            <w:bottom w:w="0" w:type="dxa"/>
            <w:right w:w="108" w:type="dxa"/>
          </w:tblCellMar>
        </w:tblPrEx>
        <w:trPr>
          <w:trHeight w:val="402" w:hRule="atLeast"/>
        </w:trPr>
        <w:tc>
          <w:tcPr>
            <w:tcW w:w="306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r>
              <w:rPr>
                <w:rFonts w:hint="eastAsia" w:ascii="宋体" w:hAnsi="宋体" w:cs="Arial"/>
                <w:color w:val="auto"/>
                <w:kern w:val="0"/>
                <w:sz w:val="18"/>
                <w:szCs w:val="18"/>
              </w:rPr>
              <w:t>公务用车运行维护费</w:t>
            </w:r>
          </w:p>
        </w:tc>
        <w:tc>
          <w:tcPr>
            <w:tcW w:w="3075" w:type="dxa"/>
            <w:gridSpan w:val="2"/>
            <w:tcBorders>
              <w:top w:val="single" w:color="000000" w:sz="8" w:space="0"/>
              <w:left w:val="single" w:color="000000" w:sz="8" w:space="0"/>
              <w:bottom w:val="single" w:color="000000" w:sz="8" w:space="0"/>
              <w:right w:val="single" w:color="000000" w:sz="8" w:space="0"/>
            </w:tcBorders>
            <w:shd w:val="clear" w:color="auto" w:fill="FFFFFF"/>
          </w:tcPr>
          <w:p>
            <w:pPr>
              <w:widowControl/>
              <w:rPr>
                <w:rFonts w:ascii="宋体" w:cs="Arial"/>
                <w:color w:val="auto"/>
                <w:kern w:val="0"/>
                <w:sz w:val="18"/>
                <w:szCs w:val="18"/>
              </w:rPr>
            </w:pPr>
          </w:p>
        </w:tc>
        <w:tc>
          <w:tcPr>
            <w:tcW w:w="2700" w:type="dxa"/>
            <w:tcBorders>
              <w:top w:val="single" w:color="000000" w:sz="8" w:space="0"/>
              <w:left w:val="single" w:color="000000" w:sz="8" w:space="0"/>
              <w:bottom w:val="single" w:color="000000" w:sz="8" w:space="0"/>
              <w:right w:val="single" w:color="000000" w:sz="8" w:space="0"/>
            </w:tcBorders>
            <w:shd w:val="clear" w:color="auto" w:fill="FFFFFF"/>
            <w:vAlign w:val="center"/>
          </w:tcPr>
          <w:p>
            <w:pPr>
              <w:widowControl/>
              <w:rPr>
                <w:rFonts w:ascii="宋体" w:cs="Arial"/>
                <w:color w:val="auto"/>
                <w:kern w:val="0"/>
                <w:sz w:val="18"/>
                <w:szCs w:val="18"/>
              </w:rPr>
            </w:pPr>
          </w:p>
        </w:tc>
      </w:tr>
    </w:tbl>
    <w:p>
      <w:pPr>
        <w:autoSpaceDE w:val="0"/>
        <w:autoSpaceDN w:val="0"/>
        <w:adjustRightInd w:val="0"/>
        <w:spacing w:line="560" w:lineRule="exact"/>
        <w:rPr>
          <w:rFonts w:ascii="??" w:hAnsi="Times New Roman" w:eastAsia="Times New Roman" w:cs="??"/>
          <w:color w:val="auto"/>
          <w:sz w:val="32"/>
          <w:szCs w:val="32"/>
        </w:rPr>
        <w:sectPr>
          <w:pgSz w:w="15840" w:h="12240" w:orient="landscape"/>
          <w:pgMar w:top="1797" w:right="1440" w:bottom="1797" w:left="1440" w:header="720" w:footer="720" w:gutter="0"/>
          <w:cols w:space="720" w:num="1"/>
        </w:sectPr>
      </w:pPr>
    </w:p>
    <w:p>
      <w:pPr>
        <w:spacing w:line="600" w:lineRule="exact"/>
        <w:ind w:firstLine="630"/>
        <w:rPr>
          <w:rFonts w:ascii="黑体" w:hAnsi="黑体" w:eastAsia="黑体"/>
          <w:color w:val="auto"/>
          <w:sz w:val="32"/>
          <w:szCs w:val="32"/>
        </w:rPr>
      </w:pPr>
      <w:r>
        <w:rPr>
          <w:rFonts w:hint="eastAsia" w:ascii="黑体" w:hAnsi="黑体" w:eastAsia="黑体"/>
          <w:color w:val="auto"/>
          <w:sz w:val="32"/>
          <w:szCs w:val="32"/>
        </w:rPr>
        <w:t>三、</w:t>
      </w:r>
      <w:r>
        <w:rPr>
          <w:rFonts w:ascii="黑体" w:hAnsi="黑体" w:eastAsia="黑体"/>
          <w:color w:val="auto"/>
          <w:sz w:val="32"/>
          <w:szCs w:val="32"/>
        </w:rPr>
        <w:t>2016</w:t>
      </w:r>
      <w:r>
        <w:rPr>
          <w:rFonts w:hint="eastAsia" w:ascii="黑体" w:hAnsi="黑体" w:eastAsia="黑体"/>
          <w:color w:val="auto"/>
          <w:sz w:val="32"/>
          <w:szCs w:val="32"/>
        </w:rPr>
        <w:t>年度部门决算情况说明</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（一）收入支出决算总体情况</w:t>
      </w:r>
    </w:p>
    <w:p>
      <w:pPr>
        <w:spacing w:line="600" w:lineRule="exact"/>
        <w:ind w:firstLine="630"/>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w:t>
      </w:r>
      <w:r>
        <w:rPr>
          <w:rFonts w:ascii="仿宋_GB2312" w:eastAsia="仿宋_GB2312"/>
          <w:color w:val="auto"/>
          <w:sz w:val="32"/>
          <w:szCs w:val="32"/>
        </w:rPr>
        <w:t>2016</w:t>
      </w:r>
      <w:r>
        <w:rPr>
          <w:rFonts w:hint="eastAsia" w:ascii="仿宋_GB2312" w:eastAsia="仿宋_GB2312"/>
          <w:color w:val="auto"/>
          <w:sz w:val="32"/>
          <w:szCs w:val="32"/>
        </w:rPr>
        <w:t>年度收入总计</w:t>
      </w:r>
      <w:r>
        <w:rPr>
          <w:rFonts w:ascii="仿宋_GB2312" w:eastAsia="仿宋_GB2312"/>
          <w:color w:val="auto"/>
          <w:sz w:val="32"/>
          <w:szCs w:val="32"/>
        </w:rPr>
        <w:t>3,738.03</w:t>
      </w:r>
      <w:r>
        <w:rPr>
          <w:rFonts w:hint="eastAsia" w:ascii="仿宋_GB2312" w:eastAsia="仿宋_GB2312"/>
          <w:color w:val="auto"/>
          <w:sz w:val="32"/>
          <w:szCs w:val="32"/>
        </w:rPr>
        <w:t>万元，其中本年收入</w:t>
      </w:r>
      <w:r>
        <w:rPr>
          <w:rFonts w:ascii="仿宋_GB2312" w:eastAsia="仿宋_GB2312"/>
          <w:color w:val="auto"/>
          <w:sz w:val="32"/>
          <w:szCs w:val="32"/>
        </w:rPr>
        <w:t>3714.87</w:t>
      </w:r>
      <w:r>
        <w:rPr>
          <w:rFonts w:hint="eastAsia" w:ascii="仿宋_GB2312" w:eastAsia="仿宋_GB2312"/>
          <w:color w:val="auto"/>
          <w:sz w:val="32"/>
          <w:szCs w:val="32"/>
        </w:rPr>
        <w:t>万元。具体情况如下：</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）财政拨款收入</w:t>
      </w:r>
      <w:r>
        <w:rPr>
          <w:rFonts w:ascii="仿宋_GB2312" w:eastAsia="仿宋_GB2312"/>
          <w:color w:val="auto"/>
          <w:sz w:val="32"/>
          <w:szCs w:val="32"/>
        </w:rPr>
        <w:t>3714.81</w:t>
      </w:r>
      <w:r>
        <w:rPr>
          <w:rFonts w:hint="eastAsia" w:ascii="仿宋_GB2312" w:eastAsia="仿宋_GB2312"/>
          <w:color w:val="auto"/>
          <w:sz w:val="32"/>
          <w:szCs w:val="32"/>
        </w:rPr>
        <w:t>万元（其中，一般公共预算</w:t>
      </w:r>
      <w:r>
        <w:rPr>
          <w:rFonts w:ascii="仿宋_GB2312" w:eastAsia="仿宋_GB2312"/>
          <w:color w:val="auto"/>
          <w:sz w:val="32"/>
          <w:szCs w:val="32"/>
        </w:rPr>
        <w:t>2,809.4</w:t>
      </w:r>
      <w:r>
        <w:rPr>
          <w:rFonts w:hint="eastAsia" w:ascii="仿宋_GB2312" w:eastAsia="仿宋_GB2312"/>
          <w:color w:val="auto"/>
          <w:sz w:val="32"/>
          <w:szCs w:val="32"/>
        </w:rPr>
        <w:t>万元，政府性基金预算</w:t>
      </w:r>
      <w:r>
        <w:rPr>
          <w:rFonts w:ascii="仿宋_GB2312" w:eastAsia="仿宋_GB2312"/>
          <w:color w:val="auto"/>
          <w:sz w:val="32"/>
          <w:szCs w:val="32"/>
        </w:rPr>
        <w:t>905.41</w:t>
      </w:r>
      <w:r>
        <w:rPr>
          <w:rFonts w:hint="eastAsia" w:ascii="仿宋_GB2312" w:eastAsia="仿宋_GB2312"/>
          <w:color w:val="auto"/>
          <w:sz w:val="32"/>
          <w:szCs w:val="32"/>
        </w:rPr>
        <w:t>万元），占总收入</w:t>
      </w:r>
      <w:r>
        <w:rPr>
          <w:rFonts w:ascii="仿宋_GB2312" w:eastAsia="仿宋_GB2312"/>
          <w:color w:val="auto"/>
          <w:sz w:val="32"/>
          <w:szCs w:val="32"/>
        </w:rPr>
        <w:t>99.38%</w:t>
      </w:r>
      <w:r>
        <w:rPr>
          <w:rFonts w:hint="eastAsia" w:ascii="仿宋_GB2312" w:eastAsia="仿宋_GB2312"/>
          <w:color w:val="auto"/>
          <w:sz w:val="32"/>
          <w:szCs w:val="32"/>
        </w:rPr>
        <w:t>，较上年增加</w:t>
      </w:r>
      <w:r>
        <w:rPr>
          <w:rFonts w:ascii="仿宋_GB2312" w:eastAsia="仿宋_GB2312"/>
          <w:color w:val="auto"/>
          <w:sz w:val="32"/>
          <w:szCs w:val="32"/>
        </w:rPr>
        <w:t>752.64</w:t>
      </w:r>
      <w:r>
        <w:rPr>
          <w:rFonts w:hint="eastAsia" w:ascii="仿宋_GB2312" w:eastAsia="仿宋_GB2312"/>
          <w:color w:val="auto"/>
          <w:sz w:val="32"/>
          <w:szCs w:val="32"/>
        </w:rPr>
        <w:t>万元，增长</w:t>
      </w:r>
      <w:r>
        <w:rPr>
          <w:rFonts w:ascii="仿宋_GB2312" w:eastAsia="仿宋_GB2312"/>
          <w:color w:val="auto"/>
          <w:sz w:val="32"/>
          <w:szCs w:val="32"/>
        </w:rPr>
        <w:t>25%</w:t>
      </w:r>
      <w:r>
        <w:rPr>
          <w:rFonts w:hint="eastAsia" w:ascii="仿宋_GB2312" w:eastAsia="仿宋_GB2312"/>
          <w:color w:val="auto"/>
          <w:sz w:val="32"/>
          <w:szCs w:val="32"/>
        </w:rPr>
        <w:t>，主要原因是龙湾残疾人康复中心工程项目施工建设需要。</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）其他收入</w:t>
      </w:r>
      <w:r>
        <w:rPr>
          <w:rFonts w:ascii="仿宋_GB2312" w:eastAsia="仿宋_GB2312"/>
          <w:color w:val="auto"/>
          <w:sz w:val="32"/>
          <w:szCs w:val="32"/>
        </w:rPr>
        <w:t>0.06</w:t>
      </w:r>
      <w:r>
        <w:rPr>
          <w:rFonts w:hint="eastAsia" w:ascii="仿宋_GB2312" w:eastAsia="仿宋_GB2312"/>
          <w:color w:val="auto"/>
          <w:sz w:val="32"/>
          <w:szCs w:val="32"/>
        </w:rPr>
        <w:t>万元，较上年增加</w:t>
      </w:r>
      <w:r>
        <w:rPr>
          <w:rFonts w:ascii="仿宋_GB2312" w:eastAsia="仿宋_GB2312"/>
          <w:color w:val="auto"/>
          <w:sz w:val="32"/>
          <w:szCs w:val="32"/>
        </w:rPr>
        <w:t>0.01</w:t>
      </w:r>
      <w:r>
        <w:rPr>
          <w:rFonts w:hint="eastAsia" w:ascii="仿宋_GB2312" w:eastAsia="仿宋_GB2312"/>
          <w:color w:val="auto"/>
          <w:sz w:val="32"/>
          <w:szCs w:val="32"/>
        </w:rPr>
        <w:t>万元，增长</w:t>
      </w:r>
      <w:r>
        <w:rPr>
          <w:rFonts w:ascii="仿宋_GB2312" w:eastAsia="仿宋_GB2312"/>
          <w:color w:val="auto"/>
          <w:sz w:val="32"/>
          <w:szCs w:val="32"/>
        </w:rPr>
        <w:t>20%</w:t>
      </w:r>
      <w:r>
        <w:rPr>
          <w:rFonts w:hint="eastAsia" w:ascii="仿宋_GB2312" w:eastAsia="仿宋_GB2312"/>
          <w:color w:val="auto"/>
          <w:sz w:val="32"/>
          <w:szCs w:val="32"/>
        </w:rPr>
        <w:t>，主要原因是银行存款利息收入。</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）年初结转和结余</w:t>
      </w:r>
      <w:r>
        <w:rPr>
          <w:rFonts w:ascii="仿宋_GB2312" w:eastAsia="仿宋_GB2312"/>
          <w:color w:val="auto"/>
          <w:sz w:val="32"/>
          <w:szCs w:val="32"/>
        </w:rPr>
        <w:t>23.16</w:t>
      </w:r>
      <w:r>
        <w:rPr>
          <w:rFonts w:hint="eastAsia" w:ascii="仿宋_GB2312" w:eastAsia="仿宋_GB2312"/>
          <w:color w:val="auto"/>
          <w:sz w:val="32"/>
          <w:szCs w:val="32"/>
        </w:rPr>
        <w:t>万元，占总收入</w:t>
      </w:r>
      <w:r>
        <w:rPr>
          <w:rFonts w:ascii="仿宋_GB2312" w:eastAsia="仿宋_GB2312"/>
          <w:color w:val="auto"/>
          <w:sz w:val="32"/>
          <w:szCs w:val="32"/>
        </w:rPr>
        <w:t>0.62 %</w:t>
      </w:r>
      <w:r>
        <w:rPr>
          <w:rFonts w:hint="eastAsia" w:ascii="仿宋_GB2312" w:eastAsia="仿宋_GB2312"/>
          <w:color w:val="auto"/>
          <w:sz w:val="32"/>
          <w:szCs w:val="32"/>
        </w:rPr>
        <w:t>，较上年增加</w:t>
      </w:r>
      <w:r>
        <w:rPr>
          <w:rFonts w:ascii="仿宋_GB2312" w:eastAsia="仿宋_GB2312"/>
          <w:color w:val="auto"/>
          <w:sz w:val="32"/>
          <w:szCs w:val="32"/>
        </w:rPr>
        <w:t>21.02</w:t>
      </w:r>
      <w:r>
        <w:rPr>
          <w:rFonts w:hint="eastAsia" w:ascii="仿宋_GB2312" w:eastAsia="仿宋_GB2312"/>
          <w:color w:val="auto"/>
          <w:sz w:val="32"/>
          <w:szCs w:val="32"/>
        </w:rPr>
        <w:t>万元，主要原因是年底财政暂存款项用于职业年金的追加经费（年内已使用）。</w:t>
      </w:r>
    </w:p>
    <w:p>
      <w:pPr>
        <w:spacing w:line="600" w:lineRule="exact"/>
        <w:ind w:firstLine="630"/>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w:t>
      </w:r>
      <w:r>
        <w:rPr>
          <w:rFonts w:ascii="仿宋_GB2312" w:eastAsia="仿宋_GB2312"/>
          <w:color w:val="auto"/>
          <w:sz w:val="32"/>
          <w:szCs w:val="32"/>
        </w:rPr>
        <w:t>2016</w:t>
      </w:r>
      <w:r>
        <w:rPr>
          <w:rFonts w:hint="eastAsia" w:ascii="仿宋_GB2312" w:eastAsia="仿宋_GB2312"/>
          <w:color w:val="auto"/>
          <w:sz w:val="32"/>
          <w:szCs w:val="32"/>
        </w:rPr>
        <w:t>年度支出总计</w:t>
      </w:r>
      <w:r>
        <w:rPr>
          <w:rFonts w:ascii="仿宋_GB2312" w:eastAsia="仿宋_GB2312"/>
          <w:color w:val="auto"/>
          <w:sz w:val="32"/>
          <w:szCs w:val="32"/>
        </w:rPr>
        <w:t>3737.92</w:t>
      </w:r>
      <w:r>
        <w:rPr>
          <w:rFonts w:hint="eastAsia" w:ascii="仿宋_GB2312" w:eastAsia="仿宋_GB2312"/>
          <w:color w:val="auto"/>
          <w:sz w:val="32"/>
          <w:szCs w:val="32"/>
        </w:rPr>
        <w:t>万元，其中本年支出</w:t>
      </w:r>
      <w:r>
        <w:rPr>
          <w:rFonts w:ascii="仿宋_GB2312" w:eastAsia="仿宋_GB2312"/>
          <w:color w:val="auto"/>
          <w:sz w:val="32"/>
          <w:szCs w:val="32"/>
        </w:rPr>
        <w:t>3735.78</w:t>
      </w:r>
      <w:r>
        <w:rPr>
          <w:rFonts w:hint="eastAsia" w:ascii="仿宋_GB2312" w:eastAsia="仿宋_GB2312"/>
          <w:color w:val="auto"/>
          <w:sz w:val="32"/>
          <w:szCs w:val="32"/>
        </w:rPr>
        <w:t>万元。具体情况如下：</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1</w:t>
      </w:r>
      <w:r>
        <w:rPr>
          <w:rFonts w:hint="eastAsia" w:ascii="仿宋_GB2312" w:eastAsia="仿宋_GB2312"/>
          <w:color w:val="auto"/>
          <w:sz w:val="32"/>
          <w:szCs w:val="32"/>
        </w:rPr>
        <w:t>）社会保障和就业支出（类）</w:t>
      </w:r>
      <w:r>
        <w:rPr>
          <w:rFonts w:ascii="仿宋_GB2312" w:eastAsia="仿宋_GB2312"/>
          <w:color w:val="auto"/>
          <w:sz w:val="32"/>
          <w:szCs w:val="32"/>
        </w:rPr>
        <w:t>2728.22</w:t>
      </w:r>
      <w:r>
        <w:rPr>
          <w:rFonts w:hint="eastAsia" w:ascii="仿宋_GB2312" w:eastAsia="仿宋_GB2312"/>
          <w:color w:val="auto"/>
          <w:sz w:val="32"/>
          <w:szCs w:val="32"/>
        </w:rPr>
        <w:t>万元，主要用于行政运行、一般行政管理事务、残疾人康复、残疾人体育、其他残疾人事业支出。较上年增加</w:t>
      </w:r>
      <w:r>
        <w:rPr>
          <w:rFonts w:ascii="仿宋_GB2312" w:eastAsia="仿宋_GB2312"/>
          <w:color w:val="auto"/>
          <w:sz w:val="32"/>
          <w:szCs w:val="32"/>
        </w:rPr>
        <w:t>764.05</w:t>
      </w:r>
      <w:r>
        <w:rPr>
          <w:rFonts w:hint="eastAsia" w:ascii="仿宋_GB2312" w:eastAsia="仿宋_GB2312"/>
          <w:color w:val="auto"/>
          <w:sz w:val="32"/>
          <w:szCs w:val="32"/>
        </w:rPr>
        <w:t>万元，增长</w:t>
      </w:r>
      <w:r>
        <w:rPr>
          <w:rFonts w:ascii="仿宋_GB2312" w:eastAsia="仿宋_GB2312"/>
          <w:color w:val="auto"/>
          <w:sz w:val="32"/>
          <w:szCs w:val="32"/>
        </w:rPr>
        <w:t>38.89 %</w:t>
      </w:r>
      <w:r>
        <w:rPr>
          <w:rFonts w:hint="eastAsia" w:ascii="仿宋_GB2312" w:eastAsia="仿宋_GB2312"/>
          <w:color w:val="auto"/>
          <w:sz w:val="32"/>
          <w:szCs w:val="32"/>
        </w:rPr>
        <w:t>，主要原因为行政运行及一般行政管理事务增加</w:t>
      </w:r>
      <w:r>
        <w:rPr>
          <w:rFonts w:ascii="仿宋_GB2312" w:eastAsia="仿宋_GB2312"/>
          <w:color w:val="auto"/>
          <w:sz w:val="32"/>
          <w:szCs w:val="32"/>
        </w:rPr>
        <w:t>7.81</w:t>
      </w:r>
      <w:r>
        <w:rPr>
          <w:rFonts w:hint="eastAsia" w:ascii="仿宋_GB2312" w:eastAsia="仿宋_GB2312"/>
          <w:color w:val="auto"/>
          <w:sz w:val="32"/>
          <w:szCs w:val="32"/>
        </w:rPr>
        <w:t>万元，残疾人康复增加</w:t>
      </w:r>
      <w:r>
        <w:rPr>
          <w:rFonts w:ascii="仿宋_GB2312" w:eastAsia="仿宋_GB2312"/>
          <w:color w:val="auto"/>
          <w:sz w:val="32"/>
          <w:szCs w:val="32"/>
        </w:rPr>
        <w:t>10.2</w:t>
      </w:r>
      <w:r>
        <w:rPr>
          <w:rFonts w:hint="eastAsia" w:ascii="仿宋_GB2312" w:eastAsia="仿宋_GB2312"/>
          <w:color w:val="auto"/>
          <w:sz w:val="32"/>
          <w:szCs w:val="32"/>
        </w:rPr>
        <w:t>万元、残疾人体育增加</w:t>
      </w:r>
      <w:r>
        <w:rPr>
          <w:rFonts w:ascii="仿宋_GB2312" w:eastAsia="仿宋_GB2312"/>
          <w:color w:val="auto"/>
          <w:sz w:val="32"/>
          <w:szCs w:val="32"/>
        </w:rPr>
        <w:t>34.98</w:t>
      </w:r>
      <w:r>
        <w:rPr>
          <w:rFonts w:hint="eastAsia" w:ascii="仿宋_GB2312" w:eastAsia="仿宋_GB2312"/>
          <w:color w:val="auto"/>
          <w:sz w:val="32"/>
          <w:szCs w:val="32"/>
        </w:rPr>
        <w:t>万元、其他残疾人事业支出增加</w:t>
      </w:r>
      <w:r>
        <w:rPr>
          <w:rFonts w:ascii="仿宋_GB2312" w:eastAsia="仿宋_GB2312"/>
          <w:color w:val="auto"/>
          <w:sz w:val="32"/>
          <w:szCs w:val="32"/>
        </w:rPr>
        <w:t>711.06</w:t>
      </w:r>
      <w:r>
        <w:rPr>
          <w:rFonts w:hint="eastAsia" w:ascii="仿宋_GB2312" w:eastAsia="仿宋_GB2312"/>
          <w:color w:val="auto"/>
          <w:sz w:val="32"/>
          <w:szCs w:val="32"/>
        </w:rPr>
        <w:t>万元（基建工程特定项目需要）。</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2</w:t>
      </w:r>
      <w:r>
        <w:rPr>
          <w:rFonts w:hint="eastAsia" w:ascii="仿宋_GB2312" w:eastAsia="仿宋_GB2312"/>
          <w:color w:val="auto"/>
          <w:sz w:val="32"/>
          <w:szCs w:val="32"/>
        </w:rPr>
        <w:t>）医疗卫生与计划生育（类）支出</w:t>
      </w:r>
      <w:r>
        <w:rPr>
          <w:rFonts w:ascii="仿宋_GB2312" w:eastAsia="仿宋_GB2312"/>
          <w:color w:val="auto"/>
          <w:sz w:val="32"/>
          <w:szCs w:val="32"/>
        </w:rPr>
        <w:t>38.69</w:t>
      </w:r>
      <w:r>
        <w:rPr>
          <w:rFonts w:hint="eastAsia" w:ascii="仿宋_GB2312" w:eastAsia="仿宋_GB2312"/>
          <w:color w:val="auto"/>
          <w:sz w:val="32"/>
          <w:szCs w:val="32"/>
        </w:rPr>
        <w:t>万元，主要用于人员医疗保险及计划生育支出。较上年增加</w:t>
      </w:r>
      <w:r>
        <w:rPr>
          <w:rFonts w:ascii="仿宋_GB2312" w:eastAsia="仿宋_GB2312"/>
          <w:color w:val="auto"/>
          <w:sz w:val="32"/>
          <w:szCs w:val="32"/>
        </w:rPr>
        <w:t>4.77</w:t>
      </w:r>
      <w:r>
        <w:rPr>
          <w:rFonts w:hint="eastAsia" w:ascii="仿宋_GB2312" w:eastAsia="仿宋_GB2312"/>
          <w:color w:val="auto"/>
          <w:sz w:val="32"/>
          <w:szCs w:val="32"/>
        </w:rPr>
        <w:t>万元，增长</w:t>
      </w:r>
      <w:r>
        <w:rPr>
          <w:rFonts w:ascii="仿宋_GB2312" w:eastAsia="仿宋_GB2312"/>
          <w:color w:val="auto"/>
          <w:sz w:val="32"/>
          <w:szCs w:val="32"/>
        </w:rPr>
        <w:t>14.07%</w:t>
      </w:r>
      <w:r>
        <w:rPr>
          <w:rFonts w:hint="eastAsia" w:ascii="仿宋_GB2312" w:eastAsia="仿宋_GB2312"/>
          <w:color w:val="auto"/>
          <w:sz w:val="32"/>
          <w:szCs w:val="32"/>
        </w:rPr>
        <w:t>，主要原因人员医疗保险费用年度正常调增。</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3</w:t>
      </w:r>
      <w:r>
        <w:rPr>
          <w:rFonts w:hint="eastAsia" w:ascii="仿宋_GB2312" w:eastAsia="仿宋_GB2312"/>
          <w:color w:val="auto"/>
          <w:sz w:val="32"/>
          <w:szCs w:val="32"/>
        </w:rPr>
        <w:t>）城乡社区支出（类）</w:t>
      </w:r>
      <w:r>
        <w:rPr>
          <w:rFonts w:ascii="仿宋_GB2312" w:eastAsia="仿宋_GB2312"/>
          <w:color w:val="auto"/>
          <w:sz w:val="32"/>
          <w:szCs w:val="32"/>
        </w:rPr>
        <w:t>510.97</w:t>
      </w:r>
      <w:r>
        <w:rPr>
          <w:rFonts w:hint="eastAsia" w:ascii="仿宋_GB2312" w:eastAsia="仿宋_GB2312"/>
          <w:color w:val="auto"/>
          <w:sz w:val="32"/>
          <w:szCs w:val="32"/>
        </w:rPr>
        <w:t>万元，主要用于房屋建筑物构建（基建工程特定项目）。较上年减少</w:t>
      </w:r>
      <w:r>
        <w:rPr>
          <w:rFonts w:ascii="仿宋_GB2312" w:eastAsia="仿宋_GB2312"/>
          <w:color w:val="auto"/>
          <w:sz w:val="32"/>
          <w:szCs w:val="32"/>
        </w:rPr>
        <w:t>371.44</w:t>
      </w:r>
      <w:r>
        <w:rPr>
          <w:rFonts w:hint="eastAsia" w:ascii="仿宋_GB2312" w:eastAsia="仿宋_GB2312"/>
          <w:color w:val="auto"/>
          <w:sz w:val="32"/>
          <w:szCs w:val="32"/>
        </w:rPr>
        <w:t>万元，下降</w:t>
      </w:r>
      <w:r>
        <w:rPr>
          <w:rFonts w:ascii="仿宋_GB2312" w:eastAsia="仿宋_GB2312"/>
          <w:color w:val="auto"/>
          <w:sz w:val="32"/>
          <w:szCs w:val="32"/>
        </w:rPr>
        <w:t>42%</w:t>
      </w:r>
      <w:r>
        <w:rPr>
          <w:rFonts w:hint="eastAsia" w:ascii="仿宋_GB2312" w:eastAsia="仿宋_GB2312"/>
          <w:color w:val="auto"/>
          <w:sz w:val="32"/>
          <w:szCs w:val="32"/>
        </w:rPr>
        <w:t>，主要原因基建工程特定项目需求减少。</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4</w:t>
      </w:r>
      <w:r>
        <w:rPr>
          <w:rFonts w:hint="eastAsia" w:ascii="仿宋_GB2312" w:eastAsia="仿宋_GB2312"/>
          <w:color w:val="auto"/>
          <w:sz w:val="32"/>
          <w:szCs w:val="32"/>
        </w:rPr>
        <w:t>）住房保障支出（类）</w:t>
      </w:r>
      <w:r>
        <w:rPr>
          <w:rFonts w:ascii="仿宋_GB2312" w:eastAsia="仿宋_GB2312"/>
          <w:color w:val="auto"/>
          <w:sz w:val="32"/>
          <w:szCs w:val="32"/>
        </w:rPr>
        <w:t>63.47</w:t>
      </w:r>
      <w:r>
        <w:rPr>
          <w:rFonts w:hint="eastAsia" w:ascii="仿宋_GB2312" w:eastAsia="仿宋_GB2312"/>
          <w:color w:val="auto"/>
          <w:sz w:val="32"/>
          <w:szCs w:val="32"/>
        </w:rPr>
        <w:t>万元，主要用于人员住房公积金及购房补贴。较上年增加</w:t>
      </w:r>
      <w:r>
        <w:rPr>
          <w:rFonts w:ascii="仿宋_GB2312" w:eastAsia="仿宋_GB2312"/>
          <w:color w:val="auto"/>
          <w:sz w:val="32"/>
          <w:szCs w:val="32"/>
        </w:rPr>
        <w:t>2.52</w:t>
      </w:r>
      <w:r>
        <w:rPr>
          <w:rFonts w:hint="eastAsia" w:ascii="仿宋_GB2312" w:eastAsia="仿宋_GB2312"/>
          <w:color w:val="auto"/>
          <w:sz w:val="32"/>
          <w:szCs w:val="32"/>
        </w:rPr>
        <w:t>万元，增长</w:t>
      </w:r>
      <w:r>
        <w:rPr>
          <w:rFonts w:ascii="仿宋_GB2312" w:eastAsia="仿宋_GB2312"/>
          <w:color w:val="auto"/>
          <w:sz w:val="32"/>
          <w:szCs w:val="32"/>
        </w:rPr>
        <w:t>4%</w:t>
      </w:r>
      <w:r>
        <w:rPr>
          <w:rFonts w:hint="eastAsia" w:ascii="仿宋_GB2312" w:eastAsia="仿宋_GB2312"/>
          <w:color w:val="auto"/>
          <w:sz w:val="32"/>
          <w:szCs w:val="32"/>
        </w:rPr>
        <w:t>，主要原因人员住房保障费用年度正常调增。</w:t>
      </w:r>
    </w:p>
    <w:p>
      <w:pPr>
        <w:spacing w:line="600" w:lineRule="exact"/>
        <w:ind w:firstLine="630"/>
        <w:rPr>
          <w:rFonts w:ascii="楷体_GB2312" w:eastAsia="楷体_GB2312"/>
          <w:color w:val="auto"/>
          <w:sz w:val="32"/>
          <w:szCs w:val="32"/>
        </w:rPr>
      </w:pPr>
      <w:r>
        <w:rPr>
          <w:rFonts w:hint="eastAsia" w:ascii="仿宋_GB2312" w:eastAsia="仿宋_GB2312"/>
          <w:color w:val="auto"/>
          <w:sz w:val="32"/>
          <w:szCs w:val="32"/>
        </w:rPr>
        <w:t>（</w:t>
      </w:r>
      <w:r>
        <w:rPr>
          <w:rFonts w:ascii="仿宋_GB2312" w:eastAsia="仿宋_GB2312"/>
          <w:color w:val="auto"/>
          <w:sz w:val="32"/>
          <w:szCs w:val="32"/>
        </w:rPr>
        <w:t>5</w:t>
      </w:r>
      <w:r>
        <w:rPr>
          <w:rFonts w:hint="eastAsia" w:ascii="仿宋_GB2312" w:eastAsia="仿宋_GB2312"/>
          <w:color w:val="auto"/>
          <w:sz w:val="32"/>
          <w:szCs w:val="32"/>
        </w:rPr>
        <w:t>）年末结转和结余（类）</w:t>
      </w:r>
      <w:r>
        <w:rPr>
          <w:rFonts w:ascii="仿宋_GB2312" w:eastAsia="仿宋_GB2312"/>
          <w:color w:val="auto"/>
          <w:sz w:val="32"/>
          <w:szCs w:val="32"/>
        </w:rPr>
        <w:t>2.25</w:t>
      </w:r>
      <w:r>
        <w:rPr>
          <w:rFonts w:hint="eastAsia" w:ascii="仿宋_GB2312" w:eastAsia="仿宋_GB2312"/>
          <w:color w:val="auto"/>
          <w:sz w:val="32"/>
          <w:szCs w:val="32"/>
        </w:rPr>
        <w:t>万元，主要用于以前年度财政预留款及银行存款利息收入。较上年增加</w:t>
      </w:r>
      <w:r>
        <w:rPr>
          <w:rFonts w:ascii="仿宋_GB2312" w:eastAsia="仿宋_GB2312"/>
          <w:color w:val="auto"/>
          <w:sz w:val="32"/>
          <w:szCs w:val="32"/>
        </w:rPr>
        <w:t>0.06</w:t>
      </w:r>
      <w:r>
        <w:rPr>
          <w:rFonts w:hint="eastAsia" w:ascii="仿宋_GB2312" w:eastAsia="仿宋_GB2312"/>
          <w:color w:val="auto"/>
          <w:sz w:val="32"/>
          <w:szCs w:val="32"/>
        </w:rPr>
        <w:t>万元，增长</w:t>
      </w:r>
      <w:r>
        <w:rPr>
          <w:rFonts w:ascii="仿宋_GB2312" w:eastAsia="仿宋_GB2312"/>
          <w:color w:val="auto"/>
          <w:sz w:val="32"/>
          <w:szCs w:val="32"/>
        </w:rPr>
        <w:t>3%</w:t>
      </w:r>
      <w:r>
        <w:rPr>
          <w:rFonts w:hint="eastAsia" w:ascii="仿宋_GB2312" w:eastAsia="仿宋_GB2312"/>
          <w:color w:val="auto"/>
          <w:sz w:val="32"/>
          <w:szCs w:val="32"/>
        </w:rPr>
        <w:t>，主要原因本年银行存款利息收入。</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（二）本年收入决算情况</w:t>
      </w:r>
      <w:r>
        <w:rPr>
          <w:rFonts w:ascii="仿宋_GB2312" w:eastAsia="仿宋_GB2312"/>
          <w:color w:val="auto"/>
          <w:sz w:val="32"/>
          <w:szCs w:val="32"/>
        </w:rPr>
        <w:br w:type="textWrapping"/>
      </w:r>
      <w:r>
        <w:rPr>
          <w:rFonts w:hint="eastAsia" w:ascii="仿宋_GB2312" w:eastAsia="仿宋_GB2312"/>
          <w:color w:val="auto"/>
          <w:sz w:val="32"/>
          <w:szCs w:val="32"/>
        </w:rPr>
        <w:t>　　</w:t>
      </w:r>
      <w:r>
        <w:rPr>
          <w:rFonts w:ascii="仿宋_GB2312" w:eastAsia="仿宋_GB2312"/>
          <w:color w:val="auto"/>
          <w:sz w:val="32"/>
          <w:szCs w:val="32"/>
        </w:rPr>
        <w:t>2016</w:t>
      </w:r>
      <w:r>
        <w:rPr>
          <w:rFonts w:hint="eastAsia" w:ascii="仿宋_GB2312" w:eastAsia="仿宋_GB2312"/>
          <w:color w:val="auto"/>
          <w:sz w:val="32"/>
          <w:szCs w:val="32"/>
        </w:rPr>
        <w:t>年度本年收入合计</w:t>
      </w:r>
      <w:r>
        <w:rPr>
          <w:rFonts w:ascii="仿宋_GB2312" w:eastAsia="仿宋_GB2312"/>
          <w:color w:val="auto"/>
          <w:sz w:val="32"/>
          <w:szCs w:val="32"/>
        </w:rPr>
        <w:t>3738.03</w:t>
      </w:r>
      <w:r>
        <w:rPr>
          <w:rFonts w:hint="eastAsia" w:ascii="仿宋_GB2312" w:eastAsia="仿宋_GB2312"/>
          <w:color w:val="auto"/>
          <w:sz w:val="32"/>
          <w:szCs w:val="32"/>
        </w:rPr>
        <w:t>万元，其中：财政拨款</w:t>
      </w:r>
      <w:r>
        <w:rPr>
          <w:rFonts w:ascii="仿宋_GB2312" w:eastAsia="仿宋_GB2312"/>
          <w:color w:val="auto"/>
          <w:sz w:val="32"/>
          <w:szCs w:val="32"/>
        </w:rPr>
        <w:t>3714.81</w:t>
      </w:r>
      <w:r>
        <w:rPr>
          <w:rFonts w:hint="eastAsia" w:ascii="仿宋_GB2312" w:eastAsia="仿宋_GB2312"/>
          <w:color w:val="auto"/>
          <w:sz w:val="32"/>
          <w:szCs w:val="32"/>
        </w:rPr>
        <w:t>万元，占</w:t>
      </w:r>
      <w:r>
        <w:rPr>
          <w:rFonts w:ascii="仿宋_GB2312" w:eastAsia="仿宋_GB2312"/>
          <w:color w:val="auto"/>
          <w:sz w:val="32"/>
          <w:szCs w:val="32"/>
        </w:rPr>
        <w:t>99.38%</w:t>
      </w:r>
      <w:r>
        <w:rPr>
          <w:rFonts w:hint="eastAsia" w:ascii="仿宋_GB2312" w:eastAsia="仿宋_GB2312"/>
          <w:color w:val="auto"/>
          <w:sz w:val="32"/>
          <w:szCs w:val="32"/>
        </w:rPr>
        <w:t>；其他收入</w:t>
      </w:r>
      <w:r>
        <w:rPr>
          <w:rFonts w:ascii="仿宋_GB2312" w:eastAsia="仿宋_GB2312"/>
          <w:color w:val="auto"/>
          <w:sz w:val="32"/>
          <w:szCs w:val="32"/>
        </w:rPr>
        <w:t>0.06</w:t>
      </w:r>
      <w:r>
        <w:rPr>
          <w:rFonts w:hint="eastAsia" w:ascii="仿宋_GB2312" w:eastAsia="仿宋_GB2312"/>
          <w:color w:val="auto"/>
          <w:sz w:val="32"/>
          <w:szCs w:val="32"/>
        </w:rPr>
        <w:t>万元，占</w:t>
      </w:r>
      <w:r>
        <w:rPr>
          <w:rFonts w:ascii="仿宋_GB2312" w:eastAsia="仿宋_GB2312"/>
          <w:color w:val="auto"/>
          <w:sz w:val="32"/>
          <w:szCs w:val="32"/>
        </w:rPr>
        <w:t>0.000016%</w:t>
      </w:r>
      <w:r>
        <w:rPr>
          <w:rFonts w:hint="eastAsia" w:ascii="仿宋_GB2312" w:eastAsia="仿宋_GB2312"/>
          <w:color w:val="auto"/>
          <w:sz w:val="32"/>
          <w:szCs w:val="32"/>
        </w:rPr>
        <w:t>；年初结转和结余</w:t>
      </w:r>
      <w:r>
        <w:rPr>
          <w:rFonts w:ascii="仿宋_GB2312" w:eastAsia="仿宋_GB2312"/>
          <w:color w:val="auto"/>
          <w:sz w:val="32"/>
          <w:szCs w:val="32"/>
        </w:rPr>
        <w:t>23.16</w:t>
      </w:r>
      <w:r>
        <w:rPr>
          <w:rFonts w:hint="eastAsia" w:ascii="仿宋_GB2312" w:eastAsia="仿宋_GB2312"/>
          <w:color w:val="auto"/>
          <w:sz w:val="32"/>
          <w:szCs w:val="32"/>
        </w:rPr>
        <w:t>万元，占</w:t>
      </w:r>
      <w:r>
        <w:rPr>
          <w:rFonts w:ascii="仿宋_GB2312" w:eastAsia="仿宋_GB2312"/>
          <w:color w:val="auto"/>
          <w:sz w:val="32"/>
          <w:szCs w:val="32"/>
        </w:rPr>
        <w:t>0.62%</w:t>
      </w:r>
      <w:r>
        <w:rPr>
          <w:rFonts w:hint="eastAsia" w:ascii="仿宋_GB2312" w:eastAsia="仿宋_GB2312"/>
          <w:color w:val="auto"/>
          <w:sz w:val="32"/>
          <w:szCs w:val="32"/>
        </w:rPr>
        <w:t>。</w:t>
      </w:r>
    </w:p>
    <w:p>
      <w:pPr>
        <w:spacing w:line="600" w:lineRule="exact"/>
        <w:ind w:firstLine="630"/>
        <w:rPr>
          <w:rFonts w:ascii="楷体_GB2312" w:eastAsia="楷体_GB2312"/>
          <w:color w:val="auto"/>
          <w:sz w:val="32"/>
          <w:szCs w:val="32"/>
        </w:rPr>
      </w:pPr>
      <w:r>
        <w:rPr>
          <w:rFonts w:hint="eastAsia" w:ascii="楷体_GB2312" w:eastAsia="楷体_GB2312"/>
          <w:color w:val="auto"/>
          <w:sz w:val="32"/>
          <w:szCs w:val="32"/>
        </w:rPr>
        <w:t>（三）本年支出决算情况</w:t>
      </w:r>
      <w:r>
        <w:rPr>
          <w:rFonts w:ascii="楷体_GB2312" w:eastAsia="楷体_GB2312"/>
          <w:color w:val="auto"/>
          <w:sz w:val="32"/>
          <w:szCs w:val="32"/>
        </w:rPr>
        <w:br w:type="textWrapping"/>
      </w:r>
      <w:r>
        <w:rPr>
          <w:rFonts w:hint="eastAsia" w:ascii="仿宋_GB2312" w:eastAsia="仿宋_GB2312"/>
          <w:color w:val="auto"/>
          <w:sz w:val="32"/>
          <w:szCs w:val="32"/>
        </w:rPr>
        <w:t>　　</w:t>
      </w:r>
      <w:r>
        <w:rPr>
          <w:rFonts w:ascii="仿宋_GB2312" w:eastAsia="仿宋_GB2312"/>
          <w:color w:val="auto"/>
          <w:sz w:val="32"/>
          <w:szCs w:val="32"/>
        </w:rPr>
        <w:t>2016</w:t>
      </w:r>
      <w:r>
        <w:rPr>
          <w:rFonts w:hint="eastAsia" w:ascii="仿宋_GB2312" w:eastAsia="仿宋_GB2312"/>
          <w:color w:val="auto"/>
          <w:sz w:val="32"/>
          <w:szCs w:val="32"/>
        </w:rPr>
        <w:t>年度本年支出合计</w:t>
      </w:r>
      <w:r>
        <w:rPr>
          <w:rFonts w:ascii="仿宋_GB2312" w:eastAsia="仿宋_GB2312"/>
          <w:color w:val="auto"/>
          <w:sz w:val="32"/>
          <w:szCs w:val="32"/>
        </w:rPr>
        <w:t>3738.03</w:t>
      </w:r>
      <w:r>
        <w:rPr>
          <w:rFonts w:hint="eastAsia" w:ascii="仿宋_GB2312" w:eastAsia="仿宋_GB2312"/>
          <w:color w:val="auto"/>
          <w:sz w:val="32"/>
          <w:szCs w:val="32"/>
        </w:rPr>
        <w:t>万元，其中：基本支出</w:t>
      </w:r>
      <w:r>
        <w:rPr>
          <w:rFonts w:ascii="仿宋_GB2312" w:eastAsia="仿宋_GB2312"/>
          <w:color w:val="auto"/>
          <w:sz w:val="32"/>
          <w:szCs w:val="32"/>
        </w:rPr>
        <w:t>986.87</w:t>
      </w:r>
      <w:r>
        <w:rPr>
          <w:rFonts w:hint="eastAsia" w:ascii="仿宋_GB2312" w:eastAsia="仿宋_GB2312"/>
          <w:color w:val="auto"/>
          <w:sz w:val="32"/>
          <w:szCs w:val="32"/>
        </w:rPr>
        <w:t>万元，占</w:t>
      </w:r>
      <w:r>
        <w:rPr>
          <w:rFonts w:ascii="仿宋_GB2312" w:eastAsia="仿宋_GB2312"/>
          <w:color w:val="auto"/>
          <w:sz w:val="32"/>
          <w:szCs w:val="32"/>
        </w:rPr>
        <w:t>26.4%</w:t>
      </w:r>
      <w:r>
        <w:rPr>
          <w:rFonts w:hint="eastAsia" w:ascii="仿宋_GB2312" w:eastAsia="仿宋_GB2312"/>
          <w:color w:val="auto"/>
          <w:sz w:val="32"/>
          <w:szCs w:val="32"/>
        </w:rPr>
        <w:t>；项目支出</w:t>
      </w:r>
      <w:r>
        <w:rPr>
          <w:rFonts w:ascii="仿宋_GB2312" w:eastAsia="仿宋_GB2312"/>
          <w:color w:val="auto"/>
          <w:sz w:val="32"/>
          <w:szCs w:val="32"/>
        </w:rPr>
        <w:t>2748.92</w:t>
      </w:r>
      <w:r>
        <w:rPr>
          <w:rFonts w:hint="eastAsia" w:ascii="仿宋_GB2312" w:eastAsia="仿宋_GB2312"/>
          <w:color w:val="auto"/>
          <w:sz w:val="32"/>
          <w:szCs w:val="32"/>
        </w:rPr>
        <w:t>万元，占</w:t>
      </w:r>
      <w:r>
        <w:rPr>
          <w:rFonts w:ascii="仿宋_GB2312" w:eastAsia="仿宋_GB2312"/>
          <w:color w:val="auto"/>
          <w:sz w:val="32"/>
          <w:szCs w:val="32"/>
        </w:rPr>
        <w:t>73.6%</w:t>
      </w:r>
      <w:r>
        <w:rPr>
          <w:rFonts w:hint="eastAsia" w:ascii="仿宋_GB2312" w:eastAsia="仿宋_GB2312"/>
          <w:color w:val="auto"/>
          <w:sz w:val="32"/>
          <w:szCs w:val="32"/>
        </w:rPr>
        <w:t>。</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（四）财政拨款收入支出决算情况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年度财政拨款收、支总计</w:t>
      </w:r>
      <w:r>
        <w:rPr>
          <w:rFonts w:ascii="仿宋_GB2312" w:eastAsia="仿宋_GB2312"/>
          <w:color w:val="auto"/>
          <w:sz w:val="32"/>
          <w:szCs w:val="32"/>
        </w:rPr>
        <w:t>7450.65</w:t>
      </w:r>
      <w:r>
        <w:rPr>
          <w:rFonts w:hint="eastAsia" w:ascii="仿宋_GB2312" w:eastAsia="仿宋_GB2312"/>
          <w:color w:val="auto"/>
          <w:sz w:val="32"/>
          <w:szCs w:val="32"/>
        </w:rPr>
        <w:t>万元，与上年相比，财政拨款收支总计各增</w:t>
      </w:r>
      <w:r>
        <w:rPr>
          <w:rFonts w:ascii="仿宋_GB2312" w:eastAsia="仿宋_GB2312"/>
          <w:color w:val="auto"/>
          <w:sz w:val="32"/>
          <w:szCs w:val="32"/>
        </w:rPr>
        <w:t>1526.37</w:t>
      </w:r>
      <w:r>
        <w:rPr>
          <w:rFonts w:hint="eastAsia" w:ascii="仿宋_GB2312" w:eastAsia="仿宋_GB2312"/>
          <w:color w:val="auto"/>
          <w:sz w:val="32"/>
          <w:szCs w:val="32"/>
        </w:rPr>
        <w:t>万元，增长</w:t>
      </w:r>
      <w:r>
        <w:rPr>
          <w:rFonts w:ascii="仿宋_GB2312" w:eastAsia="仿宋_GB2312"/>
          <w:color w:val="auto"/>
          <w:sz w:val="32"/>
          <w:szCs w:val="32"/>
        </w:rPr>
        <w:t>25.76%</w:t>
      </w:r>
      <w:r>
        <w:rPr>
          <w:rFonts w:hint="eastAsia" w:ascii="仿宋_GB2312" w:eastAsia="仿宋_GB2312"/>
          <w:color w:val="auto"/>
          <w:sz w:val="32"/>
          <w:szCs w:val="32"/>
        </w:rPr>
        <w:t>，主要原因是残疾人康复中心工程项目施工需要。</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（五）一般公共预算财政拨款支出情况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年度部门决算一般公共预算财政拨款支出决算</w:t>
      </w:r>
      <w:r>
        <w:rPr>
          <w:rFonts w:ascii="仿宋_GB2312" w:eastAsia="仿宋_GB2312"/>
          <w:color w:val="auto"/>
          <w:sz w:val="32"/>
          <w:szCs w:val="32"/>
        </w:rPr>
        <w:t>3735.78</w:t>
      </w:r>
      <w:r>
        <w:rPr>
          <w:rFonts w:hint="eastAsia" w:ascii="仿宋_GB2312" w:eastAsia="仿宋_GB2312"/>
          <w:color w:val="auto"/>
          <w:sz w:val="32"/>
          <w:szCs w:val="32"/>
        </w:rPr>
        <w:t>万元，比年初预算增加</w:t>
      </w:r>
      <w:r>
        <w:rPr>
          <w:rFonts w:ascii="仿宋_GB2312" w:eastAsia="仿宋_GB2312"/>
          <w:color w:val="auto"/>
          <w:sz w:val="32"/>
          <w:szCs w:val="32"/>
        </w:rPr>
        <w:t>2285.28</w:t>
      </w:r>
      <w:r>
        <w:rPr>
          <w:rFonts w:hint="eastAsia" w:ascii="仿宋_GB2312" w:eastAsia="仿宋_GB2312"/>
          <w:color w:val="auto"/>
          <w:sz w:val="32"/>
          <w:szCs w:val="32"/>
        </w:rPr>
        <w:t>万元，增长</w:t>
      </w:r>
      <w:r>
        <w:rPr>
          <w:rFonts w:ascii="仿宋_GB2312" w:eastAsia="仿宋_GB2312"/>
          <w:color w:val="auto"/>
          <w:sz w:val="32"/>
          <w:szCs w:val="32"/>
        </w:rPr>
        <w:t>147%</w:t>
      </w:r>
      <w:r>
        <w:rPr>
          <w:rFonts w:hint="eastAsia" w:ascii="仿宋_GB2312" w:eastAsia="仿宋_GB2312"/>
          <w:color w:val="auto"/>
          <w:sz w:val="32"/>
          <w:szCs w:val="32"/>
        </w:rPr>
        <w:t>。具体情况如下：</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．社会保障和就业支出（类）残疾人事业（款）行政运行（项）事务支出</w:t>
      </w:r>
      <w:r>
        <w:rPr>
          <w:rFonts w:ascii="仿宋_GB2312" w:eastAsia="仿宋_GB2312"/>
          <w:color w:val="auto"/>
          <w:sz w:val="32"/>
          <w:szCs w:val="32"/>
        </w:rPr>
        <w:t>354.95</w:t>
      </w:r>
      <w:r>
        <w:rPr>
          <w:rFonts w:hint="eastAsia" w:ascii="仿宋_GB2312" w:eastAsia="仿宋_GB2312"/>
          <w:color w:val="auto"/>
          <w:sz w:val="32"/>
          <w:szCs w:val="32"/>
        </w:rPr>
        <w:t>万元，比年初预算增加</w:t>
      </w:r>
      <w:r>
        <w:rPr>
          <w:rFonts w:ascii="仿宋_GB2312" w:eastAsia="仿宋_GB2312"/>
          <w:color w:val="auto"/>
          <w:sz w:val="32"/>
          <w:szCs w:val="32"/>
        </w:rPr>
        <w:t>35.35</w:t>
      </w:r>
      <w:r>
        <w:rPr>
          <w:rFonts w:hint="eastAsia" w:ascii="仿宋_GB2312" w:eastAsia="仿宋_GB2312"/>
          <w:color w:val="auto"/>
          <w:sz w:val="32"/>
          <w:szCs w:val="32"/>
        </w:rPr>
        <w:t>万元，增长</w:t>
      </w:r>
      <w:r>
        <w:rPr>
          <w:rFonts w:ascii="仿宋_GB2312" w:eastAsia="仿宋_GB2312"/>
          <w:color w:val="auto"/>
          <w:sz w:val="32"/>
          <w:szCs w:val="32"/>
        </w:rPr>
        <w:t>11.06%</w:t>
      </w:r>
      <w:r>
        <w:rPr>
          <w:rFonts w:hint="eastAsia" w:ascii="仿宋_GB2312" w:eastAsia="仿宋_GB2312"/>
          <w:color w:val="auto"/>
          <w:sz w:val="32"/>
          <w:szCs w:val="32"/>
        </w:rPr>
        <w:t>。主要是人员工资年度调整增加。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．社会保障和就业支出（类）残疾人事业（款）一般行政管理事务（项）事务支出</w:t>
      </w:r>
      <w:r>
        <w:rPr>
          <w:rFonts w:ascii="仿宋_GB2312" w:eastAsia="仿宋_GB2312"/>
          <w:color w:val="auto"/>
          <w:sz w:val="32"/>
          <w:szCs w:val="32"/>
        </w:rPr>
        <w:t>24.74</w:t>
      </w:r>
      <w:r>
        <w:rPr>
          <w:rFonts w:hint="eastAsia" w:ascii="仿宋_GB2312" w:eastAsia="仿宋_GB2312"/>
          <w:color w:val="auto"/>
          <w:sz w:val="32"/>
          <w:szCs w:val="32"/>
        </w:rPr>
        <w:t>万元，比年初预算减少</w:t>
      </w:r>
      <w:r>
        <w:rPr>
          <w:rFonts w:ascii="仿宋_GB2312" w:eastAsia="仿宋_GB2312"/>
          <w:color w:val="auto"/>
          <w:sz w:val="32"/>
          <w:szCs w:val="32"/>
        </w:rPr>
        <w:t>15.28</w:t>
      </w:r>
      <w:r>
        <w:rPr>
          <w:rFonts w:hint="eastAsia" w:ascii="仿宋_GB2312" w:eastAsia="仿宋_GB2312"/>
          <w:color w:val="auto"/>
          <w:sz w:val="32"/>
          <w:szCs w:val="32"/>
        </w:rPr>
        <w:t>万元，下降</w:t>
      </w:r>
      <w:r>
        <w:rPr>
          <w:rFonts w:ascii="仿宋_GB2312" w:eastAsia="仿宋_GB2312"/>
          <w:color w:val="auto"/>
          <w:sz w:val="32"/>
          <w:szCs w:val="32"/>
        </w:rPr>
        <w:t>38.18%</w:t>
      </w:r>
      <w:r>
        <w:rPr>
          <w:rFonts w:hint="eastAsia" w:ascii="仿宋_GB2312" w:eastAsia="仿宋_GB2312"/>
          <w:color w:val="auto"/>
          <w:sz w:val="32"/>
          <w:szCs w:val="32"/>
        </w:rPr>
        <w:t>。主要是专项支出中会议费指标使用率</w:t>
      </w:r>
      <w:r>
        <w:rPr>
          <w:rFonts w:ascii="仿宋_GB2312" w:eastAsia="仿宋_GB2312"/>
          <w:color w:val="auto"/>
          <w:sz w:val="32"/>
          <w:szCs w:val="32"/>
        </w:rPr>
        <w:t>34%</w:t>
      </w:r>
      <w:r>
        <w:rPr>
          <w:rFonts w:hint="eastAsia" w:ascii="仿宋_GB2312" w:eastAsia="仿宋_GB2312"/>
          <w:color w:val="auto"/>
          <w:sz w:val="32"/>
          <w:szCs w:val="32"/>
        </w:rPr>
        <w:t>，二类会议部分项目减少费用降低节约召开；残疾人信访维权费（残保金）指标使用率</w:t>
      </w:r>
      <w:r>
        <w:rPr>
          <w:rFonts w:ascii="仿宋_GB2312" w:eastAsia="仿宋_GB2312"/>
          <w:color w:val="auto"/>
          <w:sz w:val="32"/>
          <w:szCs w:val="32"/>
        </w:rPr>
        <w:t>64.73%</w:t>
      </w:r>
      <w:r>
        <w:rPr>
          <w:rFonts w:hint="eastAsia" w:ascii="仿宋_GB2312" w:eastAsia="仿宋_GB2312"/>
          <w:color w:val="auto"/>
          <w:sz w:val="32"/>
          <w:szCs w:val="32"/>
        </w:rPr>
        <w:t>，主要原因是上访残疾人具有不确定性，人数比往年减少，部分诉讼要求减少诉讼费用减少；残工委办公室工作经费（残保金）指标使用率</w:t>
      </w:r>
      <w:r>
        <w:rPr>
          <w:rFonts w:ascii="仿宋_GB2312" w:eastAsia="仿宋_GB2312"/>
          <w:color w:val="auto"/>
          <w:sz w:val="32"/>
          <w:szCs w:val="32"/>
        </w:rPr>
        <w:t>55.8%</w:t>
      </w:r>
      <w:r>
        <w:rPr>
          <w:rFonts w:hint="eastAsia" w:ascii="仿宋_GB2312" w:eastAsia="仿宋_GB2312"/>
          <w:color w:val="auto"/>
          <w:sz w:val="32"/>
          <w:szCs w:val="32"/>
        </w:rPr>
        <w:t>，主要原因是市残工委成员单位工作会议未能召开，志愿者助残“阳光行动”项目经费人员减少费用降低。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．社会保障和就业支出（类）残疾人事业（款）残疾人康复（项）事务支出</w:t>
      </w:r>
      <w:r>
        <w:rPr>
          <w:rFonts w:ascii="仿宋_GB2312" w:eastAsia="仿宋_GB2312"/>
          <w:color w:val="auto"/>
          <w:sz w:val="32"/>
          <w:szCs w:val="32"/>
        </w:rPr>
        <w:t>30.42</w:t>
      </w:r>
      <w:r>
        <w:rPr>
          <w:rFonts w:hint="eastAsia" w:ascii="仿宋_GB2312" w:eastAsia="仿宋_GB2312"/>
          <w:color w:val="auto"/>
          <w:sz w:val="32"/>
          <w:szCs w:val="32"/>
        </w:rPr>
        <w:t>万元，比年初预算减少</w:t>
      </w:r>
      <w:r>
        <w:rPr>
          <w:rFonts w:ascii="仿宋_GB2312" w:eastAsia="仿宋_GB2312"/>
          <w:color w:val="auto"/>
          <w:sz w:val="32"/>
          <w:szCs w:val="32"/>
        </w:rPr>
        <w:t>1.11</w:t>
      </w:r>
      <w:r>
        <w:rPr>
          <w:rFonts w:hint="eastAsia" w:ascii="仿宋_GB2312" w:eastAsia="仿宋_GB2312"/>
          <w:color w:val="auto"/>
          <w:sz w:val="32"/>
          <w:szCs w:val="32"/>
        </w:rPr>
        <w:t>万元，下降</w:t>
      </w:r>
      <w:r>
        <w:rPr>
          <w:rFonts w:ascii="仿宋_GB2312" w:eastAsia="仿宋_GB2312"/>
          <w:color w:val="auto"/>
          <w:sz w:val="32"/>
          <w:szCs w:val="32"/>
        </w:rPr>
        <w:t>3.52%</w:t>
      </w:r>
      <w:r>
        <w:rPr>
          <w:rFonts w:hint="eastAsia" w:ascii="仿宋_GB2312" w:eastAsia="仿宋_GB2312"/>
          <w:color w:val="auto"/>
          <w:sz w:val="32"/>
          <w:szCs w:val="32"/>
        </w:rPr>
        <w:t>。为正常指标使用幅度内。</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．社会保障和就业支出（类）残疾人事业（款）残疾人体育（项）事务支出</w:t>
      </w:r>
      <w:r>
        <w:rPr>
          <w:rFonts w:ascii="仿宋_GB2312" w:eastAsia="仿宋_GB2312"/>
          <w:color w:val="auto"/>
          <w:sz w:val="32"/>
          <w:szCs w:val="32"/>
        </w:rPr>
        <w:t>34.98</w:t>
      </w:r>
      <w:r>
        <w:rPr>
          <w:rFonts w:hint="eastAsia" w:ascii="仿宋_GB2312" w:eastAsia="仿宋_GB2312"/>
          <w:color w:val="auto"/>
          <w:sz w:val="32"/>
          <w:szCs w:val="32"/>
        </w:rPr>
        <w:t>万元，比年初预算减少</w:t>
      </w:r>
      <w:r>
        <w:rPr>
          <w:rFonts w:ascii="仿宋_GB2312" w:eastAsia="仿宋_GB2312"/>
          <w:color w:val="auto"/>
          <w:sz w:val="32"/>
          <w:szCs w:val="32"/>
        </w:rPr>
        <w:t>0.02</w:t>
      </w:r>
      <w:r>
        <w:rPr>
          <w:rFonts w:hint="eastAsia" w:ascii="仿宋_GB2312" w:eastAsia="仿宋_GB2312"/>
          <w:color w:val="auto"/>
          <w:sz w:val="32"/>
          <w:szCs w:val="32"/>
        </w:rPr>
        <w:t>万元，下降</w:t>
      </w:r>
      <w:r>
        <w:rPr>
          <w:rFonts w:ascii="仿宋_GB2312" w:eastAsia="仿宋_GB2312"/>
          <w:color w:val="auto"/>
          <w:sz w:val="32"/>
          <w:szCs w:val="32"/>
        </w:rPr>
        <w:t>0.057%</w:t>
      </w:r>
      <w:r>
        <w:rPr>
          <w:rFonts w:hint="eastAsia" w:ascii="仿宋_GB2312" w:eastAsia="仿宋_GB2312"/>
          <w:color w:val="auto"/>
          <w:sz w:val="32"/>
          <w:szCs w:val="32"/>
        </w:rPr>
        <w:t>。为正常指标使用幅度内。</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．社会保障和就业支出（类）残疾人事业（款）其他残疾人事业支出（项）事务支出</w:t>
      </w:r>
      <w:r>
        <w:rPr>
          <w:rFonts w:ascii="仿宋_GB2312" w:eastAsia="仿宋_GB2312"/>
          <w:color w:val="auto"/>
          <w:sz w:val="32"/>
          <w:szCs w:val="32"/>
        </w:rPr>
        <w:t>2283.12</w:t>
      </w:r>
      <w:r>
        <w:rPr>
          <w:rFonts w:hint="eastAsia" w:ascii="仿宋_GB2312" w:eastAsia="仿宋_GB2312"/>
          <w:color w:val="auto"/>
          <w:sz w:val="32"/>
          <w:szCs w:val="32"/>
        </w:rPr>
        <w:t>万元，比年初预算增加</w:t>
      </w:r>
      <w:r>
        <w:rPr>
          <w:rFonts w:ascii="仿宋_GB2312" w:eastAsia="仿宋_GB2312"/>
          <w:color w:val="auto"/>
          <w:sz w:val="32"/>
          <w:szCs w:val="32"/>
        </w:rPr>
        <w:t>1436.28</w:t>
      </w:r>
      <w:r>
        <w:rPr>
          <w:rFonts w:hint="eastAsia" w:ascii="仿宋_GB2312" w:eastAsia="仿宋_GB2312"/>
          <w:color w:val="auto"/>
          <w:sz w:val="32"/>
          <w:szCs w:val="32"/>
        </w:rPr>
        <w:t>元，增长</w:t>
      </w:r>
      <w:r>
        <w:rPr>
          <w:rFonts w:ascii="仿宋_GB2312" w:eastAsia="仿宋_GB2312"/>
          <w:color w:val="auto"/>
          <w:sz w:val="32"/>
          <w:szCs w:val="32"/>
        </w:rPr>
        <w:t>169.6%</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．医疗卫生与计划生育支出（类）医疗保障（款）行政单位医疗（项）事务支出</w:t>
      </w:r>
      <w:r>
        <w:rPr>
          <w:rFonts w:ascii="仿宋_GB2312" w:eastAsia="仿宋_GB2312"/>
          <w:color w:val="auto"/>
          <w:sz w:val="32"/>
          <w:szCs w:val="32"/>
        </w:rPr>
        <w:t>14.4</w:t>
      </w:r>
      <w:r>
        <w:rPr>
          <w:rFonts w:hint="eastAsia" w:ascii="仿宋_GB2312" w:eastAsia="仿宋_GB2312"/>
          <w:color w:val="auto"/>
          <w:sz w:val="32"/>
          <w:szCs w:val="32"/>
        </w:rPr>
        <w:t>万元，比年初预算增加</w:t>
      </w:r>
      <w:r>
        <w:rPr>
          <w:rFonts w:ascii="仿宋_GB2312" w:eastAsia="仿宋_GB2312"/>
          <w:color w:val="auto"/>
          <w:sz w:val="32"/>
          <w:szCs w:val="32"/>
        </w:rPr>
        <w:t>2.29</w:t>
      </w:r>
      <w:r>
        <w:rPr>
          <w:rFonts w:hint="eastAsia" w:ascii="仿宋_GB2312" w:eastAsia="仿宋_GB2312"/>
          <w:color w:val="auto"/>
          <w:sz w:val="32"/>
          <w:szCs w:val="32"/>
        </w:rPr>
        <w:t>元，增长</w:t>
      </w:r>
      <w:r>
        <w:rPr>
          <w:rFonts w:ascii="仿宋_GB2312" w:eastAsia="仿宋_GB2312"/>
          <w:color w:val="auto"/>
          <w:sz w:val="32"/>
          <w:szCs w:val="32"/>
        </w:rPr>
        <w:t>18.91%</w:t>
      </w:r>
      <w:r>
        <w:rPr>
          <w:rFonts w:hint="eastAsia" w:ascii="仿宋_GB2312" w:eastAsia="仿宋_GB2312"/>
          <w:color w:val="auto"/>
          <w:sz w:val="32"/>
          <w:szCs w:val="32"/>
        </w:rPr>
        <w:t>。主要是行政机关人员年度医疗保险调整增加。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．医疗卫生与计划生育支出（类）医疗保障（款）事业单位医疗（项）事务支出</w:t>
      </w:r>
      <w:r>
        <w:rPr>
          <w:rFonts w:ascii="仿宋_GB2312" w:eastAsia="仿宋_GB2312"/>
          <w:color w:val="auto"/>
          <w:sz w:val="32"/>
          <w:szCs w:val="32"/>
        </w:rPr>
        <w:t>24.29</w:t>
      </w:r>
      <w:r>
        <w:rPr>
          <w:rFonts w:hint="eastAsia" w:ascii="仿宋_GB2312" w:eastAsia="仿宋_GB2312"/>
          <w:color w:val="auto"/>
          <w:sz w:val="32"/>
          <w:szCs w:val="32"/>
        </w:rPr>
        <w:t>万元，比年初预算增加</w:t>
      </w:r>
      <w:r>
        <w:rPr>
          <w:rFonts w:ascii="仿宋_GB2312" w:eastAsia="仿宋_GB2312"/>
          <w:color w:val="auto"/>
          <w:sz w:val="32"/>
          <w:szCs w:val="32"/>
        </w:rPr>
        <w:t>5.05</w:t>
      </w:r>
      <w:r>
        <w:rPr>
          <w:rFonts w:hint="eastAsia" w:ascii="仿宋_GB2312" w:eastAsia="仿宋_GB2312"/>
          <w:color w:val="auto"/>
          <w:sz w:val="32"/>
          <w:szCs w:val="32"/>
        </w:rPr>
        <w:t>元，增长</w:t>
      </w:r>
      <w:r>
        <w:rPr>
          <w:rFonts w:ascii="仿宋_GB2312" w:eastAsia="仿宋_GB2312"/>
          <w:color w:val="auto"/>
          <w:sz w:val="32"/>
          <w:szCs w:val="32"/>
        </w:rPr>
        <w:t>26.25%</w:t>
      </w:r>
      <w:r>
        <w:rPr>
          <w:rFonts w:hint="eastAsia" w:ascii="仿宋_GB2312" w:eastAsia="仿宋_GB2312"/>
          <w:color w:val="auto"/>
          <w:sz w:val="32"/>
          <w:szCs w:val="32"/>
        </w:rPr>
        <w:t>。主要是事业单位人员年度医疗保险调整增加。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．城乡社区支出（类）国有土地使用权出让收入及对应专项债务收入安排的支出（款）其他国有土地使用权出让收入安排的支出（项）事务支出</w:t>
      </w:r>
      <w:r>
        <w:rPr>
          <w:rFonts w:ascii="仿宋_GB2312" w:eastAsia="仿宋_GB2312"/>
          <w:color w:val="auto"/>
          <w:sz w:val="32"/>
          <w:szCs w:val="32"/>
        </w:rPr>
        <w:t>510.97</w:t>
      </w:r>
      <w:r>
        <w:rPr>
          <w:rFonts w:hint="eastAsia" w:ascii="仿宋_GB2312" w:eastAsia="仿宋_GB2312"/>
          <w:color w:val="auto"/>
          <w:sz w:val="32"/>
          <w:szCs w:val="32"/>
        </w:rPr>
        <w:t>万元，比年初预算增加</w:t>
      </w:r>
      <w:r>
        <w:rPr>
          <w:rFonts w:ascii="仿宋_GB2312" w:eastAsia="仿宋_GB2312"/>
          <w:color w:val="auto"/>
          <w:sz w:val="32"/>
          <w:szCs w:val="32"/>
        </w:rPr>
        <w:t>510.97</w:t>
      </w:r>
      <w:r>
        <w:rPr>
          <w:rFonts w:hint="eastAsia" w:ascii="仿宋_GB2312" w:eastAsia="仿宋_GB2312"/>
          <w:color w:val="auto"/>
          <w:sz w:val="32"/>
          <w:szCs w:val="32"/>
        </w:rPr>
        <w:t>元，增长</w:t>
      </w:r>
      <w:r>
        <w:rPr>
          <w:rFonts w:ascii="仿宋_GB2312" w:eastAsia="仿宋_GB2312"/>
          <w:color w:val="auto"/>
          <w:sz w:val="32"/>
          <w:szCs w:val="32"/>
        </w:rPr>
        <w:t>100%</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．住房保障支出（类）住房改革支出（款）住房公积金（项）事务支出</w:t>
      </w:r>
      <w:r>
        <w:rPr>
          <w:rFonts w:ascii="仿宋_GB2312" w:eastAsia="仿宋_GB2312"/>
          <w:color w:val="auto"/>
          <w:sz w:val="32"/>
          <w:szCs w:val="32"/>
        </w:rPr>
        <w:t>52.19</w:t>
      </w:r>
      <w:r>
        <w:rPr>
          <w:rFonts w:hint="eastAsia" w:ascii="仿宋_GB2312" w:eastAsia="仿宋_GB2312"/>
          <w:color w:val="auto"/>
          <w:sz w:val="32"/>
          <w:szCs w:val="32"/>
        </w:rPr>
        <w:t>万元，比年初预算增加</w:t>
      </w:r>
      <w:r>
        <w:rPr>
          <w:rFonts w:ascii="仿宋_GB2312" w:eastAsia="仿宋_GB2312"/>
          <w:color w:val="auto"/>
          <w:sz w:val="32"/>
          <w:szCs w:val="32"/>
        </w:rPr>
        <w:t>10.53</w:t>
      </w:r>
      <w:r>
        <w:rPr>
          <w:rFonts w:hint="eastAsia" w:ascii="仿宋_GB2312" w:eastAsia="仿宋_GB2312"/>
          <w:color w:val="auto"/>
          <w:sz w:val="32"/>
          <w:szCs w:val="32"/>
        </w:rPr>
        <w:t>元，增长</w:t>
      </w:r>
      <w:r>
        <w:rPr>
          <w:rFonts w:ascii="仿宋_GB2312" w:eastAsia="仿宋_GB2312"/>
          <w:color w:val="auto"/>
          <w:sz w:val="32"/>
          <w:szCs w:val="32"/>
        </w:rPr>
        <w:t>25.28%</w:t>
      </w:r>
      <w:r>
        <w:rPr>
          <w:rFonts w:hint="eastAsia" w:ascii="仿宋_GB2312" w:eastAsia="仿宋_GB2312"/>
          <w:color w:val="auto"/>
          <w:sz w:val="32"/>
          <w:szCs w:val="32"/>
        </w:rPr>
        <w:t>。主要是人员年度住房公积金调整增加。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．住房保障支出（类）住房改革支出（款）购房补贴（项）事务支出</w:t>
      </w:r>
      <w:r>
        <w:rPr>
          <w:rFonts w:ascii="仿宋_GB2312" w:eastAsia="仿宋_GB2312"/>
          <w:color w:val="auto"/>
          <w:sz w:val="32"/>
          <w:szCs w:val="32"/>
        </w:rPr>
        <w:t>11.27</w:t>
      </w:r>
      <w:r>
        <w:rPr>
          <w:rFonts w:hint="eastAsia" w:ascii="仿宋_GB2312" w:eastAsia="仿宋_GB2312"/>
          <w:color w:val="auto"/>
          <w:sz w:val="32"/>
          <w:szCs w:val="32"/>
        </w:rPr>
        <w:t>万元，比年初预算增加</w:t>
      </w:r>
      <w:r>
        <w:rPr>
          <w:rFonts w:ascii="仿宋_GB2312" w:eastAsia="仿宋_GB2312"/>
          <w:color w:val="auto"/>
          <w:sz w:val="32"/>
          <w:szCs w:val="32"/>
        </w:rPr>
        <w:t>2.86</w:t>
      </w:r>
      <w:r>
        <w:rPr>
          <w:rFonts w:hint="eastAsia" w:ascii="仿宋_GB2312" w:eastAsia="仿宋_GB2312"/>
          <w:color w:val="auto"/>
          <w:sz w:val="32"/>
          <w:szCs w:val="32"/>
        </w:rPr>
        <w:t>元，增长</w:t>
      </w:r>
      <w:r>
        <w:rPr>
          <w:rFonts w:ascii="仿宋_GB2312" w:eastAsia="仿宋_GB2312"/>
          <w:color w:val="auto"/>
          <w:sz w:val="32"/>
          <w:szCs w:val="32"/>
        </w:rPr>
        <w:t>34.01%</w:t>
      </w:r>
      <w:r>
        <w:rPr>
          <w:rFonts w:hint="eastAsia" w:ascii="仿宋_GB2312" w:eastAsia="仿宋_GB2312"/>
          <w:color w:val="auto"/>
          <w:sz w:val="32"/>
          <w:szCs w:val="32"/>
        </w:rPr>
        <w:t>。主要是人员年度购房补贴调整增加。</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．其他支出（类）其他政府性基金及对应专项债务收入安排的支出（款）其他政府性基金及对应专项债务收入安排的支出（项）事务支出</w:t>
      </w:r>
      <w:r>
        <w:rPr>
          <w:rFonts w:ascii="仿宋_GB2312" w:eastAsia="仿宋_GB2312"/>
          <w:color w:val="auto"/>
          <w:sz w:val="32"/>
          <w:szCs w:val="32"/>
        </w:rPr>
        <w:t>394.44</w:t>
      </w:r>
      <w:r>
        <w:rPr>
          <w:rFonts w:hint="eastAsia" w:ascii="仿宋_GB2312" w:eastAsia="仿宋_GB2312"/>
          <w:color w:val="auto"/>
          <w:sz w:val="32"/>
          <w:szCs w:val="32"/>
        </w:rPr>
        <w:t>万元，比年初预算增加</w:t>
      </w:r>
      <w:r>
        <w:rPr>
          <w:rFonts w:ascii="仿宋_GB2312" w:eastAsia="仿宋_GB2312"/>
          <w:color w:val="auto"/>
          <w:sz w:val="32"/>
          <w:szCs w:val="32"/>
        </w:rPr>
        <w:t>298.35</w:t>
      </w:r>
      <w:r>
        <w:rPr>
          <w:rFonts w:hint="eastAsia" w:ascii="仿宋_GB2312" w:eastAsia="仿宋_GB2312"/>
          <w:color w:val="auto"/>
          <w:sz w:val="32"/>
          <w:szCs w:val="32"/>
        </w:rPr>
        <w:t>元，增长</w:t>
      </w:r>
      <w:r>
        <w:rPr>
          <w:rFonts w:ascii="仿宋_GB2312" w:eastAsia="仿宋_GB2312"/>
          <w:color w:val="auto"/>
          <w:sz w:val="32"/>
          <w:szCs w:val="32"/>
        </w:rPr>
        <w:t>310.49%</w:t>
      </w:r>
      <w:r>
        <w:rPr>
          <w:rFonts w:hint="eastAsia" w:ascii="仿宋_GB2312" w:eastAsia="仿宋_GB2312"/>
          <w:color w:val="auto"/>
          <w:sz w:val="32"/>
          <w:szCs w:val="32"/>
        </w:rPr>
        <w:t>。主要是第九届残疾人运动会运动员奖励金支出</w:t>
      </w:r>
      <w:r>
        <w:rPr>
          <w:rFonts w:ascii="仿宋_GB2312" w:eastAsia="仿宋_GB2312"/>
          <w:color w:val="auto"/>
          <w:sz w:val="32"/>
          <w:szCs w:val="32"/>
        </w:rPr>
        <w:t>307.22</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（六）一般公共预算财政拨款基本支出情况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年度度一般公共预算财政拨款基本支出</w:t>
      </w:r>
      <w:r>
        <w:rPr>
          <w:rFonts w:ascii="仿宋_GB2312" w:eastAsia="仿宋_GB2312"/>
          <w:color w:val="auto"/>
          <w:sz w:val="32"/>
          <w:szCs w:val="32"/>
        </w:rPr>
        <w:t>986.87</w:t>
      </w:r>
      <w:r>
        <w:rPr>
          <w:rFonts w:hint="eastAsia" w:ascii="仿宋_GB2312" w:eastAsia="仿宋_GB2312"/>
          <w:color w:val="auto"/>
          <w:sz w:val="32"/>
          <w:szCs w:val="32"/>
        </w:rPr>
        <w:t>万元。其中：人员经费</w:t>
      </w:r>
      <w:r>
        <w:rPr>
          <w:rFonts w:ascii="仿宋_GB2312" w:eastAsia="仿宋_GB2312"/>
          <w:color w:val="auto"/>
          <w:sz w:val="32"/>
          <w:szCs w:val="32"/>
        </w:rPr>
        <w:t>851.22</w:t>
      </w:r>
      <w:r>
        <w:rPr>
          <w:rFonts w:hint="eastAsia" w:ascii="仿宋_GB2312" w:eastAsia="仿宋_GB2312"/>
          <w:color w:val="auto"/>
          <w:sz w:val="32"/>
          <w:szCs w:val="32"/>
        </w:rPr>
        <w:t>万元，包括行政机关及事业单位人员工资绩效社保奖金等支出；公用经费</w:t>
      </w:r>
      <w:r>
        <w:rPr>
          <w:rFonts w:ascii="仿宋_GB2312" w:eastAsia="仿宋_GB2312"/>
          <w:color w:val="auto"/>
          <w:sz w:val="32"/>
          <w:szCs w:val="32"/>
        </w:rPr>
        <w:t>135.65</w:t>
      </w:r>
      <w:r>
        <w:rPr>
          <w:rFonts w:hint="eastAsia" w:ascii="仿宋_GB2312" w:eastAsia="仿宋_GB2312"/>
          <w:color w:val="auto"/>
          <w:sz w:val="32"/>
          <w:szCs w:val="32"/>
        </w:rPr>
        <w:t>万元，主要是用于单位日常运作购买商品和服务所需要的各项费用，包括办公费、水电费、差旅费、邮电费、劳务费等。</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（七）政府性基金预算财政拨款收入支出情况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 xml:space="preserve">2016 </w:t>
      </w:r>
      <w:r>
        <w:rPr>
          <w:rFonts w:hint="eastAsia" w:ascii="仿宋_GB2312" w:eastAsia="仿宋_GB2312"/>
          <w:color w:val="auto"/>
          <w:sz w:val="32"/>
          <w:szCs w:val="32"/>
        </w:rPr>
        <w:t>年度政府性基金预算年初结转</w:t>
      </w:r>
      <w:r>
        <w:rPr>
          <w:rFonts w:ascii="仿宋_GB2312" w:eastAsia="仿宋_GB2312"/>
          <w:color w:val="auto"/>
          <w:sz w:val="32"/>
          <w:szCs w:val="32"/>
        </w:rPr>
        <w:t>0</w:t>
      </w:r>
      <w:r>
        <w:rPr>
          <w:rFonts w:hint="eastAsia" w:ascii="仿宋_GB2312" w:eastAsia="仿宋_GB2312"/>
          <w:color w:val="auto"/>
          <w:sz w:val="32"/>
          <w:szCs w:val="32"/>
        </w:rPr>
        <w:t>万元，本年收入</w:t>
      </w:r>
      <w:r>
        <w:rPr>
          <w:rFonts w:ascii="仿宋_GB2312" w:eastAsia="仿宋_GB2312"/>
          <w:color w:val="auto"/>
          <w:sz w:val="32"/>
          <w:szCs w:val="32"/>
        </w:rPr>
        <w:t>905.41</w:t>
      </w:r>
      <w:r>
        <w:rPr>
          <w:rFonts w:hint="eastAsia" w:ascii="仿宋_GB2312" w:eastAsia="仿宋_GB2312"/>
          <w:color w:val="auto"/>
          <w:sz w:val="32"/>
          <w:szCs w:val="32"/>
        </w:rPr>
        <w:t>万元，本年支出</w:t>
      </w:r>
      <w:r>
        <w:rPr>
          <w:rFonts w:ascii="仿宋_GB2312" w:eastAsia="仿宋_GB2312"/>
          <w:color w:val="auto"/>
          <w:sz w:val="32"/>
          <w:szCs w:val="32"/>
        </w:rPr>
        <w:t>905.41</w:t>
      </w:r>
      <w:r>
        <w:rPr>
          <w:rFonts w:hint="eastAsia" w:ascii="仿宋_GB2312" w:eastAsia="仿宋_GB2312"/>
          <w:color w:val="auto"/>
          <w:sz w:val="32"/>
          <w:szCs w:val="32"/>
        </w:rPr>
        <w:t>万元，年末结转</w:t>
      </w:r>
      <w:r>
        <w:rPr>
          <w:rFonts w:ascii="仿宋_GB2312" w:eastAsia="仿宋_GB2312"/>
          <w:color w:val="auto"/>
          <w:sz w:val="32"/>
          <w:szCs w:val="32"/>
        </w:rPr>
        <w:t>0</w:t>
      </w:r>
      <w:r>
        <w:rPr>
          <w:rFonts w:hint="eastAsia" w:ascii="仿宋_GB2312" w:eastAsia="仿宋_GB2312"/>
          <w:color w:val="auto"/>
          <w:sz w:val="32"/>
          <w:szCs w:val="32"/>
        </w:rPr>
        <w:t>万元。支出具体情况如下：</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．城乡社区支出（类）国有土地使用权出让收入及对应专项债务收入安排的支出（款）其他国有土地使用权出让收入安排的支出（项）事务支出</w:t>
      </w:r>
      <w:r>
        <w:rPr>
          <w:rFonts w:ascii="仿宋_GB2312" w:eastAsia="仿宋_GB2312"/>
          <w:color w:val="auto"/>
          <w:sz w:val="32"/>
          <w:szCs w:val="32"/>
        </w:rPr>
        <w:t>510.97</w:t>
      </w:r>
      <w:r>
        <w:rPr>
          <w:rFonts w:hint="eastAsia" w:ascii="仿宋_GB2312" w:eastAsia="仿宋_GB2312"/>
          <w:color w:val="auto"/>
          <w:sz w:val="32"/>
          <w:szCs w:val="32"/>
        </w:rPr>
        <w:t>万元，比年初预算增加</w:t>
      </w:r>
      <w:r>
        <w:rPr>
          <w:rFonts w:ascii="仿宋_GB2312" w:eastAsia="仿宋_GB2312"/>
          <w:color w:val="auto"/>
          <w:sz w:val="32"/>
          <w:szCs w:val="32"/>
        </w:rPr>
        <w:t>510.97</w:t>
      </w:r>
      <w:r>
        <w:rPr>
          <w:rFonts w:hint="eastAsia" w:ascii="仿宋_GB2312" w:eastAsia="仿宋_GB2312"/>
          <w:color w:val="auto"/>
          <w:sz w:val="32"/>
          <w:szCs w:val="32"/>
        </w:rPr>
        <w:t>元，增长</w:t>
      </w:r>
      <w:r>
        <w:rPr>
          <w:rFonts w:ascii="仿宋_GB2312" w:eastAsia="仿宋_GB2312"/>
          <w:color w:val="auto"/>
          <w:sz w:val="32"/>
          <w:szCs w:val="32"/>
        </w:rPr>
        <w:t>100%</w:t>
      </w:r>
      <w:r>
        <w:rPr>
          <w:rFonts w:hint="eastAsia" w:ascii="仿宋_GB2312" w:eastAsia="仿宋_GB2312"/>
          <w:color w:val="auto"/>
          <w:sz w:val="32"/>
          <w:szCs w:val="32"/>
        </w:rPr>
        <w:t>。主要是残疾人康复中心工程项目施工需要。</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．其他支出（类）其他政府性基金及对应专项债务收入安排的支出（款）其他政府性基金及对应专项债务收入安排的支出（项）事务支出</w:t>
      </w:r>
      <w:r>
        <w:rPr>
          <w:rFonts w:ascii="仿宋_GB2312" w:eastAsia="仿宋_GB2312"/>
          <w:color w:val="auto"/>
          <w:sz w:val="32"/>
          <w:szCs w:val="32"/>
        </w:rPr>
        <w:t>394.44</w:t>
      </w:r>
      <w:r>
        <w:rPr>
          <w:rFonts w:hint="eastAsia" w:ascii="仿宋_GB2312" w:eastAsia="仿宋_GB2312"/>
          <w:color w:val="auto"/>
          <w:sz w:val="32"/>
          <w:szCs w:val="32"/>
        </w:rPr>
        <w:t>万元，比年初预算增加</w:t>
      </w:r>
      <w:r>
        <w:rPr>
          <w:rFonts w:ascii="仿宋_GB2312" w:eastAsia="仿宋_GB2312"/>
          <w:color w:val="auto"/>
          <w:sz w:val="32"/>
          <w:szCs w:val="32"/>
        </w:rPr>
        <w:t>298.35</w:t>
      </w:r>
      <w:r>
        <w:rPr>
          <w:rFonts w:hint="eastAsia" w:ascii="仿宋_GB2312" w:eastAsia="仿宋_GB2312"/>
          <w:color w:val="auto"/>
          <w:sz w:val="32"/>
          <w:szCs w:val="32"/>
        </w:rPr>
        <w:t>元，增长</w:t>
      </w:r>
      <w:r>
        <w:rPr>
          <w:rFonts w:ascii="仿宋_GB2312" w:eastAsia="仿宋_GB2312"/>
          <w:color w:val="auto"/>
          <w:sz w:val="32"/>
          <w:szCs w:val="32"/>
        </w:rPr>
        <w:t>310.49%</w:t>
      </w:r>
      <w:r>
        <w:rPr>
          <w:rFonts w:hint="eastAsia" w:ascii="仿宋_GB2312" w:eastAsia="仿宋_GB2312"/>
          <w:color w:val="auto"/>
          <w:sz w:val="32"/>
          <w:szCs w:val="32"/>
        </w:rPr>
        <w:t>。主要是第九届残疾人运动会运动员奖励金支出</w:t>
      </w:r>
      <w:r>
        <w:rPr>
          <w:rFonts w:ascii="仿宋_GB2312" w:eastAsia="仿宋_GB2312"/>
          <w:color w:val="auto"/>
          <w:sz w:val="32"/>
          <w:szCs w:val="32"/>
        </w:rPr>
        <w:t>307.22</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（八）“三公”经费决算情况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因公出国（境）费用：根据外事部门安排的因公出国计划和实际工作需要，</w:t>
      </w:r>
      <w:r>
        <w:rPr>
          <w:rFonts w:ascii="仿宋_GB2312" w:eastAsia="仿宋_GB2312"/>
          <w:color w:val="auto"/>
          <w:sz w:val="32"/>
          <w:szCs w:val="32"/>
        </w:rPr>
        <w:t>2016</w:t>
      </w:r>
      <w:r>
        <w:rPr>
          <w:rFonts w:hint="eastAsia" w:ascii="仿宋_GB2312" w:eastAsia="仿宋_GB2312"/>
          <w:color w:val="auto"/>
          <w:sz w:val="32"/>
          <w:szCs w:val="32"/>
        </w:rPr>
        <w:t>年度因公出国（境）支出</w:t>
      </w:r>
      <w:r>
        <w:rPr>
          <w:rFonts w:ascii="仿宋_GB2312" w:eastAsia="仿宋_GB2312"/>
          <w:color w:val="auto"/>
          <w:sz w:val="32"/>
          <w:szCs w:val="32"/>
        </w:rPr>
        <w:t>3.34</w:t>
      </w:r>
      <w:r>
        <w:rPr>
          <w:rFonts w:hint="eastAsia" w:ascii="仿宋_GB2312" w:eastAsia="仿宋_GB2312"/>
          <w:color w:val="auto"/>
          <w:sz w:val="32"/>
          <w:szCs w:val="32"/>
        </w:rPr>
        <w:t>万元，比年初预算减少</w:t>
      </w:r>
      <w:r>
        <w:rPr>
          <w:rFonts w:hint="eastAsia" w:ascii="仿宋_GB2312" w:eastAsia="仿宋_GB2312"/>
          <w:color w:val="auto"/>
          <w:sz w:val="32"/>
          <w:szCs w:val="32"/>
          <w:lang w:val="en-US" w:eastAsia="zh-CN"/>
        </w:rPr>
        <w:t>1.56</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31.84</w:t>
      </w:r>
      <w:r>
        <w:rPr>
          <w:rFonts w:ascii="仿宋_GB2312" w:eastAsia="仿宋_GB2312"/>
          <w:color w:val="auto"/>
          <w:sz w:val="32"/>
          <w:szCs w:val="32"/>
        </w:rPr>
        <w:t>%</w:t>
      </w:r>
      <w:r>
        <w:rPr>
          <w:rFonts w:hint="eastAsia" w:ascii="仿宋_GB2312" w:eastAsia="仿宋_GB2312"/>
          <w:color w:val="auto"/>
          <w:sz w:val="32"/>
          <w:szCs w:val="32"/>
        </w:rPr>
        <w:t>，主要原因是费用节约；比上年决算数增加</w:t>
      </w:r>
      <w:r>
        <w:rPr>
          <w:rFonts w:ascii="仿宋_GB2312" w:eastAsia="仿宋_GB2312"/>
          <w:color w:val="auto"/>
          <w:sz w:val="32"/>
          <w:szCs w:val="32"/>
        </w:rPr>
        <w:t>0.22</w:t>
      </w:r>
      <w:r>
        <w:rPr>
          <w:rFonts w:hint="eastAsia" w:ascii="仿宋_GB2312" w:eastAsia="仿宋_GB2312"/>
          <w:color w:val="auto"/>
          <w:sz w:val="32"/>
          <w:szCs w:val="32"/>
        </w:rPr>
        <w:t>万元，增长</w:t>
      </w:r>
      <w:r>
        <w:rPr>
          <w:rFonts w:ascii="仿宋_GB2312" w:eastAsia="仿宋_GB2312"/>
          <w:color w:val="auto"/>
          <w:sz w:val="32"/>
          <w:szCs w:val="32"/>
        </w:rPr>
        <w:t>7.05%</w:t>
      </w:r>
      <w:r>
        <w:rPr>
          <w:rFonts w:hint="eastAsia" w:ascii="仿宋_GB2312" w:eastAsia="仿宋_GB2312"/>
          <w:color w:val="auto"/>
          <w:sz w:val="32"/>
          <w:szCs w:val="32"/>
        </w:rPr>
        <w:t>，主要原因是国际机票价格调整。因公出国（境）费用主要用于机关及下属预算单位人员公务出国（境）的住宿费、国际旅费、培训费、公杂费等支出。本部门全年组织因公出国</w:t>
      </w:r>
      <w:r>
        <w:rPr>
          <w:rFonts w:ascii="仿宋_GB2312" w:eastAsia="仿宋_GB2312"/>
          <w:color w:val="auto"/>
          <w:sz w:val="32"/>
          <w:szCs w:val="32"/>
        </w:rPr>
        <w:t>(</w:t>
      </w:r>
      <w:r>
        <w:rPr>
          <w:rFonts w:hint="eastAsia" w:ascii="仿宋_GB2312" w:eastAsia="仿宋_GB2312"/>
          <w:color w:val="auto"/>
          <w:sz w:val="32"/>
          <w:szCs w:val="32"/>
        </w:rPr>
        <w:t>境</w:t>
      </w:r>
      <w:r>
        <w:rPr>
          <w:rFonts w:ascii="仿宋_GB2312" w:eastAsia="仿宋_GB2312"/>
          <w:color w:val="auto"/>
          <w:sz w:val="32"/>
          <w:szCs w:val="32"/>
        </w:rPr>
        <w:t>)</w:t>
      </w:r>
      <w:r>
        <w:rPr>
          <w:rFonts w:hint="eastAsia" w:ascii="仿宋_GB2312" w:eastAsia="仿宋_GB2312"/>
          <w:color w:val="auto"/>
          <w:sz w:val="32"/>
          <w:szCs w:val="32"/>
        </w:rPr>
        <w:t>团组</w:t>
      </w:r>
      <w:r>
        <w:rPr>
          <w:rFonts w:ascii="仿宋_GB2312" w:eastAsia="仿宋_GB2312"/>
          <w:color w:val="auto"/>
          <w:sz w:val="32"/>
          <w:szCs w:val="32"/>
        </w:rPr>
        <w:t>1</w:t>
      </w:r>
      <w:r>
        <w:rPr>
          <w:rFonts w:hint="eastAsia" w:ascii="仿宋_GB2312" w:eastAsia="仿宋_GB2312"/>
          <w:color w:val="auto"/>
          <w:sz w:val="32"/>
          <w:szCs w:val="32"/>
        </w:rPr>
        <w:t>个；本部门全年因公出国</w:t>
      </w:r>
      <w:r>
        <w:rPr>
          <w:rFonts w:ascii="仿宋_GB2312" w:eastAsia="仿宋_GB2312"/>
          <w:color w:val="auto"/>
          <w:sz w:val="32"/>
          <w:szCs w:val="32"/>
        </w:rPr>
        <w:t>(</w:t>
      </w:r>
      <w:r>
        <w:rPr>
          <w:rFonts w:hint="eastAsia" w:ascii="仿宋_GB2312" w:eastAsia="仿宋_GB2312"/>
          <w:color w:val="auto"/>
          <w:sz w:val="32"/>
          <w:szCs w:val="32"/>
        </w:rPr>
        <w:t>境</w:t>
      </w:r>
      <w:r>
        <w:rPr>
          <w:rFonts w:ascii="仿宋_GB2312" w:eastAsia="仿宋_GB2312"/>
          <w:color w:val="auto"/>
          <w:sz w:val="32"/>
          <w:szCs w:val="32"/>
        </w:rPr>
        <w:t>)</w:t>
      </w:r>
      <w:r>
        <w:rPr>
          <w:rFonts w:hint="eastAsia" w:ascii="仿宋_GB2312" w:eastAsia="仿宋_GB2312"/>
          <w:color w:val="auto"/>
          <w:sz w:val="32"/>
          <w:szCs w:val="32"/>
        </w:rPr>
        <w:t>累计</w:t>
      </w:r>
      <w:r>
        <w:rPr>
          <w:rFonts w:ascii="仿宋_GB2312" w:eastAsia="仿宋_GB2312"/>
          <w:color w:val="auto"/>
          <w:sz w:val="32"/>
          <w:szCs w:val="32"/>
        </w:rPr>
        <w:t>1</w:t>
      </w:r>
      <w:r>
        <w:rPr>
          <w:rFonts w:hint="eastAsia" w:ascii="仿宋_GB2312" w:eastAsia="仿宋_GB2312"/>
          <w:color w:val="auto"/>
          <w:sz w:val="32"/>
          <w:szCs w:val="32"/>
        </w:rPr>
        <w:t>人次，较上年持平。</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公务接待费：</w:t>
      </w:r>
      <w:r>
        <w:rPr>
          <w:rFonts w:ascii="仿宋_GB2312" w:eastAsia="仿宋_GB2312"/>
          <w:color w:val="auto"/>
          <w:sz w:val="32"/>
          <w:szCs w:val="32"/>
        </w:rPr>
        <w:t>2016</w:t>
      </w:r>
      <w:r>
        <w:rPr>
          <w:rFonts w:hint="eastAsia" w:ascii="仿宋_GB2312" w:eastAsia="仿宋_GB2312"/>
          <w:color w:val="auto"/>
          <w:sz w:val="32"/>
          <w:szCs w:val="32"/>
        </w:rPr>
        <w:t>年度公务接待费支出</w:t>
      </w:r>
      <w:r>
        <w:rPr>
          <w:rFonts w:ascii="仿宋_GB2312" w:eastAsia="仿宋_GB2312"/>
          <w:color w:val="auto"/>
          <w:sz w:val="32"/>
          <w:szCs w:val="32"/>
        </w:rPr>
        <w:t>1.03</w:t>
      </w:r>
      <w:r>
        <w:rPr>
          <w:rFonts w:hint="eastAsia" w:ascii="仿宋_GB2312" w:eastAsia="仿宋_GB2312"/>
          <w:color w:val="auto"/>
          <w:sz w:val="32"/>
          <w:szCs w:val="32"/>
        </w:rPr>
        <w:t>万元，与比年初预算减少</w:t>
      </w:r>
      <w:r>
        <w:rPr>
          <w:rFonts w:hint="eastAsia" w:ascii="仿宋_GB2312" w:eastAsia="仿宋_GB2312"/>
          <w:color w:val="auto"/>
          <w:sz w:val="32"/>
          <w:szCs w:val="32"/>
          <w:lang w:val="en-US" w:eastAsia="zh-CN"/>
        </w:rPr>
        <w:t>5.77</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84.85</w:t>
      </w:r>
      <w:r>
        <w:rPr>
          <w:rFonts w:ascii="仿宋_GB2312" w:eastAsia="仿宋_GB2312"/>
          <w:color w:val="auto"/>
          <w:sz w:val="32"/>
          <w:szCs w:val="32"/>
        </w:rPr>
        <w:t>%</w:t>
      </w:r>
      <w:r>
        <w:rPr>
          <w:rFonts w:hint="eastAsia" w:ascii="仿宋_GB2312" w:eastAsia="仿宋_GB2312"/>
          <w:color w:val="auto"/>
          <w:sz w:val="32"/>
          <w:szCs w:val="32"/>
        </w:rPr>
        <w:t>；比上年决算数减少</w:t>
      </w:r>
      <w:r>
        <w:rPr>
          <w:rFonts w:ascii="仿宋_GB2312" w:eastAsia="仿宋_GB2312"/>
          <w:color w:val="auto"/>
          <w:sz w:val="32"/>
          <w:szCs w:val="32"/>
        </w:rPr>
        <w:t>1.13</w:t>
      </w:r>
      <w:r>
        <w:rPr>
          <w:rFonts w:hint="eastAsia" w:ascii="仿宋_GB2312" w:eastAsia="仿宋_GB2312"/>
          <w:color w:val="auto"/>
          <w:sz w:val="32"/>
          <w:szCs w:val="32"/>
        </w:rPr>
        <w:t>万元，下降</w:t>
      </w:r>
      <w:r>
        <w:rPr>
          <w:rFonts w:ascii="仿宋_GB2312" w:eastAsia="仿宋_GB2312"/>
          <w:color w:val="auto"/>
          <w:sz w:val="32"/>
          <w:szCs w:val="32"/>
        </w:rPr>
        <w:t>52.31%</w:t>
      </w:r>
      <w:r>
        <w:rPr>
          <w:rFonts w:hint="eastAsia" w:ascii="仿宋_GB2312" w:eastAsia="仿宋_GB2312"/>
          <w:color w:val="auto"/>
          <w:sz w:val="32"/>
          <w:szCs w:val="32"/>
        </w:rPr>
        <w:t>，减少的主要原因是日常接待费用节约控制。公务接待费主要用于接待公务活动等支出。其中，本部门国内公务接待</w:t>
      </w:r>
      <w:r>
        <w:rPr>
          <w:rFonts w:ascii="仿宋_GB2312" w:eastAsia="仿宋_GB2312"/>
          <w:color w:val="auto"/>
          <w:sz w:val="32"/>
          <w:szCs w:val="32"/>
        </w:rPr>
        <w:t>13</w:t>
      </w:r>
      <w:r>
        <w:rPr>
          <w:rFonts w:hint="eastAsia" w:ascii="仿宋_GB2312" w:eastAsia="仿宋_GB2312"/>
          <w:color w:val="auto"/>
          <w:sz w:val="32"/>
          <w:szCs w:val="32"/>
        </w:rPr>
        <w:t>批次，</w:t>
      </w:r>
      <w:r>
        <w:rPr>
          <w:rFonts w:ascii="仿宋_GB2312" w:eastAsia="仿宋_GB2312"/>
          <w:color w:val="auto"/>
          <w:sz w:val="32"/>
          <w:szCs w:val="32"/>
        </w:rPr>
        <w:t>70</w:t>
      </w:r>
      <w:r>
        <w:rPr>
          <w:rFonts w:hint="eastAsia" w:ascii="仿宋_GB2312" w:eastAsia="仿宋_GB2312"/>
          <w:color w:val="auto"/>
          <w:sz w:val="32"/>
          <w:szCs w:val="32"/>
        </w:rPr>
        <w:t>人次，支出</w:t>
      </w:r>
      <w:r>
        <w:rPr>
          <w:rFonts w:ascii="仿宋_GB2312" w:eastAsia="仿宋_GB2312"/>
          <w:color w:val="auto"/>
          <w:sz w:val="32"/>
          <w:szCs w:val="32"/>
        </w:rPr>
        <w:t>1.03</w:t>
      </w:r>
      <w:r>
        <w:rPr>
          <w:rFonts w:hint="eastAsia" w:ascii="仿宋_GB2312" w:eastAsia="仿宋_GB2312"/>
          <w:color w:val="auto"/>
          <w:sz w:val="32"/>
          <w:szCs w:val="32"/>
        </w:rPr>
        <w:t>万元；国（境）外事接待</w:t>
      </w:r>
      <w:r>
        <w:rPr>
          <w:rFonts w:ascii="仿宋_GB2312" w:eastAsia="仿宋_GB2312"/>
          <w:color w:val="auto"/>
          <w:sz w:val="32"/>
          <w:szCs w:val="32"/>
        </w:rPr>
        <w:t>0</w:t>
      </w:r>
      <w:r>
        <w:rPr>
          <w:rFonts w:hint="eastAsia" w:ascii="仿宋_GB2312" w:eastAsia="仿宋_GB2312"/>
          <w:color w:val="auto"/>
          <w:sz w:val="32"/>
          <w:szCs w:val="32"/>
        </w:rPr>
        <w:t>批次，</w:t>
      </w:r>
      <w:r>
        <w:rPr>
          <w:rFonts w:ascii="仿宋_GB2312" w:eastAsia="仿宋_GB2312"/>
          <w:color w:val="auto"/>
          <w:sz w:val="32"/>
          <w:szCs w:val="32"/>
        </w:rPr>
        <w:t>0</w:t>
      </w:r>
      <w:r>
        <w:rPr>
          <w:rFonts w:hint="eastAsia" w:ascii="仿宋_GB2312" w:eastAsia="仿宋_GB2312"/>
          <w:color w:val="auto"/>
          <w:sz w:val="32"/>
          <w:szCs w:val="32"/>
        </w:rPr>
        <w:t>人次，支出</w:t>
      </w:r>
      <w:r>
        <w:rPr>
          <w:rFonts w:ascii="仿宋_GB2312" w:eastAsia="仿宋_GB2312"/>
          <w:color w:val="auto"/>
          <w:sz w:val="32"/>
          <w:szCs w:val="32"/>
        </w:rPr>
        <w:t>0</w:t>
      </w:r>
      <w:r>
        <w:rPr>
          <w:rFonts w:hint="eastAsia" w:ascii="仿宋_GB2312" w:eastAsia="仿宋_GB2312"/>
          <w:color w:val="auto"/>
          <w:sz w:val="32"/>
          <w:szCs w:val="32"/>
        </w:rPr>
        <w:t>万元。</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公务用车购置及运行维护费：</w:t>
      </w:r>
      <w:r>
        <w:rPr>
          <w:rFonts w:ascii="仿宋_GB2312" w:eastAsia="仿宋_GB2312"/>
          <w:color w:val="auto"/>
          <w:sz w:val="32"/>
          <w:szCs w:val="32"/>
        </w:rPr>
        <w:t>2016</w:t>
      </w:r>
      <w:r>
        <w:rPr>
          <w:rFonts w:hint="eastAsia" w:ascii="仿宋_GB2312" w:eastAsia="仿宋_GB2312"/>
          <w:color w:val="auto"/>
          <w:sz w:val="32"/>
          <w:szCs w:val="32"/>
        </w:rPr>
        <w:t>年度公务用车购置及运行维护费支出</w:t>
      </w:r>
      <w:r>
        <w:rPr>
          <w:rFonts w:ascii="仿宋_GB2312" w:eastAsia="仿宋_GB2312"/>
          <w:color w:val="auto"/>
          <w:sz w:val="32"/>
          <w:szCs w:val="32"/>
        </w:rPr>
        <w:t>0</w:t>
      </w:r>
      <w:r>
        <w:rPr>
          <w:rFonts w:hint="eastAsia" w:ascii="仿宋_GB2312" w:eastAsia="仿宋_GB2312"/>
          <w:color w:val="auto"/>
          <w:sz w:val="32"/>
          <w:szCs w:val="32"/>
        </w:rPr>
        <w:t>万元，比年初预算增加</w:t>
      </w:r>
      <w:r>
        <w:rPr>
          <w:rFonts w:ascii="仿宋_GB2312" w:eastAsia="仿宋_GB2312"/>
          <w:color w:val="auto"/>
          <w:sz w:val="32"/>
          <w:szCs w:val="32"/>
        </w:rPr>
        <w:t>0</w:t>
      </w:r>
      <w:r>
        <w:rPr>
          <w:rFonts w:hint="eastAsia" w:ascii="仿宋_GB2312" w:eastAsia="仿宋_GB2312"/>
          <w:color w:val="auto"/>
          <w:sz w:val="32"/>
          <w:szCs w:val="32"/>
        </w:rPr>
        <w:t>万元，增长</w:t>
      </w:r>
      <w:r>
        <w:rPr>
          <w:rFonts w:ascii="仿宋_GB2312" w:eastAsia="仿宋_GB2312"/>
          <w:color w:val="auto"/>
          <w:sz w:val="32"/>
          <w:szCs w:val="32"/>
        </w:rPr>
        <w:t>0%</w:t>
      </w:r>
      <w:r>
        <w:rPr>
          <w:rFonts w:hint="eastAsia" w:ascii="仿宋_GB2312" w:eastAsia="仿宋_GB2312"/>
          <w:color w:val="auto"/>
          <w:sz w:val="32"/>
          <w:szCs w:val="32"/>
        </w:rPr>
        <w:t>，比上年决算数增加</w:t>
      </w:r>
      <w:r>
        <w:rPr>
          <w:rFonts w:ascii="仿宋_GB2312" w:eastAsia="仿宋_GB2312"/>
          <w:color w:val="auto"/>
          <w:sz w:val="32"/>
          <w:szCs w:val="32"/>
        </w:rPr>
        <w:t>0</w:t>
      </w:r>
      <w:r>
        <w:rPr>
          <w:rFonts w:hint="eastAsia" w:ascii="仿宋_GB2312" w:eastAsia="仿宋_GB2312"/>
          <w:color w:val="auto"/>
          <w:sz w:val="32"/>
          <w:szCs w:val="32"/>
        </w:rPr>
        <w:t>万元，增长</w:t>
      </w:r>
      <w:r>
        <w:rPr>
          <w:rFonts w:ascii="仿宋_GB2312" w:eastAsia="仿宋_GB2312"/>
          <w:color w:val="auto"/>
          <w:sz w:val="32"/>
          <w:szCs w:val="32"/>
        </w:rPr>
        <w:t>0%</w:t>
      </w:r>
      <w:r>
        <w:rPr>
          <w:rFonts w:hint="eastAsia" w:ascii="仿宋_GB2312" w:eastAsia="仿宋_GB2312"/>
          <w:color w:val="auto"/>
          <w:sz w:val="32"/>
          <w:szCs w:val="32"/>
        </w:rPr>
        <w:t>。具体内容如下：</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公务用车购置支出</w:t>
      </w:r>
      <w:r>
        <w:rPr>
          <w:rFonts w:ascii="仿宋_GB2312" w:eastAsia="仿宋_GB2312"/>
          <w:color w:val="auto"/>
          <w:sz w:val="32"/>
          <w:szCs w:val="32"/>
        </w:rPr>
        <w:t>0</w:t>
      </w:r>
      <w:r>
        <w:rPr>
          <w:rFonts w:hint="eastAsia" w:ascii="仿宋_GB2312" w:eastAsia="仿宋_GB2312"/>
          <w:color w:val="auto"/>
          <w:sz w:val="32"/>
          <w:szCs w:val="32"/>
        </w:rPr>
        <w:t>万元（含购置税等附加费用），主要用于经批准购置的</w:t>
      </w:r>
      <w:r>
        <w:rPr>
          <w:rFonts w:ascii="仿宋_GB2312" w:eastAsia="仿宋_GB2312"/>
          <w:color w:val="auto"/>
          <w:sz w:val="32"/>
          <w:szCs w:val="32"/>
        </w:rPr>
        <w:t>0</w:t>
      </w:r>
      <w:r>
        <w:rPr>
          <w:rFonts w:hint="eastAsia" w:ascii="仿宋_GB2312" w:eastAsia="仿宋_GB2312"/>
          <w:color w:val="auto"/>
          <w:sz w:val="32"/>
          <w:szCs w:val="32"/>
        </w:rPr>
        <w:t>辆公务用车。</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公务用车运行维护费支出</w:t>
      </w:r>
      <w:r>
        <w:rPr>
          <w:rFonts w:ascii="仿宋_GB2312" w:eastAsia="仿宋_GB2312"/>
          <w:color w:val="auto"/>
          <w:sz w:val="32"/>
          <w:szCs w:val="32"/>
        </w:rPr>
        <w:t xml:space="preserve"> 0</w:t>
      </w:r>
      <w:r>
        <w:rPr>
          <w:rFonts w:hint="eastAsia" w:ascii="仿宋_GB2312" w:eastAsia="仿宋_GB2312"/>
          <w:color w:val="auto"/>
          <w:sz w:val="32"/>
          <w:szCs w:val="32"/>
        </w:rPr>
        <w:t>万元，主要用于所需的公务用车租用费、燃料费、维修费、过路过桥费、保险费、安全奖励费用等支出。</w:t>
      </w:r>
      <w:r>
        <w:rPr>
          <w:rFonts w:ascii="仿宋_GB2312" w:eastAsia="仿宋_GB2312"/>
          <w:color w:val="auto"/>
          <w:sz w:val="32"/>
          <w:szCs w:val="32"/>
        </w:rPr>
        <w:t>2016</w:t>
      </w:r>
      <w:r>
        <w:rPr>
          <w:rFonts w:hint="eastAsia" w:ascii="仿宋_GB2312" w:eastAsia="仿宋_GB2312"/>
          <w:color w:val="auto"/>
          <w:sz w:val="32"/>
          <w:szCs w:val="32"/>
        </w:rPr>
        <w:t>年度，本级及所属单位公务用车保有量为</w:t>
      </w:r>
      <w:r>
        <w:rPr>
          <w:rFonts w:ascii="仿宋_GB2312" w:eastAsia="仿宋_GB2312"/>
          <w:color w:val="auto"/>
          <w:sz w:val="32"/>
          <w:szCs w:val="32"/>
        </w:rPr>
        <w:t>0</w:t>
      </w:r>
      <w:r>
        <w:rPr>
          <w:rFonts w:hint="eastAsia" w:ascii="仿宋_GB2312" w:eastAsia="仿宋_GB2312"/>
          <w:color w:val="auto"/>
          <w:sz w:val="32"/>
          <w:szCs w:val="32"/>
        </w:rPr>
        <w:t>辆，较上年增加（或减少）</w:t>
      </w:r>
      <w:r>
        <w:rPr>
          <w:rFonts w:ascii="仿宋_GB2312" w:eastAsia="仿宋_GB2312"/>
          <w:color w:val="auto"/>
          <w:sz w:val="32"/>
          <w:szCs w:val="32"/>
        </w:rPr>
        <w:t>0</w:t>
      </w:r>
      <w:r>
        <w:rPr>
          <w:rFonts w:hint="eastAsia" w:ascii="仿宋_GB2312" w:eastAsia="仿宋_GB2312"/>
          <w:color w:val="auto"/>
          <w:sz w:val="32"/>
          <w:szCs w:val="32"/>
        </w:rPr>
        <w:t>辆。</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（九）其他重要事项情况说明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、机关运行经费支出情况（无发生，也需说明）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年度温州市残疾人联合会（本级）的机关事业运行经费支出</w:t>
      </w:r>
      <w:r>
        <w:rPr>
          <w:rFonts w:ascii="仿宋_GB2312" w:eastAsia="仿宋_GB2312"/>
          <w:color w:val="auto"/>
          <w:sz w:val="32"/>
          <w:szCs w:val="32"/>
        </w:rPr>
        <w:t>54.54</w:t>
      </w:r>
      <w:r>
        <w:rPr>
          <w:rFonts w:hint="eastAsia" w:ascii="仿宋_GB2312" w:eastAsia="仿宋_GB2312"/>
          <w:color w:val="auto"/>
          <w:sz w:val="32"/>
          <w:szCs w:val="32"/>
        </w:rPr>
        <w:t>万元，比上年减少</w:t>
      </w:r>
      <w:r>
        <w:rPr>
          <w:rFonts w:ascii="仿宋_GB2312" w:eastAsia="仿宋_GB2312"/>
          <w:color w:val="auto"/>
          <w:sz w:val="32"/>
          <w:szCs w:val="32"/>
        </w:rPr>
        <w:t>3.61</w:t>
      </w:r>
      <w:r>
        <w:rPr>
          <w:rFonts w:hint="eastAsia" w:ascii="仿宋_GB2312" w:eastAsia="仿宋_GB2312"/>
          <w:color w:val="auto"/>
          <w:sz w:val="32"/>
          <w:szCs w:val="32"/>
        </w:rPr>
        <w:t>万元，减少</w:t>
      </w:r>
      <w:r>
        <w:rPr>
          <w:rFonts w:ascii="仿宋_GB2312" w:eastAsia="仿宋_GB2312"/>
          <w:color w:val="auto"/>
          <w:sz w:val="32"/>
          <w:szCs w:val="32"/>
        </w:rPr>
        <w:t>6.21%</w:t>
      </w:r>
      <w:r>
        <w:rPr>
          <w:rFonts w:hint="eastAsia" w:ascii="仿宋_GB2312" w:eastAsia="仿宋_GB2312"/>
          <w:color w:val="auto"/>
          <w:sz w:val="32"/>
          <w:szCs w:val="32"/>
        </w:rPr>
        <w:t>，主要原因是机关单位本级人员因公出国和公务接待费减少。</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、政府采购情况</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年度市残联本级及所属各预算单位政府采购预算</w:t>
      </w:r>
      <w:r>
        <w:rPr>
          <w:rFonts w:ascii="仿宋_GB2312" w:eastAsia="仿宋_GB2312"/>
          <w:color w:val="auto"/>
          <w:sz w:val="32"/>
          <w:szCs w:val="32"/>
        </w:rPr>
        <w:t>147.04</w:t>
      </w:r>
      <w:r>
        <w:rPr>
          <w:rFonts w:hint="eastAsia" w:ascii="仿宋_GB2312" w:eastAsia="仿宋_GB2312"/>
          <w:color w:val="auto"/>
          <w:sz w:val="32"/>
          <w:szCs w:val="32"/>
        </w:rPr>
        <w:t>万元，采购支出总额</w:t>
      </w:r>
      <w:r>
        <w:rPr>
          <w:rFonts w:ascii="仿宋_GB2312" w:eastAsia="仿宋_GB2312"/>
          <w:color w:val="auto"/>
          <w:sz w:val="32"/>
          <w:szCs w:val="32"/>
        </w:rPr>
        <w:t>117.68</w:t>
      </w:r>
      <w:r>
        <w:rPr>
          <w:rFonts w:hint="eastAsia" w:ascii="仿宋_GB2312" w:eastAsia="仿宋_GB2312"/>
          <w:color w:val="auto"/>
          <w:sz w:val="32"/>
          <w:szCs w:val="32"/>
        </w:rPr>
        <w:t>万元。其中：货物采购支出</w:t>
      </w:r>
      <w:r>
        <w:rPr>
          <w:rFonts w:ascii="仿宋_GB2312" w:eastAsia="仿宋_GB2312"/>
          <w:color w:val="auto"/>
          <w:sz w:val="32"/>
          <w:szCs w:val="32"/>
        </w:rPr>
        <w:t>9.48</w:t>
      </w:r>
      <w:r>
        <w:rPr>
          <w:rFonts w:hint="eastAsia" w:ascii="仿宋_GB2312" w:eastAsia="仿宋_GB2312"/>
          <w:color w:val="auto"/>
          <w:sz w:val="32"/>
          <w:szCs w:val="32"/>
        </w:rPr>
        <w:t>万元；工程采购支出</w:t>
      </w:r>
      <w:r>
        <w:rPr>
          <w:rFonts w:ascii="仿宋_GB2312" w:eastAsia="仿宋_GB2312"/>
          <w:color w:val="auto"/>
          <w:sz w:val="32"/>
          <w:szCs w:val="32"/>
        </w:rPr>
        <w:t>0</w:t>
      </w:r>
      <w:r>
        <w:rPr>
          <w:rFonts w:hint="eastAsia" w:ascii="仿宋_GB2312" w:eastAsia="仿宋_GB2312"/>
          <w:color w:val="auto"/>
          <w:sz w:val="32"/>
          <w:szCs w:val="32"/>
        </w:rPr>
        <w:t>万元；服务支出</w:t>
      </w:r>
      <w:r>
        <w:rPr>
          <w:rFonts w:ascii="仿宋_GB2312" w:eastAsia="仿宋_GB2312"/>
          <w:color w:val="auto"/>
          <w:sz w:val="32"/>
          <w:szCs w:val="32"/>
        </w:rPr>
        <w:t>108.2</w:t>
      </w:r>
      <w:r>
        <w:rPr>
          <w:rFonts w:hint="eastAsia" w:ascii="仿宋_GB2312" w:eastAsia="仿宋_GB2312"/>
          <w:color w:val="auto"/>
          <w:sz w:val="32"/>
          <w:szCs w:val="32"/>
        </w:rPr>
        <w:t>万元。授予中小企业合同金额</w:t>
      </w:r>
      <w:r>
        <w:rPr>
          <w:rFonts w:ascii="仿宋_GB2312" w:eastAsia="仿宋_GB2312"/>
          <w:color w:val="auto"/>
          <w:sz w:val="32"/>
          <w:szCs w:val="32"/>
        </w:rPr>
        <w:t>0</w:t>
      </w:r>
      <w:r>
        <w:rPr>
          <w:rFonts w:hint="eastAsia" w:ascii="仿宋_GB2312" w:eastAsia="仿宋_GB2312"/>
          <w:color w:val="auto"/>
          <w:sz w:val="32"/>
          <w:szCs w:val="32"/>
        </w:rPr>
        <w:t>万元，占政府采购支出总额</w:t>
      </w:r>
      <w:r>
        <w:rPr>
          <w:rFonts w:ascii="仿宋_GB2312" w:eastAsia="仿宋_GB2312"/>
          <w:color w:val="auto"/>
          <w:sz w:val="32"/>
          <w:szCs w:val="32"/>
        </w:rPr>
        <w:t>0%</w:t>
      </w:r>
      <w:r>
        <w:rPr>
          <w:rFonts w:hint="eastAsia" w:ascii="仿宋_GB2312" w:eastAsia="仿宋_GB2312"/>
          <w:color w:val="auto"/>
          <w:sz w:val="32"/>
          <w:szCs w:val="32"/>
        </w:rPr>
        <w:t>，其中授予小微企业合同金额</w:t>
      </w:r>
      <w:r>
        <w:rPr>
          <w:rFonts w:ascii="仿宋_GB2312" w:eastAsia="仿宋_GB2312"/>
          <w:color w:val="auto"/>
          <w:sz w:val="32"/>
          <w:szCs w:val="32"/>
        </w:rPr>
        <w:t>0</w:t>
      </w:r>
      <w:r>
        <w:rPr>
          <w:rFonts w:hint="eastAsia" w:ascii="仿宋_GB2312" w:eastAsia="仿宋_GB2312"/>
          <w:color w:val="auto"/>
          <w:sz w:val="32"/>
          <w:szCs w:val="32"/>
        </w:rPr>
        <w:t>万元，占政府采购支出总额</w:t>
      </w:r>
      <w:r>
        <w:rPr>
          <w:rFonts w:ascii="仿宋_GB2312" w:eastAsia="仿宋_GB2312"/>
          <w:color w:val="auto"/>
          <w:sz w:val="32"/>
          <w:szCs w:val="32"/>
        </w:rPr>
        <w:t>0%</w:t>
      </w:r>
      <w:r>
        <w:rPr>
          <w:rFonts w:hint="eastAsia" w:ascii="仿宋_GB2312" w:eastAsia="仿宋_GB2312"/>
          <w:color w:val="auto"/>
          <w:sz w:val="32"/>
          <w:szCs w:val="32"/>
        </w:rPr>
        <w:t>。</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、国有资产占用情况</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截</w:t>
      </w:r>
      <w:r>
        <w:rPr>
          <w:rFonts w:hint="eastAsia" w:ascii="仿宋_GB2312" w:eastAsia="仿宋_GB2312"/>
          <w:color w:val="auto"/>
          <w:sz w:val="32"/>
          <w:szCs w:val="32"/>
          <w:lang w:eastAsia="zh-CN"/>
        </w:rPr>
        <w:t>至</w:t>
      </w:r>
      <w:r>
        <w:rPr>
          <w:rFonts w:ascii="仿宋_GB2312" w:eastAsia="仿宋_GB2312"/>
          <w:color w:val="auto"/>
          <w:sz w:val="32"/>
          <w:szCs w:val="32"/>
        </w:rPr>
        <w:t>2016</w:t>
      </w:r>
      <w:r>
        <w:rPr>
          <w:rFonts w:hint="eastAsia" w:ascii="仿宋_GB2312" w:eastAsia="仿宋_GB2312"/>
          <w:color w:val="auto"/>
          <w:sz w:val="32"/>
          <w:szCs w:val="32"/>
        </w:rPr>
        <w:t>年底，温州市残疾人联合会本级及所属各预算单位资产合计</w:t>
      </w:r>
      <w:r>
        <w:rPr>
          <w:rFonts w:ascii="仿宋_GB2312" w:eastAsia="仿宋_GB2312"/>
          <w:color w:val="auto"/>
          <w:sz w:val="32"/>
          <w:szCs w:val="32"/>
        </w:rPr>
        <w:t>13986.28</w:t>
      </w:r>
      <w:r>
        <w:rPr>
          <w:rFonts w:hint="eastAsia" w:ascii="仿宋_GB2312" w:eastAsia="仿宋_GB2312"/>
          <w:color w:val="auto"/>
          <w:sz w:val="32"/>
          <w:szCs w:val="32"/>
        </w:rPr>
        <w:t>万元，比上年增长</w:t>
      </w:r>
      <w:r>
        <w:rPr>
          <w:rFonts w:ascii="仿宋_GB2312" w:eastAsia="仿宋_GB2312"/>
          <w:color w:val="auto"/>
          <w:sz w:val="32"/>
          <w:szCs w:val="32"/>
        </w:rPr>
        <w:t>15.94%</w:t>
      </w:r>
      <w:r>
        <w:rPr>
          <w:rFonts w:hint="eastAsia" w:ascii="仿宋_GB2312" w:eastAsia="仿宋_GB2312"/>
          <w:color w:val="auto"/>
          <w:sz w:val="32"/>
          <w:szCs w:val="32"/>
        </w:rPr>
        <w:t>，主要原因是康复中心工程建设投资。其中：流动资产</w:t>
      </w:r>
      <w:r>
        <w:rPr>
          <w:rFonts w:ascii="仿宋_GB2312" w:eastAsia="仿宋_GB2312"/>
          <w:color w:val="auto"/>
          <w:sz w:val="32"/>
          <w:szCs w:val="32"/>
        </w:rPr>
        <w:t>146.44</w:t>
      </w:r>
      <w:r>
        <w:rPr>
          <w:rFonts w:hint="eastAsia" w:ascii="仿宋_GB2312" w:eastAsia="仿宋_GB2312"/>
          <w:color w:val="auto"/>
          <w:sz w:val="32"/>
          <w:szCs w:val="32"/>
        </w:rPr>
        <w:t>万元，占总资产的</w:t>
      </w:r>
      <w:r>
        <w:rPr>
          <w:rFonts w:ascii="仿宋_GB2312" w:eastAsia="仿宋_GB2312"/>
          <w:color w:val="auto"/>
          <w:sz w:val="32"/>
          <w:szCs w:val="32"/>
        </w:rPr>
        <w:t>1.05%</w:t>
      </w:r>
      <w:r>
        <w:rPr>
          <w:rFonts w:hint="eastAsia" w:ascii="仿宋_GB2312" w:eastAsia="仿宋_GB2312"/>
          <w:color w:val="auto"/>
          <w:sz w:val="32"/>
          <w:szCs w:val="32"/>
        </w:rPr>
        <w:t>；固定资产</w:t>
      </w:r>
      <w:r>
        <w:rPr>
          <w:rFonts w:ascii="仿宋_GB2312" w:eastAsia="仿宋_GB2312"/>
          <w:color w:val="auto"/>
          <w:sz w:val="32"/>
          <w:szCs w:val="32"/>
        </w:rPr>
        <w:t>239.02</w:t>
      </w:r>
      <w:r>
        <w:rPr>
          <w:rFonts w:hint="eastAsia" w:ascii="仿宋_GB2312" w:eastAsia="仿宋_GB2312"/>
          <w:color w:val="auto"/>
          <w:sz w:val="32"/>
          <w:szCs w:val="32"/>
        </w:rPr>
        <w:t>万元，占总资产的</w:t>
      </w:r>
      <w:r>
        <w:rPr>
          <w:rFonts w:ascii="仿宋_GB2312" w:eastAsia="仿宋_GB2312"/>
          <w:color w:val="auto"/>
          <w:sz w:val="32"/>
          <w:szCs w:val="32"/>
        </w:rPr>
        <w:t>1.71%</w:t>
      </w:r>
      <w:r>
        <w:rPr>
          <w:rFonts w:hint="eastAsia" w:ascii="仿宋_GB2312" w:eastAsia="仿宋_GB2312"/>
          <w:color w:val="auto"/>
          <w:sz w:val="32"/>
          <w:szCs w:val="32"/>
        </w:rPr>
        <w:t>；在建工程</w:t>
      </w:r>
      <w:r>
        <w:rPr>
          <w:rFonts w:ascii="仿宋_GB2312" w:eastAsia="仿宋_GB2312"/>
          <w:color w:val="auto"/>
          <w:sz w:val="32"/>
          <w:szCs w:val="32"/>
        </w:rPr>
        <w:t>13600.82</w:t>
      </w:r>
      <w:r>
        <w:rPr>
          <w:rFonts w:hint="eastAsia" w:ascii="仿宋_GB2312" w:eastAsia="仿宋_GB2312"/>
          <w:color w:val="auto"/>
          <w:sz w:val="32"/>
          <w:szCs w:val="32"/>
        </w:rPr>
        <w:t>万元，占总资产的</w:t>
      </w:r>
      <w:r>
        <w:rPr>
          <w:rFonts w:ascii="仿宋_GB2312" w:eastAsia="仿宋_GB2312"/>
          <w:color w:val="auto"/>
          <w:sz w:val="32"/>
          <w:szCs w:val="32"/>
        </w:rPr>
        <w:t>97.24%</w:t>
      </w:r>
      <w:r>
        <w:rPr>
          <w:rFonts w:hint="eastAsia" w:ascii="仿宋_GB2312" w:eastAsia="仿宋_GB2312"/>
          <w:color w:val="auto"/>
          <w:sz w:val="32"/>
          <w:szCs w:val="32"/>
        </w:rPr>
        <w:t>；。固定资产含：车辆</w:t>
      </w:r>
      <w:r>
        <w:rPr>
          <w:rFonts w:ascii="仿宋_GB2312" w:eastAsia="仿宋_GB2312"/>
          <w:color w:val="auto"/>
          <w:sz w:val="32"/>
          <w:szCs w:val="32"/>
        </w:rPr>
        <w:t>0</w:t>
      </w:r>
      <w:r>
        <w:rPr>
          <w:rFonts w:hint="eastAsia" w:ascii="仿宋_GB2312" w:eastAsia="仿宋_GB2312"/>
          <w:color w:val="auto"/>
          <w:sz w:val="32"/>
          <w:szCs w:val="32"/>
        </w:rPr>
        <w:t>辆，其中一般公务用车</w:t>
      </w:r>
      <w:r>
        <w:rPr>
          <w:rFonts w:ascii="仿宋_GB2312" w:eastAsia="仿宋_GB2312"/>
          <w:color w:val="auto"/>
          <w:sz w:val="32"/>
          <w:szCs w:val="32"/>
        </w:rPr>
        <w:t>0</w:t>
      </w:r>
      <w:r>
        <w:rPr>
          <w:rFonts w:hint="eastAsia" w:ascii="仿宋_GB2312" w:eastAsia="仿宋_GB2312"/>
          <w:color w:val="auto"/>
          <w:sz w:val="32"/>
          <w:szCs w:val="32"/>
        </w:rPr>
        <w:t>辆、一般执法执勤用车</w:t>
      </w:r>
      <w:r>
        <w:rPr>
          <w:rFonts w:ascii="仿宋_GB2312" w:eastAsia="仿宋_GB2312"/>
          <w:color w:val="auto"/>
          <w:sz w:val="32"/>
          <w:szCs w:val="32"/>
        </w:rPr>
        <w:t>0</w:t>
      </w:r>
      <w:r>
        <w:rPr>
          <w:rFonts w:hint="eastAsia" w:ascii="仿宋_GB2312" w:eastAsia="仿宋_GB2312"/>
          <w:color w:val="auto"/>
          <w:sz w:val="32"/>
          <w:szCs w:val="32"/>
        </w:rPr>
        <w:t>辆、特种专业技术用车</w:t>
      </w:r>
      <w:r>
        <w:rPr>
          <w:rFonts w:ascii="仿宋_GB2312" w:eastAsia="仿宋_GB2312"/>
          <w:color w:val="auto"/>
          <w:sz w:val="32"/>
          <w:szCs w:val="32"/>
        </w:rPr>
        <w:t>0</w:t>
      </w:r>
      <w:r>
        <w:rPr>
          <w:rFonts w:hint="eastAsia" w:ascii="仿宋_GB2312" w:eastAsia="仿宋_GB2312"/>
          <w:color w:val="auto"/>
          <w:sz w:val="32"/>
          <w:szCs w:val="32"/>
        </w:rPr>
        <w:t>辆、其他用车</w:t>
      </w:r>
      <w:r>
        <w:rPr>
          <w:rFonts w:ascii="仿宋_GB2312" w:eastAsia="仿宋_GB2312"/>
          <w:color w:val="auto"/>
          <w:sz w:val="32"/>
          <w:szCs w:val="32"/>
        </w:rPr>
        <w:t>0</w:t>
      </w:r>
      <w:r>
        <w:rPr>
          <w:rFonts w:hint="eastAsia" w:ascii="仿宋_GB2312" w:eastAsia="仿宋_GB2312"/>
          <w:color w:val="auto"/>
          <w:sz w:val="32"/>
          <w:szCs w:val="32"/>
        </w:rPr>
        <w:t>辆；单位价值</w:t>
      </w:r>
      <w:r>
        <w:rPr>
          <w:rFonts w:ascii="仿宋_GB2312" w:eastAsia="仿宋_GB2312"/>
          <w:color w:val="auto"/>
          <w:sz w:val="32"/>
          <w:szCs w:val="32"/>
        </w:rPr>
        <w:t>50</w:t>
      </w:r>
      <w:r>
        <w:rPr>
          <w:rFonts w:hint="eastAsia" w:ascii="仿宋_GB2312" w:eastAsia="仿宋_GB2312"/>
          <w:color w:val="auto"/>
          <w:sz w:val="32"/>
          <w:szCs w:val="32"/>
        </w:rPr>
        <w:t>万元（含）以上通用设备</w:t>
      </w:r>
      <w:r>
        <w:rPr>
          <w:rFonts w:ascii="仿宋_GB2312" w:eastAsia="仿宋_GB2312"/>
          <w:color w:val="auto"/>
          <w:sz w:val="32"/>
          <w:szCs w:val="32"/>
        </w:rPr>
        <w:t>1</w:t>
      </w:r>
      <w:r>
        <w:rPr>
          <w:rFonts w:hint="eastAsia" w:ascii="仿宋_GB2312" w:eastAsia="仿宋_GB2312"/>
          <w:color w:val="auto"/>
          <w:sz w:val="32"/>
          <w:szCs w:val="32"/>
        </w:rPr>
        <w:t>套（台）</w:t>
      </w:r>
      <w:r>
        <w:rPr>
          <w:rFonts w:ascii="仿宋_GB2312" w:eastAsia="仿宋_GB2312"/>
          <w:color w:val="auto"/>
          <w:sz w:val="32"/>
          <w:szCs w:val="32"/>
        </w:rPr>
        <w:t xml:space="preserve">; </w:t>
      </w:r>
      <w:r>
        <w:rPr>
          <w:rFonts w:hint="eastAsia" w:ascii="仿宋_GB2312" w:eastAsia="仿宋_GB2312"/>
          <w:color w:val="auto"/>
          <w:sz w:val="32"/>
          <w:szCs w:val="32"/>
        </w:rPr>
        <w:t>单位价值</w:t>
      </w:r>
      <w:r>
        <w:rPr>
          <w:rFonts w:ascii="仿宋_GB2312" w:eastAsia="仿宋_GB2312"/>
          <w:color w:val="auto"/>
          <w:sz w:val="32"/>
          <w:szCs w:val="32"/>
        </w:rPr>
        <w:t>100</w:t>
      </w:r>
      <w:r>
        <w:rPr>
          <w:rFonts w:hint="eastAsia" w:ascii="仿宋_GB2312" w:eastAsia="仿宋_GB2312"/>
          <w:color w:val="auto"/>
          <w:sz w:val="32"/>
          <w:szCs w:val="32"/>
        </w:rPr>
        <w:t>万元（含）以上专用设备</w:t>
      </w:r>
      <w:r>
        <w:rPr>
          <w:rFonts w:ascii="仿宋_GB2312" w:eastAsia="仿宋_GB2312"/>
          <w:color w:val="auto"/>
          <w:sz w:val="32"/>
          <w:szCs w:val="32"/>
        </w:rPr>
        <w:t>0</w:t>
      </w:r>
      <w:r>
        <w:rPr>
          <w:rFonts w:hint="eastAsia" w:ascii="仿宋_GB2312" w:eastAsia="仿宋_GB2312"/>
          <w:color w:val="auto"/>
          <w:sz w:val="32"/>
          <w:szCs w:val="32"/>
        </w:rPr>
        <w:t>套（台）。</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、绩效评价结果情况（无评价项目，也需说明）</w:t>
      </w:r>
    </w:p>
    <w:p>
      <w:pPr>
        <w:spacing w:line="600" w:lineRule="exact"/>
        <w:ind w:firstLine="645"/>
        <w:rPr>
          <w:rFonts w:ascii="楷体_GB2312" w:eastAsia="楷体_GB2312"/>
          <w:color w:val="auto"/>
          <w:sz w:val="32"/>
          <w:szCs w:val="32"/>
        </w:rPr>
      </w:pPr>
      <w:r>
        <w:rPr>
          <w:rFonts w:ascii="仿宋_GB2312" w:eastAsia="仿宋_GB2312"/>
          <w:color w:val="auto"/>
          <w:sz w:val="32"/>
          <w:szCs w:val="32"/>
        </w:rPr>
        <w:t>2016</w:t>
      </w:r>
      <w:r>
        <w:rPr>
          <w:rFonts w:hint="eastAsia" w:ascii="仿宋_GB2312" w:eastAsia="仿宋_GB2312"/>
          <w:color w:val="auto"/>
          <w:sz w:val="32"/>
          <w:szCs w:val="32"/>
        </w:rPr>
        <w:t>年无重点绩效评价项目</w:t>
      </w:r>
    </w:p>
    <w:p>
      <w:pPr>
        <w:spacing w:line="600" w:lineRule="exact"/>
        <w:ind w:firstLine="645"/>
        <w:rPr>
          <w:rFonts w:ascii="楷体_GB2312" w:eastAsia="楷体_GB2312"/>
          <w:color w:val="auto"/>
          <w:sz w:val="32"/>
          <w:szCs w:val="32"/>
        </w:rPr>
      </w:pPr>
      <w:r>
        <w:rPr>
          <w:rFonts w:hint="eastAsia" w:ascii="楷体_GB2312" w:eastAsia="楷体_GB2312"/>
          <w:color w:val="auto"/>
          <w:sz w:val="32"/>
          <w:szCs w:val="32"/>
        </w:rPr>
        <w:t>（十）其他需要公开的事项</w:t>
      </w:r>
    </w:p>
    <w:p>
      <w:pPr>
        <w:spacing w:line="600" w:lineRule="exact"/>
        <w:ind w:firstLine="645"/>
        <w:rPr>
          <w:rFonts w:ascii="楷体_GB2312" w:eastAsia="楷体_GB2312"/>
          <w:color w:val="auto"/>
          <w:sz w:val="32"/>
          <w:szCs w:val="32"/>
        </w:rPr>
      </w:pPr>
      <w:r>
        <w:rPr>
          <w:rFonts w:hint="eastAsia" w:ascii="仿宋_GB2312" w:eastAsia="仿宋_GB2312"/>
          <w:color w:val="auto"/>
          <w:sz w:val="32"/>
          <w:szCs w:val="32"/>
        </w:rPr>
        <w:t>无。</w:t>
      </w:r>
    </w:p>
    <w:p>
      <w:pPr>
        <w:spacing w:line="600" w:lineRule="exact"/>
        <w:ind w:firstLine="645"/>
        <w:rPr>
          <w:rFonts w:ascii="黑体" w:hAnsi="黑体" w:eastAsia="黑体"/>
          <w:color w:val="auto"/>
          <w:sz w:val="32"/>
          <w:szCs w:val="32"/>
        </w:rPr>
      </w:pPr>
      <w:r>
        <w:rPr>
          <w:rFonts w:hint="eastAsia" w:ascii="黑体" w:hAnsi="黑体" w:eastAsia="黑体"/>
          <w:color w:val="auto"/>
          <w:sz w:val="32"/>
          <w:szCs w:val="32"/>
        </w:rPr>
        <w:t>四、名词解释（所列具体项目由各部门按本部门情况有选择使用）</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财政拨款收入：从同级财政部门取得的财政预算资金，包括公共预算财政拨款和政府性基金预算财政拨款。</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其他收入：预算单位在“财政拨款”、“事业收入”、“经营收入”、“附属单位上缴收入”等之外取得的各项收入。</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年初结转和结余：预算单位以前年度尚未完成、结转到本年仍按原规定用途继续使用的资金，或项目已完成等产生的结余资金。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年末结转和结余：预算单位本年底前的收入预算未执行完毕，需结转下年度按照原用途继续使用的资金，或项目已完成等产生的结余资金。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基本支出：是预算单位为保障其正常运转，完成日常工作任务所发生的支出，包括人员支出和日常公用支出。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项目支出：是预算单位为完成其特定的行政工作任务或事业发展目标所发生的支出。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因公出国（境）费用：反映单位公务出国（境）的国际旅费、国外城市间交通费、住宿费、伙食费、培训费、公杂费等支出。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公务接待费：反映单位按规定开支的各类公务接待（含外宾接待）费用。</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9.</w:t>
      </w:r>
      <w:r>
        <w:rPr>
          <w:rFonts w:hint="eastAsia" w:ascii="仿宋_GB2312" w:eastAsia="仿宋_GB2312"/>
          <w:color w:val="auto"/>
          <w:sz w:val="32"/>
          <w:szCs w:val="32"/>
        </w:rPr>
        <w:t>公务用车购置：反映公务用车车辆购置支出（含车辆购置税）。</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10.</w:t>
      </w:r>
      <w:r>
        <w:rPr>
          <w:rFonts w:hint="eastAsia" w:ascii="仿宋_GB2312" w:eastAsia="仿宋_GB2312"/>
          <w:color w:val="auto"/>
          <w:sz w:val="32"/>
          <w:szCs w:val="32"/>
        </w:rPr>
        <w:t>公务用车运行维护费：反映按规定保留的公务用车燃料费、维修费、过桥过路费、保险费、安全奖励费用等支出。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11.</w:t>
      </w:r>
      <w:r>
        <w:rPr>
          <w:rFonts w:hint="eastAsia" w:ascii="仿宋_GB2312" w:eastAsia="仿宋_GB2312"/>
          <w:color w:val="auto"/>
          <w:sz w:val="32"/>
          <w:szCs w:val="32"/>
        </w:rPr>
        <w:t>机关运行经费：为保障行政单位和参照公务员法管理的事业单位运行使用一般公共预算财政拨款资金购买货物和服务的各项经费，即使用一般公共预算财政拨款资金安排的基本支出中的日常公用经费。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12.</w:t>
      </w:r>
      <w:r>
        <w:rPr>
          <w:rFonts w:hint="eastAsia" w:ascii="仿宋_GB2312" w:eastAsia="仿宋_GB2312"/>
          <w:color w:val="auto"/>
          <w:sz w:val="32"/>
          <w:szCs w:val="32"/>
        </w:rPr>
        <w:t>流动资产：是指一年以内变现或耗用的资产，包括库存现金、银行存款、零余额用款额度、财政应返还额度、应收及预付款项、存货等。</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13.</w:t>
      </w:r>
      <w:r>
        <w:rPr>
          <w:rFonts w:hint="eastAsia" w:ascii="仿宋_GB2312" w:eastAsia="仿宋_GB2312"/>
          <w:color w:val="auto"/>
          <w:sz w:val="32"/>
          <w:szCs w:val="32"/>
        </w:rPr>
        <w:t>固定资产：是指使用期限超过</w:t>
      </w:r>
      <w:r>
        <w:rPr>
          <w:rFonts w:ascii="仿宋_GB2312" w:eastAsia="仿宋_GB2312"/>
          <w:color w:val="auto"/>
          <w:sz w:val="32"/>
          <w:szCs w:val="32"/>
        </w:rPr>
        <w:t>1</w:t>
      </w:r>
      <w:r>
        <w:rPr>
          <w:rFonts w:hint="eastAsia" w:ascii="仿宋_GB2312" w:eastAsia="仿宋_GB2312"/>
          <w:color w:val="auto"/>
          <w:sz w:val="32"/>
          <w:szCs w:val="32"/>
        </w:rPr>
        <w:t>年（不含</w:t>
      </w:r>
      <w:r>
        <w:rPr>
          <w:rFonts w:ascii="仿宋_GB2312" w:eastAsia="仿宋_GB2312"/>
          <w:color w:val="auto"/>
          <w:sz w:val="32"/>
          <w:szCs w:val="32"/>
        </w:rPr>
        <w:t>1</w:t>
      </w:r>
      <w:r>
        <w:rPr>
          <w:rFonts w:hint="eastAsia" w:ascii="仿宋_GB2312" w:eastAsia="仿宋_GB2312"/>
          <w:color w:val="auto"/>
          <w:sz w:val="32"/>
          <w:szCs w:val="32"/>
        </w:rPr>
        <w:t>年），单位价值在规定标准以上，并且在使用过程中基本保持原有物质形态的资产。</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14.</w:t>
      </w:r>
      <w:r>
        <w:rPr>
          <w:rFonts w:hint="eastAsia" w:ascii="仿宋_GB2312" w:eastAsia="仿宋_GB2312"/>
          <w:color w:val="auto"/>
          <w:sz w:val="32"/>
          <w:szCs w:val="32"/>
        </w:rPr>
        <w:t>在建工程：是指单位已经发生必要支出，但尚未完工交付使用的各种建筑（包括新建、改建、扩建、修缮等）、设备安装工程和信息系统建设工程。</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15.</w:t>
      </w:r>
      <w:r>
        <w:rPr>
          <w:rFonts w:hint="eastAsia" w:ascii="仿宋_GB2312" w:eastAsia="仿宋_GB2312"/>
          <w:color w:val="auto"/>
          <w:sz w:val="32"/>
          <w:szCs w:val="32"/>
        </w:rPr>
        <w:t>无形资产：是指不具有实物形态而能为单位提供某种权利的非货币性资产。包括计算机软件、土地使用权、著作权、专利权、非专利技术等。</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16.</w:t>
      </w:r>
      <w:r>
        <w:rPr>
          <w:rFonts w:hint="eastAsia" w:ascii="仿宋_GB2312" w:eastAsia="仿宋_GB2312"/>
          <w:color w:val="auto"/>
          <w:sz w:val="32"/>
          <w:szCs w:val="32"/>
        </w:rPr>
        <w:t>社会保障和就业支出（类）残疾人事业（款）行政运行（项）：是指反映行政单位（包括实行公务员管理的事业单位）的基本支出。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17</w:t>
      </w:r>
      <w:r>
        <w:rPr>
          <w:rFonts w:hint="eastAsia" w:ascii="仿宋_GB2312" w:eastAsia="仿宋_GB2312"/>
          <w:color w:val="auto"/>
          <w:sz w:val="32"/>
          <w:szCs w:val="32"/>
        </w:rPr>
        <w:t>．社会保障和就业支出（类）残疾人事业（款）一般行政管理事务（项）：是指反映行政单位（包括实行公务员管理的事业单位）未单独设置项级科目的其他项目支出。</w:t>
      </w:r>
      <w:r>
        <w:rPr>
          <w:rFonts w:ascii="仿宋_GB2312" w:eastAsia="仿宋_GB2312"/>
          <w:color w:val="auto"/>
          <w:sz w:val="32"/>
          <w:szCs w:val="32"/>
        </w:rPr>
        <w:t xml:space="preserve">   </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18</w:t>
      </w:r>
      <w:r>
        <w:rPr>
          <w:rFonts w:hint="eastAsia" w:ascii="仿宋_GB2312" w:eastAsia="仿宋_GB2312"/>
          <w:color w:val="auto"/>
          <w:sz w:val="32"/>
          <w:szCs w:val="32"/>
        </w:rPr>
        <w:t>．社会保障和就业支出（类）残疾人事业（款）残疾人康复（项）：是指反映残疾人联合会用于残疾人康复事业方面的支出。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19</w:t>
      </w:r>
      <w:r>
        <w:rPr>
          <w:rFonts w:hint="eastAsia" w:ascii="仿宋_GB2312" w:eastAsia="仿宋_GB2312"/>
          <w:color w:val="auto"/>
          <w:sz w:val="32"/>
          <w:szCs w:val="32"/>
        </w:rPr>
        <w:t>．社会保障和就业支出（类）残疾人事业（款）残疾人体育（项）：是指反映残疾人联合会用于残疾人体育事业方面的支出。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．社会保障和就业支出（类）残疾人事业（款）其他残疾人事业支出（项）：是指反映除上述项目以外其他用于残疾人事业方面的支出。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21</w:t>
      </w:r>
      <w:r>
        <w:rPr>
          <w:rFonts w:hint="eastAsia" w:ascii="仿宋_GB2312" w:eastAsia="仿宋_GB2312"/>
          <w:color w:val="auto"/>
          <w:sz w:val="32"/>
          <w:szCs w:val="32"/>
        </w:rPr>
        <w:t>．医疗卫生与计划生育支出（类）医疗保障（款）行政单位医疗（项）：是指主要用于本单位行政机关人员的基本医疗保险缴费经费。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22</w:t>
      </w:r>
      <w:r>
        <w:rPr>
          <w:rFonts w:hint="eastAsia" w:ascii="仿宋_GB2312" w:eastAsia="仿宋_GB2312"/>
          <w:color w:val="auto"/>
          <w:sz w:val="32"/>
          <w:szCs w:val="32"/>
        </w:rPr>
        <w:t>．医疗卫生与计划生育支出（类）医疗保障（款）事业单位医疗（项）：是指主要用于本单位事业编制人员的基本医疗保险缴费经费。</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23</w:t>
      </w:r>
      <w:r>
        <w:rPr>
          <w:rFonts w:hint="eastAsia" w:ascii="仿宋_GB2312" w:eastAsia="仿宋_GB2312"/>
          <w:color w:val="auto"/>
          <w:sz w:val="32"/>
          <w:szCs w:val="32"/>
        </w:rPr>
        <w:t>．城乡社区支出（类）国有土地使用权出让收入及对应专项债务收入安排的支出（款）其他国有土地使用权出让收入安排的支出（项）：是指反映土地出让收入用于其他方面的支出。不包括市县级政府当年按规定用土地出让收入向中央和省级政府缴纳的新增建设用地土地有偿使用费的支出。</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24</w:t>
      </w:r>
      <w:r>
        <w:rPr>
          <w:rFonts w:hint="eastAsia" w:ascii="仿宋_GB2312" w:eastAsia="仿宋_GB2312"/>
          <w:color w:val="auto"/>
          <w:sz w:val="32"/>
          <w:szCs w:val="32"/>
        </w:rPr>
        <w:t>．住房保障支出（类）住房改革支出（款）住房公积金（项）：是指主要用于本单位按人力资源和社会保障部、财政部规定的基本工资和津贴补贴以及规定比例为职工缴纳的住房公积金。</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25</w:t>
      </w:r>
      <w:r>
        <w:rPr>
          <w:rFonts w:hint="eastAsia" w:ascii="仿宋_GB2312" w:eastAsia="仿宋_GB2312"/>
          <w:color w:val="auto"/>
          <w:sz w:val="32"/>
          <w:szCs w:val="32"/>
        </w:rPr>
        <w:t>．住房保障支出（类）住房改革支出（款）购房补贴（项）：是指主要用于本单位向符合条件职工发放的用于购买住房的补贴。</w:t>
      </w:r>
    </w:p>
    <w:p>
      <w:pPr>
        <w:spacing w:line="600" w:lineRule="exact"/>
        <w:ind w:firstLine="645"/>
        <w:rPr>
          <w:rFonts w:ascii="黑体" w:hAnsi="黑体" w:eastAsia="黑体"/>
          <w:color w:val="auto"/>
          <w:sz w:val="32"/>
          <w:szCs w:val="32"/>
        </w:rPr>
      </w:pPr>
      <w:r>
        <w:rPr>
          <w:rFonts w:ascii="仿宋_GB2312" w:eastAsia="仿宋_GB2312"/>
          <w:color w:val="auto"/>
          <w:sz w:val="32"/>
          <w:szCs w:val="32"/>
        </w:rPr>
        <w:t>26</w:t>
      </w:r>
      <w:r>
        <w:rPr>
          <w:rFonts w:hint="eastAsia" w:ascii="仿宋_GB2312" w:eastAsia="仿宋_GB2312"/>
          <w:color w:val="auto"/>
          <w:sz w:val="32"/>
          <w:szCs w:val="32"/>
        </w:rPr>
        <w:t>．其他支出（类）其他政府性基金及对应专项债务收入安排的支出（款）其他政府性基金及对应专项债务收入安排的支出（项）：是指主要用于政府投资项目设施配套建设的支出。</w:t>
      </w:r>
    </w:p>
    <w:sectPr>
      <w:pgSz w:w="12240" w:h="15840"/>
      <w:pgMar w:top="1440" w:right="1797" w:bottom="1440" w:left="1797"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
    <w:altName w:val="Verdana"/>
    <w:panose1 w:val="00000000000000000000"/>
    <w:charset w:val="00"/>
    <w:family w:val="auto"/>
    <w:pitch w:val="default"/>
    <w:sig w:usb0="00000000" w:usb1="00000000" w:usb2="00000000" w:usb3="00000000" w:csb0="00000001" w:csb1="00000000"/>
  </w:font>
  <w:font w:name="Verdana">
    <w:panose1 w:val="020B0604030504040204"/>
    <w:charset w:val="00"/>
    <w:family w:val="auto"/>
    <w:pitch w:val="default"/>
    <w:sig w:usb0="A10006FF" w:usb1="4000205B" w:usb2="00000010" w:usb3="00000000" w:csb0="2000019F" w:csb1="00000000"/>
  </w:font>
  <w:font w:name="??_GB2312">
    <w:altName w:val="Times New Roman"/>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separate"/>
    </w:r>
    <w:r>
      <w:rPr>
        <w:rStyle w:val="9"/>
      </w:rPr>
      <w:t>15</w:t>
    </w:r>
    <w:r>
      <w:rPr>
        <w:rStyle w:val="9"/>
      </w:rPr>
      <w:fldChar w:fldCharType="end"/>
    </w:r>
  </w:p>
  <w:p>
    <w:pPr>
      <w:pStyle w:val="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1"/>
      <w:rPr>
        <w:rStyle w:val="9"/>
      </w:rPr>
    </w:pPr>
    <w:r>
      <w:rPr>
        <w:rStyle w:val="9"/>
      </w:rPr>
      <w:fldChar w:fldCharType="begin"/>
    </w:r>
    <w:r>
      <w:rPr>
        <w:rStyle w:val="9"/>
      </w:rPr>
      <w:instrText xml:space="preserve">PAGE  </w:instrText>
    </w:r>
    <w:r>
      <w:rPr>
        <w:rStyle w:val="9"/>
      </w:rPr>
      <w:fldChar w:fldCharType="end"/>
    </w:r>
  </w:p>
  <w:p>
    <w:pPr>
      <w:pStyle w:val="3"/>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NGEwNDIxMDQ4YjliZjBkMmE1ZGY4NTQ1Y2FmYTU1OTkifQ=="/>
  </w:docVars>
  <w:rsids>
    <w:rsidRoot w:val="00881F0B"/>
    <w:rsid w:val="00046671"/>
    <w:rsid w:val="00053EFE"/>
    <w:rsid w:val="00062042"/>
    <w:rsid w:val="00064128"/>
    <w:rsid w:val="000651D8"/>
    <w:rsid w:val="0007101E"/>
    <w:rsid w:val="00072BCA"/>
    <w:rsid w:val="00090EA8"/>
    <w:rsid w:val="000E188B"/>
    <w:rsid w:val="000E18A3"/>
    <w:rsid w:val="000F6A4F"/>
    <w:rsid w:val="001016A7"/>
    <w:rsid w:val="00117DA1"/>
    <w:rsid w:val="00120C66"/>
    <w:rsid w:val="00120CDC"/>
    <w:rsid w:val="00176822"/>
    <w:rsid w:val="0018273E"/>
    <w:rsid w:val="00184183"/>
    <w:rsid w:val="001902D7"/>
    <w:rsid w:val="00190775"/>
    <w:rsid w:val="001920D4"/>
    <w:rsid w:val="00192FAE"/>
    <w:rsid w:val="001A2286"/>
    <w:rsid w:val="001A45E9"/>
    <w:rsid w:val="001D5629"/>
    <w:rsid w:val="001E74C5"/>
    <w:rsid w:val="001F527C"/>
    <w:rsid w:val="00207B27"/>
    <w:rsid w:val="00214241"/>
    <w:rsid w:val="00221B85"/>
    <w:rsid w:val="00250207"/>
    <w:rsid w:val="00257A58"/>
    <w:rsid w:val="002738A3"/>
    <w:rsid w:val="002746F1"/>
    <w:rsid w:val="00276750"/>
    <w:rsid w:val="00276FFA"/>
    <w:rsid w:val="002775E7"/>
    <w:rsid w:val="00282B23"/>
    <w:rsid w:val="00294E07"/>
    <w:rsid w:val="00295463"/>
    <w:rsid w:val="002A7BA1"/>
    <w:rsid w:val="002D6A30"/>
    <w:rsid w:val="002E00D5"/>
    <w:rsid w:val="00327825"/>
    <w:rsid w:val="00330A19"/>
    <w:rsid w:val="00342CD2"/>
    <w:rsid w:val="00344F37"/>
    <w:rsid w:val="0034725A"/>
    <w:rsid w:val="00361F65"/>
    <w:rsid w:val="00371925"/>
    <w:rsid w:val="00373442"/>
    <w:rsid w:val="003775A0"/>
    <w:rsid w:val="0038512D"/>
    <w:rsid w:val="00386388"/>
    <w:rsid w:val="0038715C"/>
    <w:rsid w:val="003A4B20"/>
    <w:rsid w:val="003A6FA2"/>
    <w:rsid w:val="003B0DD8"/>
    <w:rsid w:val="003B1368"/>
    <w:rsid w:val="003C4F54"/>
    <w:rsid w:val="003D31D7"/>
    <w:rsid w:val="003D5271"/>
    <w:rsid w:val="003E6F76"/>
    <w:rsid w:val="003F53B9"/>
    <w:rsid w:val="004044EE"/>
    <w:rsid w:val="00417507"/>
    <w:rsid w:val="00420D41"/>
    <w:rsid w:val="00450FEA"/>
    <w:rsid w:val="004614FB"/>
    <w:rsid w:val="00482F4B"/>
    <w:rsid w:val="00492845"/>
    <w:rsid w:val="00493E30"/>
    <w:rsid w:val="004C62D1"/>
    <w:rsid w:val="004D09A8"/>
    <w:rsid w:val="004E0E8D"/>
    <w:rsid w:val="004E54D8"/>
    <w:rsid w:val="004F1790"/>
    <w:rsid w:val="004F2CCF"/>
    <w:rsid w:val="004F54CB"/>
    <w:rsid w:val="00514AEC"/>
    <w:rsid w:val="00515175"/>
    <w:rsid w:val="00516246"/>
    <w:rsid w:val="005174AB"/>
    <w:rsid w:val="00586939"/>
    <w:rsid w:val="00595EAD"/>
    <w:rsid w:val="005A1EB3"/>
    <w:rsid w:val="005A6D15"/>
    <w:rsid w:val="005B180D"/>
    <w:rsid w:val="005B1CD6"/>
    <w:rsid w:val="005B602D"/>
    <w:rsid w:val="005E3140"/>
    <w:rsid w:val="006048A5"/>
    <w:rsid w:val="00604C57"/>
    <w:rsid w:val="0061194C"/>
    <w:rsid w:val="0061672A"/>
    <w:rsid w:val="006267B8"/>
    <w:rsid w:val="00632156"/>
    <w:rsid w:val="006405C2"/>
    <w:rsid w:val="00664746"/>
    <w:rsid w:val="00685EAF"/>
    <w:rsid w:val="0069448C"/>
    <w:rsid w:val="0069528E"/>
    <w:rsid w:val="006970D0"/>
    <w:rsid w:val="006C34A6"/>
    <w:rsid w:val="006C527F"/>
    <w:rsid w:val="006D6A2F"/>
    <w:rsid w:val="006F11A5"/>
    <w:rsid w:val="007013D3"/>
    <w:rsid w:val="007033AA"/>
    <w:rsid w:val="007079F8"/>
    <w:rsid w:val="00741108"/>
    <w:rsid w:val="00741B55"/>
    <w:rsid w:val="00746CBE"/>
    <w:rsid w:val="00761B9C"/>
    <w:rsid w:val="00765C83"/>
    <w:rsid w:val="00780470"/>
    <w:rsid w:val="00794BF7"/>
    <w:rsid w:val="007B0FA4"/>
    <w:rsid w:val="007B33DE"/>
    <w:rsid w:val="007B3679"/>
    <w:rsid w:val="007C44E9"/>
    <w:rsid w:val="007D348B"/>
    <w:rsid w:val="007E6CDF"/>
    <w:rsid w:val="00811126"/>
    <w:rsid w:val="008223CC"/>
    <w:rsid w:val="00822CEF"/>
    <w:rsid w:val="008346BD"/>
    <w:rsid w:val="00854686"/>
    <w:rsid w:val="00881F0B"/>
    <w:rsid w:val="00886526"/>
    <w:rsid w:val="00887089"/>
    <w:rsid w:val="00893EDB"/>
    <w:rsid w:val="008C2CF4"/>
    <w:rsid w:val="008D48F1"/>
    <w:rsid w:val="008E305C"/>
    <w:rsid w:val="008E54B4"/>
    <w:rsid w:val="008F1E0E"/>
    <w:rsid w:val="0090349E"/>
    <w:rsid w:val="009125B1"/>
    <w:rsid w:val="00923634"/>
    <w:rsid w:val="00951A76"/>
    <w:rsid w:val="0097416C"/>
    <w:rsid w:val="0097677D"/>
    <w:rsid w:val="009809AE"/>
    <w:rsid w:val="00982B21"/>
    <w:rsid w:val="009845D7"/>
    <w:rsid w:val="00990DDE"/>
    <w:rsid w:val="00997B30"/>
    <w:rsid w:val="009A37C6"/>
    <w:rsid w:val="009A7BC6"/>
    <w:rsid w:val="009B570B"/>
    <w:rsid w:val="009B781D"/>
    <w:rsid w:val="009D180F"/>
    <w:rsid w:val="009F33E5"/>
    <w:rsid w:val="00A0740C"/>
    <w:rsid w:val="00A15866"/>
    <w:rsid w:val="00A309C1"/>
    <w:rsid w:val="00A34BA9"/>
    <w:rsid w:val="00A71EB2"/>
    <w:rsid w:val="00A828DF"/>
    <w:rsid w:val="00AA03BD"/>
    <w:rsid w:val="00AC012E"/>
    <w:rsid w:val="00AC03C2"/>
    <w:rsid w:val="00AD0DE1"/>
    <w:rsid w:val="00AF106F"/>
    <w:rsid w:val="00AF2F79"/>
    <w:rsid w:val="00AF77F1"/>
    <w:rsid w:val="00B26DBD"/>
    <w:rsid w:val="00B5679A"/>
    <w:rsid w:val="00B93A85"/>
    <w:rsid w:val="00B94714"/>
    <w:rsid w:val="00BB1A58"/>
    <w:rsid w:val="00BB4E1E"/>
    <w:rsid w:val="00BC6167"/>
    <w:rsid w:val="00BF6CE9"/>
    <w:rsid w:val="00BF7B7E"/>
    <w:rsid w:val="00C03C0A"/>
    <w:rsid w:val="00C31791"/>
    <w:rsid w:val="00C33E6D"/>
    <w:rsid w:val="00C362CE"/>
    <w:rsid w:val="00C450CC"/>
    <w:rsid w:val="00C5682A"/>
    <w:rsid w:val="00C80187"/>
    <w:rsid w:val="00C81C6E"/>
    <w:rsid w:val="00C85CCC"/>
    <w:rsid w:val="00CA1E85"/>
    <w:rsid w:val="00CD3F92"/>
    <w:rsid w:val="00CD70CB"/>
    <w:rsid w:val="00CE47C0"/>
    <w:rsid w:val="00CE4D3C"/>
    <w:rsid w:val="00D366CD"/>
    <w:rsid w:val="00D41B69"/>
    <w:rsid w:val="00D54C56"/>
    <w:rsid w:val="00D61851"/>
    <w:rsid w:val="00D656DD"/>
    <w:rsid w:val="00D70031"/>
    <w:rsid w:val="00D81005"/>
    <w:rsid w:val="00D82028"/>
    <w:rsid w:val="00D82442"/>
    <w:rsid w:val="00D826D8"/>
    <w:rsid w:val="00D878BC"/>
    <w:rsid w:val="00D91495"/>
    <w:rsid w:val="00D914B2"/>
    <w:rsid w:val="00D95E1E"/>
    <w:rsid w:val="00DA64A4"/>
    <w:rsid w:val="00DB2AB9"/>
    <w:rsid w:val="00DD55A4"/>
    <w:rsid w:val="00DE1E92"/>
    <w:rsid w:val="00DE4BF0"/>
    <w:rsid w:val="00DF03E0"/>
    <w:rsid w:val="00DF4F09"/>
    <w:rsid w:val="00E0018C"/>
    <w:rsid w:val="00E11F7A"/>
    <w:rsid w:val="00E2537B"/>
    <w:rsid w:val="00E3509E"/>
    <w:rsid w:val="00E42856"/>
    <w:rsid w:val="00E67E5A"/>
    <w:rsid w:val="00E71FA7"/>
    <w:rsid w:val="00E72A06"/>
    <w:rsid w:val="00EA41D6"/>
    <w:rsid w:val="00EB6701"/>
    <w:rsid w:val="00EB7242"/>
    <w:rsid w:val="00EF3F12"/>
    <w:rsid w:val="00F20479"/>
    <w:rsid w:val="00F20E78"/>
    <w:rsid w:val="00F30F2B"/>
    <w:rsid w:val="00F318BE"/>
    <w:rsid w:val="00F770F2"/>
    <w:rsid w:val="00F915C0"/>
    <w:rsid w:val="00F96E70"/>
    <w:rsid w:val="00F97ACF"/>
    <w:rsid w:val="00FB2A6F"/>
    <w:rsid w:val="00FB2A8A"/>
    <w:rsid w:val="00FB6DE5"/>
    <w:rsid w:val="00FB7D78"/>
    <w:rsid w:val="00FC7092"/>
    <w:rsid w:val="00FC74BF"/>
    <w:rsid w:val="00FD4D65"/>
    <w:rsid w:val="00FF3C3B"/>
    <w:rsid w:val="0216345E"/>
    <w:rsid w:val="04A17F8D"/>
    <w:rsid w:val="04FC164B"/>
    <w:rsid w:val="05561CBD"/>
    <w:rsid w:val="065434A8"/>
    <w:rsid w:val="06F51316"/>
    <w:rsid w:val="089050B2"/>
    <w:rsid w:val="08B01EE6"/>
    <w:rsid w:val="08DA2585"/>
    <w:rsid w:val="0ABE5347"/>
    <w:rsid w:val="0AE948E1"/>
    <w:rsid w:val="0B2B314B"/>
    <w:rsid w:val="0B743F15"/>
    <w:rsid w:val="0BBD38DD"/>
    <w:rsid w:val="0D9831B0"/>
    <w:rsid w:val="0E433579"/>
    <w:rsid w:val="116D0AE4"/>
    <w:rsid w:val="11FA0D2E"/>
    <w:rsid w:val="12E173DD"/>
    <w:rsid w:val="14146555"/>
    <w:rsid w:val="14D60559"/>
    <w:rsid w:val="15BB54F0"/>
    <w:rsid w:val="16CD4082"/>
    <w:rsid w:val="1716648C"/>
    <w:rsid w:val="18EC7705"/>
    <w:rsid w:val="19537A57"/>
    <w:rsid w:val="19F158BA"/>
    <w:rsid w:val="1A540BA5"/>
    <w:rsid w:val="1C283A4A"/>
    <w:rsid w:val="1C6A5A78"/>
    <w:rsid w:val="1D5242D3"/>
    <w:rsid w:val="1E645398"/>
    <w:rsid w:val="20D45E64"/>
    <w:rsid w:val="233F5F52"/>
    <w:rsid w:val="23AD042C"/>
    <w:rsid w:val="23F80312"/>
    <w:rsid w:val="249E74CF"/>
    <w:rsid w:val="24BC1246"/>
    <w:rsid w:val="24CE7C10"/>
    <w:rsid w:val="27DC35F8"/>
    <w:rsid w:val="28250EB4"/>
    <w:rsid w:val="28F93DAA"/>
    <w:rsid w:val="2928725A"/>
    <w:rsid w:val="29514CDF"/>
    <w:rsid w:val="2A2A5BAA"/>
    <w:rsid w:val="2A8E7E4B"/>
    <w:rsid w:val="2AD67534"/>
    <w:rsid w:val="2B700162"/>
    <w:rsid w:val="2C493EAF"/>
    <w:rsid w:val="2CA64752"/>
    <w:rsid w:val="2DEB4EDF"/>
    <w:rsid w:val="2F7E4C82"/>
    <w:rsid w:val="2F814BD3"/>
    <w:rsid w:val="304561CD"/>
    <w:rsid w:val="306A089C"/>
    <w:rsid w:val="30921E77"/>
    <w:rsid w:val="330B1BA4"/>
    <w:rsid w:val="335A6E4D"/>
    <w:rsid w:val="33E070A3"/>
    <w:rsid w:val="355D4F68"/>
    <w:rsid w:val="35BA1692"/>
    <w:rsid w:val="36511AD9"/>
    <w:rsid w:val="39F0396E"/>
    <w:rsid w:val="3A176DF1"/>
    <w:rsid w:val="3C3C441C"/>
    <w:rsid w:val="3C75382B"/>
    <w:rsid w:val="3C767E96"/>
    <w:rsid w:val="3CAA1726"/>
    <w:rsid w:val="3E6420AE"/>
    <w:rsid w:val="3EBE0AF2"/>
    <w:rsid w:val="3ECC402C"/>
    <w:rsid w:val="3F0E6A30"/>
    <w:rsid w:val="3F2F2E23"/>
    <w:rsid w:val="3F5603F9"/>
    <w:rsid w:val="3F871EB4"/>
    <w:rsid w:val="3FB84AEB"/>
    <w:rsid w:val="40CB23DA"/>
    <w:rsid w:val="429F4C3D"/>
    <w:rsid w:val="44D500D8"/>
    <w:rsid w:val="46A57ECD"/>
    <w:rsid w:val="494F268E"/>
    <w:rsid w:val="49CA6877"/>
    <w:rsid w:val="49F81A80"/>
    <w:rsid w:val="4AC62C80"/>
    <w:rsid w:val="4B0020CC"/>
    <w:rsid w:val="4BF7497F"/>
    <w:rsid w:val="4C281BD7"/>
    <w:rsid w:val="4CE62750"/>
    <w:rsid w:val="4D401B99"/>
    <w:rsid w:val="4E120A21"/>
    <w:rsid w:val="4E607128"/>
    <w:rsid w:val="529C3AF9"/>
    <w:rsid w:val="52DD7160"/>
    <w:rsid w:val="54394B48"/>
    <w:rsid w:val="549D3743"/>
    <w:rsid w:val="54C41A63"/>
    <w:rsid w:val="54C760C2"/>
    <w:rsid w:val="567D5585"/>
    <w:rsid w:val="56AB2E3A"/>
    <w:rsid w:val="5A7004E1"/>
    <w:rsid w:val="5AF06FA8"/>
    <w:rsid w:val="5B5F67DD"/>
    <w:rsid w:val="5C6349F0"/>
    <w:rsid w:val="5C7C23A3"/>
    <w:rsid w:val="5CE40C05"/>
    <w:rsid w:val="5DC065C3"/>
    <w:rsid w:val="5E3A24DC"/>
    <w:rsid w:val="5E49781B"/>
    <w:rsid w:val="6024752D"/>
    <w:rsid w:val="6155549D"/>
    <w:rsid w:val="61BA1842"/>
    <w:rsid w:val="62AF2A96"/>
    <w:rsid w:val="63793E81"/>
    <w:rsid w:val="63E415C2"/>
    <w:rsid w:val="642678D8"/>
    <w:rsid w:val="653D072E"/>
    <w:rsid w:val="67366A34"/>
    <w:rsid w:val="67B04F94"/>
    <w:rsid w:val="694847EC"/>
    <w:rsid w:val="69520AFB"/>
    <w:rsid w:val="6D380601"/>
    <w:rsid w:val="6D394568"/>
    <w:rsid w:val="723A0027"/>
    <w:rsid w:val="735D1283"/>
    <w:rsid w:val="74D41BFA"/>
    <w:rsid w:val="77F96489"/>
    <w:rsid w:val="78190B21"/>
    <w:rsid w:val="7BC26EBD"/>
    <w:rsid w:val="7CEA6094"/>
    <w:rsid w:val="7E494ECD"/>
    <w:rsid w:val="7F423D7D"/>
    <w:rsid w:val="7FE52D78"/>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99"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99" w:semiHidden="0"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iPriority w:val="99"/>
  </w:style>
  <w:style w:type="table" w:default="1" w:styleId="6">
    <w:name w:val="Normal Table"/>
    <w:unhideWhenUsed/>
    <w:qFormat/>
    <w:uiPriority w:val="99"/>
    <w:tblPr>
      <w:tblCellMar>
        <w:top w:w="0" w:type="dxa"/>
        <w:left w:w="108" w:type="dxa"/>
        <w:bottom w:w="0" w:type="dxa"/>
        <w:right w:w="108" w:type="dxa"/>
      </w:tblCellMar>
    </w:tblPr>
  </w:style>
  <w:style w:type="paragraph" w:styleId="2">
    <w:name w:val="Balloon Text"/>
    <w:basedOn w:val="1"/>
    <w:link w:val="14"/>
    <w:qFormat/>
    <w:uiPriority w:val="99"/>
    <w:rPr>
      <w:sz w:val="18"/>
      <w:szCs w:val="18"/>
    </w:rPr>
  </w:style>
  <w:style w:type="paragraph" w:styleId="3">
    <w:name w:val="footer"/>
    <w:basedOn w:val="1"/>
    <w:link w:val="15"/>
    <w:qFormat/>
    <w:uiPriority w:val="99"/>
    <w:pPr>
      <w:tabs>
        <w:tab w:val="center" w:pos="4153"/>
        <w:tab w:val="right" w:pos="8306"/>
      </w:tabs>
      <w:snapToGrid w:val="0"/>
      <w:jc w:val="left"/>
    </w:pPr>
    <w:rPr>
      <w:sz w:val="18"/>
      <w:szCs w:val="18"/>
    </w:rPr>
  </w:style>
  <w:style w:type="paragraph" w:styleId="4">
    <w:name w:val="header"/>
    <w:basedOn w:val="1"/>
    <w:link w:val="16"/>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rPr>
      <w:sz w:val="24"/>
    </w:rPr>
  </w:style>
  <w:style w:type="character" w:styleId="8">
    <w:name w:val="Strong"/>
    <w:basedOn w:val="7"/>
    <w:qFormat/>
    <w:uiPriority w:val="99"/>
    <w:rPr>
      <w:rFonts w:cs="Times New Roman"/>
      <w:b/>
      <w:sz w:val="24"/>
      <w:szCs w:val="24"/>
    </w:rPr>
  </w:style>
  <w:style w:type="character" w:styleId="9">
    <w:name w:val="page number"/>
    <w:basedOn w:val="7"/>
    <w:uiPriority w:val="99"/>
    <w:rPr>
      <w:rFonts w:cs="Times New Roman"/>
    </w:rPr>
  </w:style>
  <w:style w:type="character" w:styleId="10">
    <w:name w:val="FollowedHyperlink"/>
    <w:basedOn w:val="7"/>
    <w:qFormat/>
    <w:uiPriority w:val="99"/>
    <w:rPr>
      <w:rFonts w:cs="Times New Roman"/>
      <w:color w:val="3D3D3D"/>
      <w:sz w:val="18"/>
      <w:szCs w:val="18"/>
      <w:u w:val="none"/>
    </w:rPr>
  </w:style>
  <w:style w:type="character" w:styleId="11">
    <w:name w:val="Emphasis"/>
    <w:basedOn w:val="7"/>
    <w:qFormat/>
    <w:uiPriority w:val="99"/>
    <w:rPr>
      <w:rFonts w:cs="Times New Roman"/>
      <w:color w:val="CC0000"/>
      <w:sz w:val="24"/>
      <w:szCs w:val="24"/>
    </w:rPr>
  </w:style>
  <w:style w:type="character" w:styleId="12">
    <w:name w:val="Hyperlink"/>
    <w:basedOn w:val="7"/>
    <w:qFormat/>
    <w:uiPriority w:val="99"/>
    <w:rPr>
      <w:rFonts w:cs="Times New Roman"/>
      <w:color w:val="3D3D3D"/>
      <w:sz w:val="18"/>
      <w:szCs w:val="18"/>
      <w:u w:val="none"/>
    </w:rPr>
  </w:style>
  <w:style w:type="character" w:styleId="13">
    <w:name w:val="HTML Cite"/>
    <w:basedOn w:val="7"/>
    <w:qFormat/>
    <w:uiPriority w:val="99"/>
    <w:rPr>
      <w:rFonts w:cs="Times New Roman"/>
      <w:sz w:val="24"/>
      <w:szCs w:val="24"/>
    </w:rPr>
  </w:style>
  <w:style w:type="character" w:customStyle="1" w:styleId="14">
    <w:name w:val="Balloon Text Char"/>
    <w:basedOn w:val="7"/>
    <w:link w:val="2"/>
    <w:semiHidden/>
    <w:locked/>
    <w:uiPriority w:val="99"/>
    <w:rPr>
      <w:rFonts w:cs="Times New Roman"/>
      <w:sz w:val="18"/>
      <w:szCs w:val="18"/>
    </w:rPr>
  </w:style>
  <w:style w:type="character" w:customStyle="1" w:styleId="15">
    <w:name w:val="Footer Char"/>
    <w:basedOn w:val="7"/>
    <w:link w:val="3"/>
    <w:qFormat/>
    <w:locked/>
    <w:uiPriority w:val="99"/>
    <w:rPr>
      <w:rFonts w:cs="Times New Roman"/>
      <w:sz w:val="18"/>
      <w:szCs w:val="18"/>
    </w:rPr>
  </w:style>
  <w:style w:type="character" w:customStyle="1" w:styleId="16">
    <w:name w:val="Header Char"/>
    <w:basedOn w:val="7"/>
    <w:link w:val="4"/>
    <w:qFormat/>
    <w:locked/>
    <w:uiPriority w:val="99"/>
    <w:rPr>
      <w:rFonts w:cs="Times New Roman"/>
      <w:sz w:val="18"/>
      <w:szCs w:val="18"/>
    </w:rPr>
  </w:style>
  <w:style w:type="paragraph" w:customStyle="1" w:styleId="17">
    <w:name w:val="List Paragraph1"/>
    <w:basedOn w:val="1"/>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24</Pages>
  <Words>8348</Words>
  <Characters>10596</Characters>
  <Lines>0</Lines>
  <Paragraphs>0</Paragraphs>
  <TotalTime>0</TotalTime>
  <ScaleCrop>false</ScaleCrop>
  <LinksUpToDate>false</LinksUpToDate>
  <CharactersWithSpaces>11500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2016-06-12T01:36:00Z</dcterms:created>
  <dc:creator>张静</dc:creator>
  <cp:lastModifiedBy>Administrator</cp:lastModifiedBy>
  <cp:lastPrinted>2016-07-07T09:09:00Z</cp:lastPrinted>
  <dcterms:modified xsi:type="dcterms:W3CDTF">2022-05-26T02:08:35Z</dcterms:modified>
  <cp:revision>149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3BA147C71AB242FC87C8940620EBF536</vt:lpwstr>
  </property>
</Properties>
</file>