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rPr>
          <w:rFonts w:ascii="黑体" w:eastAsia="黑体" w:cs="黑体"/>
          <w:spacing w:val="15"/>
          <w:sz w:val="28"/>
          <w:szCs w:val="28"/>
        </w:rPr>
      </w:pPr>
    </w:p>
    <w:p>
      <w:pPr>
        <w:autoSpaceDE w:val="0"/>
        <w:autoSpaceDN w:val="0"/>
        <w:adjustRightInd w:val="0"/>
        <w:spacing w:line="440" w:lineRule="exact"/>
        <w:jc w:val="center"/>
        <w:rPr>
          <w:rFonts w:ascii="黑体" w:eastAsia="黑体" w:cs="黑体"/>
          <w:spacing w:val="15"/>
          <w:sz w:val="44"/>
          <w:szCs w:val="44"/>
        </w:rPr>
      </w:pPr>
      <w:r>
        <w:rPr>
          <w:rFonts w:hint="eastAsia" w:ascii="黑体" w:eastAsia="黑体" w:cs="黑体"/>
          <w:spacing w:val="15"/>
          <w:sz w:val="44"/>
          <w:szCs w:val="44"/>
        </w:rPr>
        <w:t>温州市市场监督管理局</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440" w:lineRule="exact"/>
        <w:ind w:firstLine="590"/>
        <w:rPr>
          <w:rFonts w:ascii="Times New Roman" w:hAnsi="Times New Roman" w:eastAsia="黑体"/>
          <w:b/>
          <w:bCs/>
          <w:color w:val="000000"/>
          <w:sz w:val="30"/>
          <w:szCs w:val="30"/>
        </w:rPr>
      </w:pPr>
    </w:p>
    <w:p>
      <w:pPr>
        <w:autoSpaceDE w:val="0"/>
        <w:autoSpaceDN w:val="0"/>
        <w:adjustRightInd w:val="0"/>
        <w:spacing w:line="44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44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w:t>
      </w:r>
      <w:r>
        <w:rPr>
          <w:rFonts w:hint="eastAsia" w:ascii="仿宋" w:hAnsi="Times New Roman" w:eastAsia="仿宋" w:cs="仿宋"/>
          <w:sz w:val="32"/>
          <w:szCs w:val="32"/>
        </w:rPr>
        <w:t>贯彻执行工商行政管理、食品药品（含食品添加剂、保健食品、化妆品、医疗器械，下同）监督管理等方面的法律、法规、规章和政策；拟订（或制定）并组织实施有关工商行政管理和食品药品监督管理方面的规范性文件。</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拟订并组织实施市场监管事业发展规划和技术机构建设规划；组织实施商标战略；参与制定商品交易市场发展规划。</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3.</w:t>
      </w:r>
      <w:r>
        <w:rPr>
          <w:rFonts w:hint="eastAsia" w:ascii="仿宋" w:hAnsi="Times New Roman" w:eastAsia="仿宋" w:cs="仿宋"/>
          <w:sz w:val="32"/>
          <w:szCs w:val="32"/>
        </w:rPr>
        <w:t>承担市食品安全委员会办公室的日常工作；负责食品安全监督管理综合协调，健全协调联动机制；督促市级有关部门和县（市、区）政府履行食品安全监督管理职责，并负责检查、考核评价工作。</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4.</w:t>
      </w:r>
      <w:r>
        <w:rPr>
          <w:rFonts w:hint="eastAsia" w:ascii="仿宋" w:hAnsi="Times New Roman" w:eastAsia="仿宋" w:cs="仿宋"/>
          <w:sz w:val="32"/>
          <w:szCs w:val="32"/>
        </w:rPr>
        <w:t>负责食品安全应急体系和能力建设，组织拟订食品安全应急预案；牵头食品安全重大事故调查工作，组织、指导并监督食品安全突发事件调查处置工作；负责统一发布重大食品安全信息。</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5.</w:t>
      </w:r>
      <w:r>
        <w:rPr>
          <w:rFonts w:hint="eastAsia" w:ascii="仿宋" w:hAnsi="Times New Roman" w:eastAsia="仿宋" w:cs="仿宋"/>
          <w:sz w:val="32"/>
          <w:szCs w:val="32"/>
        </w:rPr>
        <w:t>负责各类企业、合作社和从事经营活动的单位、个人以及外国（地区）企业常驻代表机构等市场主体的登记注册和食品药品等行政审批，并依法监管。</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6.</w:t>
      </w:r>
      <w:r>
        <w:rPr>
          <w:rFonts w:hint="eastAsia" w:ascii="仿宋" w:hAnsi="Times New Roman" w:eastAsia="仿宋" w:cs="仿宋"/>
          <w:sz w:val="32"/>
          <w:szCs w:val="32"/>
        </w:rPr>
        <w:t>负责市场和网络交易行为及有关服务行为的监督管理，依法规范和维护市场经营秩序；依法监管经纪人、经纪机构及经纪活动；负责直销企业和直销人员及其直销活动的监督管理；负责拍卖行为的监督管理。</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7.</w:t>
      </w:r>
      <w:r>
        <w:rPr>
          <w:rFonts w:hint="eastAsia" w:ascii="仿宋" w:hAnsi="Times New Roman" w:eastAsia="仿宋" w:cs="仿宋"/>
          <w:sz w:val="32"/>
          <w:szCs w:val="32"/>
        </w:rPr>
        <w:t>负责流通领域商品质量监管，开展有关服务领域消费维权工作，承担消费者权益保护责任，建立消费者权益保护体系。</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8.</w:t>
      </w:r>
      <w:r>
        <w:rPr>
          <w:rFonts w:hint="eastAsia" w:ascii="仿宋" w:hAnsi="Times New Roman" w:eastAsia="仿宋" w:cs="仿宋"/>
          <w:sz w:val="32"/>
          <w:szCs w:val="32"/>
        </w:rPr>
        <w:t>组织实施合同行政监督管理和消费类格式合同条款备案，规范合同行为；负责动产抵押物登记管理。</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9.</w:t>
      </w:r>
      <w:r>
        <w:rPr>
          <w:rFonts w:hint="eastAsia" w:ascii="仿宋" w:hAnsi="Times New Roman" w:eastAsia="仿宋" w:cs="仿宋"/>
          <w:sz w:val="32"/>
          <w:szCs w:val="32"/>
        </w:rPr>
        <w:t>负责商标的监督管理；依法保护商标专用权；推荐省著名商标，组织认定市知名商标；依法保护特殊标志、官方标志；负责地理标志产品日常监督管理工作。</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10.</w:t>
      </w:r>
      <w:r>
        <w:rPr>
          <w:rFonts w:hint="eastAsia" w:ascii="仿宋" w:hAnsi="Times New Roman" w:eastAsia="仿宋" w:cs="仿宋"/>
          <w:sz w:val="32"/>
          <w:szCs w:val="32"/>
        </w:rPr>
        <w:t>指导广告业发展，负责广告活动的监督管理。</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11.</w:t>
      </w:r>
      <w:r>
        <w:rPr>
          <w:rFonts w:hint="eastAsia" w:ascii="仿宋" w:hAnsi="Times New Roman" w:eastAsia="仿宋" w:cs="仿宋"/>
          <w:sz w:val="32"/>
          <w:szCs w:val="32"/>
        </w:rPr>
        <w:t>负责组织开展企业信用体系建设，实施信用分类监管；组织开展企业、个体工商户、农民专业合作社、商品交易市场的年度报告和信用信息公示，并对公示信息实施监督管理。</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12.</w:t>
      </w:r>
      <w:r>
        <w:rPr>
          <w:rFonts w:hint="eastAsia" w:ascii="仿宋" w:hAnsi="Times New Roman" w:eastAsia="仿宋" w:cs="仿宋"/>
          <w:sz w:val="32"/>
          <w:szCs w:val="32"/>
        </w:rPr>
        <w:t>负责食品生产加工、流通和餐饮环节的监督管理；组织处置食品安全突发事件；负责对生产加工环节不安全食品的召回、餐饮环节实施餐饮食品安全标准和管理规范的情况进行监督；负责对食品质量进行监测。</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13.</w:t>
      </w:r>
      <w:r>
        <w:rPr>
          <w:rFonts w:hint="eastAsia" w:ascii="仿宋" w:hAnsi="Times New Roman" w:eastAsia="仿宋" w:cs="仿宋"/>
          <w:sz w:val="32"/>
          <w:szCs w:val="32"/>
        </w:rPr>
        <w:t>负责保健食品和化妆品生产、经营的监督管理；监督实施保健食品生产和经营质量管理规范、化妆品标准和技术规范；组织实施保健食品和化妆品安全性检测和评价、不良反应监测；负责保健食品、化妆品突发安全事故的应急处置。</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14.</w:t>
      </w:r>
      <w:r>
        <w:rPr>
          <w:rFonts w:hint="eastAsia" w:ascii="仿宋" w:hAnsi="Times New Roman" w:eastAsia="仿宋" w:cs="仿宋"/>
          <w:sz w:val="32"/>
          <w:szCs w:val="32"/>
        </w:rPr>
        <w:t>负责药品研制、生产的监督管理；监督实施国家药品标准、分类管理制度；监督实施药品研制和生产质量管理规范；配合有关部门实施国家基本药物制度；组织开展药品不良反应监测；负责突发性药品安全事故的应急处置和不安全药品召回的监督。</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15.</w:t>
      </w:r>
      <w:r>
        <w:rPr>
          <w:rFonts w:hint="eastAsia" w:ascii="仿宋" w:hAnsi="Times New Roman" w:eastAsia="仿宋" w:cs="仿宋"/>
          <w:sz w:val="32"/>
          <w:szCs w:val="32"/>
        </w:rPr>
        <w:t>负责药品流通的监督管理；实施药品经营质量管理规范；负责医疗机构使用药品的质量监管；组织实施处方药和非处方药分类管理制度。</w:t>
      </w:r>
    </w:p>
    <w:p>
      <w:pPr>
        <w:pStyle w:val="2"/>
        <w:spacing w:line="440" w:lineRule="exact"/>
        <w:ind w:firstLine="645"/>
        <w:rPr>
          <w:rFonts w:ascii="仿宋" w:hAnsi="Times New Roman" w:eastAsia="仿宋" w:cs="仿宋"/>
          <w:sz w:val="32"/>
          <w:szCs w:val="32"/>
        </w:rPr>
      </w:pPr>
      <w:r>
        <w:rPr>
          <w:rFonts w:ascii="仿宋" w:hAnsi="Times New Roman" w:eastAsia="仿宋" w:cs="仿宋"/>
          <w:sz w:val="32"/>
          <w:szCs w:val="32"/>
        </w:rPr>
        <w:t>16.</w:t>
      </w:r>
      <w:r>
        <w:rPr>
          <w:rFonts w:hint="eastAsia" w:ascii="仿宋" w:hAnsi="Times New Roman" w:eastAsia="仿宋" w:cs="仿宋"/>
          <w:sz w:val="32"/>
          <w:szCs w:val="32"/>
        </w:rPr>
        <w:t>负责医疗器械研制、生产、经营、使用的监督管理；监督实施医疗器械标准和相关质量管理规范；组织开展医疗器械不良事件监测；负责突发性医疗器械安全事故的应急处置。</w:t>
      </w:r>
    </w:p>
    <w:p>
      <w:pPr>
        <w:spacing w:line="440" w:lineRule="exact"/>
        <w:ind w:firstLine="640"/>
        <w:rPr>
          <w:rFonts w:ascii="仿宋" w:hAnsi="Times New Roman" w:eastAsia="仿宋" w:cs="仿宋"/>
          <w:sz w:val="32"/>
          <w:szCs w:val="32"/>
        </w:rPr>
      </w:pPr>
      <w:r>
        <w:rPr>
          <w:rFonts w:ascii="仿宋" w:hAnsi="Times New Roman" w:eastAsia="仿宋" w:cs="仿宋"/>
          <w:sz w:val="32"/>
          <w:szCs w:val="32"/>
        </w:rPr>
        <w:t>17.</w:t>
      </w:r>
      <w:r>
        <w:rPr>
          <w:rFonts w:hint="eastAsia" w:ascii="仿宋" w:hAnsi="Times New Roman" w:eastAsia="仿宋" w:cs="仿宋"/>
          <w:sz w:val="32"/>
          <w:szCs w:val="32"/>
        </w:rPr>
        <w:t>负责食品药品的质量监督；指导全市食品药品检验检测机构的业务工作；组织实施执业药师资格准入制度，指导监督执业药师注册工作。</w:t>
      </w:r>
    </w:p>
    <w:p>
      <w:pPr>
        <w:pStyle w:val="2"/>
        <w:spacing w:line="440" w:lineRule="exact"/>
        <w:ind w:firstLine="640" w:firstLineChars="200"/>
        <w:rPr>
          <w:rFonts w:ascii="仿宋" w:hAnsi="Times New Roman" w:eastAsia="仿宋" w:cs="仿宋"/>
          <w:sz w:val="32"/>
          <w:szCs w:val="32"/>
        </w:rPr>
      </w:pPr>
      <w:r>
        <w:rPr>
          <w:rFonts w:ascii="仿宋" w:hAnsi="Times New Roman" w:eastAsia="仿宋" w:cs="仿宋"/>
          <w:sz w:val="32"/>
          <w:szCs w:val="32"/>
        </w:rPr>
        <w:t>18.</w:t>
      </w:r>
      <w:r>
        <w:rPr>
          <w:rFonts w:hint="eastAsia" w:ascii="仿宋" w:hAnsi="Times New Roman" w:eastAsia="仿宋" w:cs="仿宋"/>
          <w:sz w:val="32"/>
          <w:szCs w:val="32"/>
        </w:rPr>
        <w:t>负责涉及工商行政管理、食品药品监督管理的投诉和举报的处理；依法查处违反工商行政管理、食品药品监督管理法律、法规、规章的行为。</w:t>
      </w:r>
    </w:p>
    <w:p>
      <w:pPr>
        <w:pStyle w:val="2"/>
        <w:spacing w:line="440" w:lineRule="exact"/>
        <w:ind w:firstLine="640"/>
        <w:rPr>
          <w:rFonts w:ascii="仿宋" w:hAnsi="Times New Roman" w:eastAsia="仿宋" w:cs="仿宋"/>
          <w:sz w:val="32"/>
          <w:szCs w:val="32"/>
        </w:rPr>
      </w:pPr>
      <w:r>
        <w:rPr>
          <w:rFonts w:ascii="仿宋" w:hAnsi="Times New Roman" w:eastAsia="仿宋" w:cs="仿宋"/>
          <w:sz w:val="32"/>
          <w:szCs w:val="32"/>
        </w:rPr>
        <w:t>19.</w:t>
      </w:r>
      <w:r>
        <w:rPr>
          <w:rFonts w:hint="eastAsia" w:ascii="仿宋" w:hAnsi="Times New Roman" w:eastAsia="仿宋" w:cs="仿宋"/>
          <w:sz w:val="32"/>
          <w:szCs w:val="32"/>
        </w:rPr>
        <w:t>承办市委、市政府和上级部门交办的其他事项。</w:t>
      </w:r>
    </w:p>
    <w:p>
      <w:pPr>
        <w:autoSpaceDE w:val="0"/>
        <w:autoSpaceDN w:val="0"/>
        <w:adjustRightInd w:val="0"/>
        <w:spacing w:line="44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440" w:lineRule="exact"/>
        <w:ind w:firstLine="588"/>
        <w:rPr>
          <w:rFonts w:ascii="仿宋" w:hAnsi="Times New Roman" w:eastAsia="仿宋" w:cs="仿宋"/>
          <w:sz w:val="32"/>
          <w:szCs w:val="32"/>
        </w:rPr>
      </w:pPr>
      <w:r>
        <w:rPr>
          <w:rFonts w:ascii="仿宋" w:hAnsi="Times New Roman" w:eastAsia="仿宋" w:cs="仿宋"/>
          <w:sz w:val="30"/>
          <w:szCs w:val="30"/>
          <w:lang w:val="zh-CN"/>
        </w:rPr>
        <w:t>2016</w:t>
      </w:r>
      <w:r>
        <w:rPr>
          <w:rFonts w:hint="eastAsia" w:ascii="仿宋" w:hAnsi="Times New Roman" w:eastAsia="仿宋" w:cs="仿宋"/>
          <w:sz w:val="30"/>
          <w:szCs w:val="30"/>
          <w:lang w:val="zh-CN"/>
        </w:rPr>
        <w:t>年度温州市市场监督管理局</w:t>
      </w:r>
      <w:r>
        <w:rPr>
          <w:rFonts w:hint="eastAsia" w:ascii="仿宋" w:hAnsi="Times New Roman" w:eastAsia="仿宋" w:cs="仿宋"/>
          <w:sz w:val="32"/>
          <w:szCs w:val="32"/>
        </w:rPr>
        <w:t>部门决算包括：本级决算</w:t>
      </w:r>
      <w:r>
        <w:rPr>
          <w:rFonts w:ascii="仿宋" w:hAnsi="Times New Roman" w:eastAsia="仿宋" w:cs="仿宋"/>
          <w:sz w:val="32"/>
          <w:szCs w:val="32"/>
        </w:rPr>
        <w:t>(</w:t>
      </w:r>
      <w:r>
        <w:rPr>
          <w:rFonts w:hint="eastAsia" w:ascii="仿宋" w:hAnsi="Times New Roman" w:eastAsia="仿宋" w:cs="仿宋"/>
          <w:sz w:val="32"/>
          <w:szCs w:val="32"/>
        </w:rPr>
        <w:t>含所属稽查支队、所属注册登记分局、所属消费者权益保护分局、所属直属管理分局、所属经济技术开发区分局、所属瓯江口分局、下属广告监测中心、下属干部培训学校、下属消费者权益保护委员会秘书处</w:t>
      </w:r>
      <w:r>
        <w:rPr>
          <w:rFonts w:ascii="仿宋" w:hAnsi="Times New Roman" w:eastAsia="仿宋" w:cs="仿宋"/>
          <w:sz w:val="32"/>
          <w:szCs w:val="32"/>
        </w:rPr>
        <w:t>)</w:t>
      </w:r>
      <w:r>
        <w:rPr>
          <w:rFonts w:hint="eastAsia" w:ascii="仿宋" w:hAnsi="Times New Roman" w:eastAsia="仿宋" w:cs="仿宋"/>
          <w:sz w:val="32"/>
          <w:szCs w:val="32"/>
        </w:rPr>
        <w:t>及下属</w:t>
      </w:r>
      <w:r>
        <w:rPr>
          <w:rFonts w:ascii="仿宋" w:hAnsi="Times New Roman" w:eastAsia="仿宋" w:cs="仿宋"/>
          <w:sz w:val="32"/>
          <w:szCs w:val="32"/>
        </w:rPr>
        <w:t>1</w:t>
      </w:r>
      <w:r>
        <w:rPr>
          <w:rFonts w:hint="eastAsia" w:ascii="仿宋" w:hAnsi="Times New Roman" w:eastAsia="仿宋" w:cs="仿宋"/>
          <w:sz w:val="32"/>
          <w:szCs w:val="32"/>
        </w:rPr>
        <w:t>个事业单位决算，具体如下表：</w:t>
      </w:r>
    </w:p>
    <w:tbl>
      <w:tblPr>
        <w:tblStyle w:val="6"/>
        <w:tblW w:w="7772" w:type="dxa"/>
        <w:jc w:val="center"/>
        <w:tblLayout w:type="autofit"/>
        <w:tblCellMar>
          <w:top w:w="0" w:type="dxa"/>
          <w:left w:w="108" w:type="dxa"/>
          <w:bottom w:w="0" w:type="dxa"/>
          <w:right w:w="108" w:type="dxa"/>
        </w:tblCellMar>
      </w:tblPr>
      <w:tblGrid>
        <w:gridCol w:w="760"/>
        <w:gridCol w:w="7012"/>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spacing w:line="440" w:lineRule="exact"/>
              <w:jc w:val="center"/>
              <w:rPr>
                <w:rFonts w:ascii="宋体" w:cs="Arial"/>
                <w:kern w:val="0"/>
                <w:sz w:val="22"/>
              </w:rPr>
            </w:pPr>
            <w:r>
              <w:rPr>
                <w:rFonts w:hint="eastAsia" w:ascii="宋体" w:hAnsi="宋体" w:cs="Arial"/>
                <w:kern w:val="0"/>
                <w:sz w:val="22"/>
              </w:rPr>
              <w:t>序号</w:t>
            </w:r>
          </w:p>
        </w:tc>
        <w:tc>
          <w:tcPr>
            <w:tcW w:w="7012" w:type="dxa"/>
            <w:tcBorders>
              <w:top w:val="single" w:color="auto" w:sz="4" w:space="0"/>
              <w:left w:val="nil"/>
              <w:bottom w:val="single" w:color="auto" w:sz="4" w:space="0"/>
              <w:right w:val="single" w:color="auto" w:sz="4" w:space="0"/>
            </w:tcBorders>
            <w:noWrap/>
            <w:vAlign w:val="bottom"/>
          </w:tcPr>
          <w:p>
            <w:pPr>
              <w:widowControl/>
              <w:spacing w:line="440" w:lineRule="exact"/>
              <w:jc w:val="center"/>
              <w:rPr>
                <w:rFonts w:ascii="宋体" w:cs="Arial"/>
                <w:kern w:val="0"/>
                <w:sz w:val="22"/>
              </w:rPr>
            </w:pPr>
            <w:r>
              <w:rPr>
                <w:rFonts w:hint="eastAsia" w:ascii="宋体" w:hAnsi="宋体" w:cs="Arial"/>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spacing w:line="440" w:lineRule="exact"/>
              <w:jc w:val="right"/>
              <w:rPr>
                <w:rFonts w:ascii="宋体" w:cs="Arial"/>
                <w:kern w:val="0"/>
                <w:sz w:val="22"/>
              </w:rPr>
            </w:pPr>
            <w:r>
              <w:rPr>
                <w:rFonts w:ascii="宋体" w:hAnsi="宋体" w:cs="Arial"/>
                <w:kern w:val="0"/>
                <w:sz w:val="22"/>
              </w:rPr>
              <w:t>1</w:t>
            </w:r>
          </w:p>
        </w:tc>
        <w:tc>
          <w:tcPr>
            <w:tcW w:w="7012" w:type="dxa"/>
            <w:tcBorders>
              <w:top w:val="nil"/>
              <w:left w:val="nil"/>
              <w:bottom w:val="single" w:color="auto" w:sz="4" w:space="0"/>
              <w:right w:val="single" w:color="auto" w:sz="4" w:space="0"/>
            </w:tcBorders>
            <w:noWrap/>
            <w:vAlign w:val="bottom"/>
          </w:tcPr>
          <w:p>
            <w:pPr>
              <w:widowControl/>
              <w:spacing w:line="440" w:lineRule="exact"/>
              <w:jc w:val="left"/>
              <w:rPr>
                <w:rFonts w:ascii="宋体" w:cs="Arial"/>
                <w:kern w:val="0"/>
                <w:sz w:val="22"/>
              </w:rPr>
            </w:pPr>
            <w:r>
              <w:rPr>
                <w:rFonts w:hint="eastAsia" w:ascii="仿宋" w:hAnsi="Times New Roman" w:eastAsia="仿宋" w:cs="仿宋"/>
                <w:sz w:val="32"/>
                <w:szCs w:val="32"/>
              </w:rPr>
              <w:t>温州市市场监督管理局</w:t>
            </w:r>
            <w:r>
              <w:rPr>
                <w:rFonts w:hint="eastAsia" w:ascii="仿宋" w:hAnsi="Times New Roman" w:eastAsia="仿宋" w:cs="仿宋"/>
                <w:sz w:val="30"/>
                <w:szCs w:val="30"/>
                <w:lang w:val="zh-CN"/>
              </w:rPr>
              <w:t>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spacing w:line="440" w:lineRule="exact"/>
              <w:jc w:val="right"/>
              <w:rPr>
                <w:rFonts w:ascii="宋体" w:cs="Arial"/>
                <w:kern w:val="0"/>
                <w:sz w:val="22"/>
              </w:rPr>
            </w:pPr>
            <w:r>
              <w:rPr>
                <w:rFonts w:ascii="宋体" w:hAnsi="宋体" w:cs="Arial"/>
                <w:kern w:val="0"/>
                <w:sz w:val="22"/>
              </w:rPr>
              <w:t>2</w:t>
            </w:r>
          </w:p>
        </w:tc>
        <w:tc>
          <w:tcPr>
            <w:tcW w:w="7012" w:type="dxa"/>
            <w:tcBorders>
              <w:top w:val="nil"/>
              <w:left w:val="nil"/>
              <w:bottom w:val="single" w:color="auto" w:sz="4" w:space="0"/>
              <w:right w:val="single" w:color="auto" w:sz="4" w:space="0"/>
            </w:tcBorders>
            <w:noWrap/>
            <w:vAlign w:val="bottom"/>
          </w:tcPr>
          <w:p>
            <w:pPr>
              <w:widowControl/>
              <w:spacing w:line="440" w:lineRule="exact"/>
              <w:jc w:val="left"/>
              <w:rPr>
                <w:rFonts w:ascii="宋体" w:cs="Arial"/>
                <w:kern w:val="0"/>
                <w:sz w:val="22"/>
              </w:rPr>
            </w:pPr>
            <w:r>
              <w:rPr>
                <w:rFonts w:hint="eastAsia" w:ascii="仿宋" w:hAnsi="Times New Roman" w:eastAsia="仿宋" w:cs="仿宋"/>
                <w:sz w:val="32"/>
                <w:szCs w:val="32"/>
              </w:rPr>
              <w:t>温州市食品药品检验检测院</w:t>
            </w:r>
          </w:p>
        </w:tc>
      </w:tr>
    </w:tbl>
    <w:p>
      <w:pPr>
        <w:autoSpaceDE w:val="0"/>
        <w:autoSpaceDN w:val="0"/>
        <w:adjustRightInd w:val="0"/>
        <w:spacing w:line="440" w:lineRule="exact"/>
        <w:ind w:firstLine="627"/>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p>
    <w:p>
      <w:pPr>
        <w:autoSpaceDE w:val="0"/>
        <w:autoSpaceDN w:val="0"/>
        <w:adjustRightInd w:val="0"/>
        <w:spacing w:line="440" w:lineRule="exact"/>
        <w:ind w:firstLine="627"/>
        <w:rPr>
          <w:rFonts w:ascii="黑体" w:hAnsi="Times New Roman" w:eastAsia="黑体" w:cs="黑体"/>
          <w:sz w:val="32"/>
          <w:szCs w:val="32"/>
          <w:lang w:val="zh-CN"/>
        </w:rPr>
      </w:pPr>
    </w:p>
    <w:tbl>
      <w:tblPr>
        <w:tblStyle w:val="6"/>
        <w:tblW w:w="10080" w:type="dxa"/>
        <w:tblInd w:w="-612" w:type="dxa"/>
        <w:tblLayout w:type="autofit"/>
        <w:tblCellMar>
          <w:top w:w="0" w:type="dxa"/>
          <w:left w:w="108" w:type="dxa"/>
          <w:bottom w:w="0" w:type="dxa"/>
          <w:right w:w="108" w:type="dxa"/>
        </w:tblCellMar>
      </w:tblPr>
      <w:tblGrid>
        <w:gridCol w:w="2700"/>
        <w:gridCol w:w="2340"/>
        <w:gridCol w:w="2700"/>
        <w:gridCol w:w="2340"/>
      </w:tblGrid>
      <w:tr>
        <w:tblPrEx>
          <w:tblCellMar>
            <w:top w:w="0" w:type="dxa"/>
            <w:left w:w="108" w:type="dxa"/>
            <w:bottom w:w="0" w:type="dxa"/>
            <w:right w:w="108" w:type="dxa"/>
          </w:tblCellMar>
        </w:tblPrEx>
        <w:trPr>
          <w:trHeight w:val="540" w:hRule="atLeast"/>
        </w:trPr>
        <w:tc>
          <w:tcPr>
            <w:tcW w:w="10080" w:type="dxa"/>
            <w:gridSpan w:val="4"/>
            <w:tcBorders>
              <w:top w:val="nil"/>
              <w:left w:val="nil"/>
              <w:bottom w:val="nil"/>
              <w:right w:val="nil"/>
            </w:tcBorders>
            <w:noWrap/>
            <w:vAlign w:val="center"/>
          </w:tcPr>
          <w:p>
            <w:pPr>
              <w:widowControl/>
              <w:tabs>
                <w:tab w:val="left" w:pos="3042"/>
                <w:tab w:val="left" w:pos="4752"/>
                <w:tab w:val="left" w:pos="4962"/>
              </w:tabs>
              <w:ind w:firstLine="2880" w:firstLineChars="900"/>
              <w:rPr>
                <w:rFonts w:ascii="Arial" w:hAnsi="Arial"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年度部门收支决算总表</w:t>
            </w:r>
          </w:p>
        </w:tc>
      </w:tr>
      <w:tr>
        <w:tblPrEx>
          <w:tblCellMar>
            <w:top w:w="0" w:type="dxa"/>
            <w:left w:w="108" w:type="dxa"/>
            <w:bottom w:w="0" w:type="dxa"/>
            <w:right w:w="108" w:type="dxa"/>
          </w:tblCellMar>
        </w:tblPrEx>
        <w:trPr>
          <w:trHeight w:val="255" w:hRule="atLeast"/>
        </w:trPr>
        <w:tc>
          <w:tcPr>
            <w:tcW w:w="27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34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7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340"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01</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5" w:hRule="atLeast"/>
        </w:trPr>
        <w:tc>
          <w:tcPr>
            <w:tcW w:w="5040" w:type="dxa"/>
            <w:gridSpan w:val="2"/>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27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340"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040" w:type="dxa"/>
            <w:gridSpan w:val="2"/>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5040" w:type="dxa"/>
            <w:gridSpan w:val="2"/>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23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23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7,384.44</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一般公共预算</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政府性基金预算</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2,484.48</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本年收入合计</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11,220.85</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11,570.40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七、用事业基金弥补收支差额</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二十三、结余分配</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八、年初结转和结余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1,017.64</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交纳所得税</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483.57</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提取职工福利基金</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534.07</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转入事业基金</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二十四、年末结转和结余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668.09</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0.61</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667.48</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7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12,238.49</w:t>
            </w:r>
          </w:p>
        </w:tc>
        <w:tc>
          <w:tcPr>
            <w:tcW w:w="27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2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12,238.49</w:t>
            </w:r>
          </w:p>
        </w:tc>
      </w:tr>
    </w:tbl>
    <w:p>
      <w:pPr>
        <w:tabs>
          <w:tab w:val="left" w:pos="4860"/>
        </w:tabs>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tbl>
      <w:tblPr>
        <w:tblStyle w:val="6"/>
        <w:tblW w:w="10980" w:type="dxa"/>
        <w:tblInd w:w="-972" w:type="dxa"/>
        <w:tblLayout w:type="fixed"/>
        <w:tblCellMar>
          <w:top w:w="0" w:type="dxa"/>
          <w:left w:w="108" w:type="dxa"/>
          <w:bottom w:w="0" w:type="dxa"/>
          <w:right w:w="108" w:type="dxa"/>
        </w:tblCellMar>
      </w:tblPr>
      <w:tblGrid>
        <w:gridCol w:w="1800"/>
        <w:gridCol w:w="1080"/>
        <w:gridCol w:w="1080"/>
        <w:gridCol w:w="1080"/>
        <w:gridCol w:w="1080"/>
        <w:gridCol w:w="720"/>
        <w:gridCol w:w="720"/>
        <w:gridCol w:w="720"/>
        <w:gridCol w:w="864"/>
        <w:gridCol w:w="540"/>
        <w:gridCol w:w="576"/>
        <w:gridCol w:w="720"/>
      </w:tblGrid>
      <w:tr>
        <w:tblPrEx>
          <w:tblCellMar>
            <w:top w:w="0" w:type="dxa"/>
            <w:left w:w="108" w:type="dxa"/>
            <w:bottom w:w="0" w:type="dxa"/>
            <w:right w:w="108" w:type="dxa"/>
          </w:tblCellMar>
        </w:tblPrEx>
        <w:trPr>
          <w:trHeight w:val="540" w:hRule="atLeast"/>
        </w:trPr>
        <w:tc>
          <w:tcPr>
            <w:tcW w:w="8280" w:type="dxa"/>
            <w:gridSpan w:val="8"/>
            <w:tcBorders>
              <w:top w:val="nil"/>
              <w:left w:val="nil"/>
              <w:bottom w:val="nil"/>
              <w:right w:val="nil"/>
            </w:tcBorders>
            <w:noWrap/>
            <w:vAlign w:val="bottom"/>
          </w:tcPr>
          <w:p>
            <w:pPr>
              <w:widowControl/>
              <w:jc w:val="center"/>
              <w:rPr>
                <w:rFonts w:ascii="宋体" w:cs="Arial"/>
                <w:color w:val="000000"/>
                <w:kern w:val="0"/>
                <w:sz w:val="32"/>
                <w:szCs w:val="32"/>
              </w:rPr>
            </w:pPr>
            <w:r>
              <w:rPr>
                <w:rFonts w:ascii="宋体" w:hAnsi="宋体" w:cs="Arial"/>
                <w:color w:val="000000"/>
                <w:kern w:val="0"/>
                <w:sz w:val="32"/>
                <w:szCs w:val="32"/>
              </w:rPr>
              <w:t xml:space="preserve">      2016</w:t>
            </w:r>
            <w:r>
              <w:rPr>
                <w:rFonts w:hint="eastAsia" w:ascii="宋体" w:hAnsi="宋体" w:cs="Arial"/>
                <w:color w:val="000000"/>
                <w:kern w:val="0"/>
                <w:sz w:val="32"/>
                <w:szCs w:val="32"/>
              </w:rPr>
              <w:t>年度部门收入决算总表</w:t>
            </w:r>
            <w:r>
              <w:rPr>
                <w:rFonts w:ascii="宋体" w:hAnsi="宋体" w:cs="Arial"/>
                <w:color w:val="000000"/>
                <w:kern w:val="0"/>
                <w:sz w:val="32"/>
                <w:szCs w:val="32"/>
              </w:rPr>
              <w:t>(</w:t>
            </w:r>
            <w:r>
              <w:rPr>
                <w:rFonts w:hint="eastAsia" w:ascii="宋体" w:hAnsi="宋体" w:cs="Arial"/>
                <w:color w:val="000000"/>
                <w:kern w:val="0"/>
                <w:sz w:val="32"/>
                <w:szCs w:val="32"/>
              </w:rPr>
              <w:t>分单位</w:t>
            </w:r>
            <w:r>
              <w:rPr>
                <w:rFonts w:ascii="宋体" w:hAnsi="宋体" w:cs="Arial"/>
                <w:color w:val="000000"/>
                <w:kern w:val="0"/>
                <w:sz w:val="32"/>
                <w:szCs w:val="32"/>
              </w:rPr>
              <w:t>)</w:t>
            </w:r>
          </w:p>
        </w:tc>
        <w:tc>
          <w:tcPr>
            <w:tcW w:w="864"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54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255" w:hRule="atLeast"/>
        </w:trPr>
        <w:tc>
          <w:tcPr>
            <w:tcW w:w="18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700" w:type="dxa"/>
            <w:gridSpan w:val="4"/>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02-1</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337" w:hRule="atLeast"/>
        </w:trPr>
        <w:tc>
          <w:tcPr>
            <w:tcW w:w="5040" w:type="dxa"/>
            <w:gridSpan w:val="4"/>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700" w:type="dxa"/>
            <w:gridSpan w:val="4"/>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716" w:hRule="atLeast"/>
        </w:trPr>
        <w:tc>
          <w:tcPr>
            <w:tcW w:w="1800" w:type="dxa"/>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880"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864"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54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576"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0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7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86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5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5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12,238.49</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1,017.64</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86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5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温州市市场监督管理局（本级）</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11,059.08</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932.65</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9,537.43</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9,537.43</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8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5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温州市食品药品检验检测院</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1,179.41</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84.98</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1,094.43</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1,094.43</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8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0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00" w:type="dxa"/>
            <w:tcBorders>
              <w:top w:val="single" w:color="000000" w:sz="8" w:space="0"/>
              <w:left w:val="single" w:color="000000" w:sz="8" w:space="0"/>
              <w:bottom w:val="single" w:color="000000" w:sz="8"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4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000000" w:sz="8" w:space="0"/>
              <w:left w:val="nil"/>
              <w:bottom w:val="single" w:color="000000" w:sz="8"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p>
      <w:pPr>
        <w:autoSpaceDE w:val="0"/>
        <w:autoSpaceDN w:val="0"/>
        <w:adjustRightInd w:val="0"/>
        <w:spacing w:line="440" w:lineRule="exact"/>
        <w:ind w:left="-540" w:leftChars="-257" w:firstLine="1167"/>
        <w:rPr>
          <w:rFonts w:ascii="宋体" w:cs="仿宋"/>
          <w:sz w:val="18"/>
          <w:szCs w:val="18"/>
        </w:rPr>
      </w:pPr>
    </w:p>
    <w:tbl>
      <w:tblPr>
        <w:tblStyle w:val="6"/>
        <w:tblW w:w="11919" w:type="dxa"/>
        <w:tblInd w:w="-1512" w:type="dxa"/>
        <w:tblLayout w:type="autofit"/>
        <w:tblCellMar>
          <w:top w:w="0" w:type="dxa"/>
          <w:left w:w="108" w:type="dxa"/>
          <w:bottom w:w="0" w:type="dxa"/>
          <w:right w:w="108" w:type="dxa"/>
        </w:tblCellMar>
      </w:tblPr>
      <w:tblGrid>
        <w:gridCol w:w="396"/>
        <w:gridCol w:w="156"/>
        <w:gridCol w:w="240"/>
        <w:gridCol w:w="93"/>
        <w:gridCol w:w="303"/>
        <w:gridCol w:w="93"/>
        <w:gridCol w:w="2239"/>
        <w:gridCol w:w="93"/>
        <w:gridCol w:w="933"/>
        <w:gridCol w:w="93"/>
        <w:gridCol w:w="843"/>
        <w:gridCol w:w="93"/>
        <w:gridCol w:w="933"/>
        <w:gridCol w:w="93"/>
        <w:gridCol w:w="933"/>
        <w:gridCol w:w="93"/>
        <w:gridCol w:w="483"/>
        <w:gridCol w:w="93"/>
        <w:gridCol w:w="483"/>
        <w:gridCol w:w="93"/>
        <w:gridCol w:w="483"/>
        <w:gridCol w:w="756"/>
        <w:gridCol w:w="602"/>
        <w:gridCol w:w="576"/>
        <w:gridCol w:w="630"/>
        <w:gridCol w:w="93"/>
      </w:tblGrid>
      <w:tr>
        <w:tblPrEx>
          <w:tblCellMar>
            <w:top w:w="0" w:type="dxa"/>
            <w:left w:w="108" w:type="dxa"/>
            <w:bottom w:w="0" w:type="dxa"/>
            <w:right w:w="108" w:type="dxa"/>
          </w:tblCellMar>
        </w:tblPrEx>
        <w:trPr>
          <w:gridAfter w:val="1"/>
          <w:wAfter w:w="93" w:type="dxa"/>
          <w:trHeight w:val="540" w:hRule="atLeast"/>
        </w:trPr>
        <w:tc>
          <w:tcPr>
            <w:tcW w:w="8686" w:type="dxa"/>
            <w:gridSpan w:val="19"/>
            <w:tcBorders>
              <w:top w:val="nil"/>
              <w:left w:val="nil"/>
              <w:bottom w:val="nil"/>
              <w:right w:val="nil"/>
            </w:tcBorders>
            <w:noWrap/>
            <w:vAlign w:val="bottom"/>
          </w:tcPr>
          <w:p>
            <w:pPr>
              <w:widowControl/>
              <w:ind w:left="-277" w:leftChars="-132" w:firstLine="3472" w:firstLineChars="1085"/>
              <w:jc w:val="left"/>
              <w:rPr>
                <w:rFonts w:ascii="宋体"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年度部门收入决算总表</w:t>
            </w:r>
            <w:r>
              <w:rPr>
                <w:rFonts w:ascii="宋体" w:hAnsi="宋体" w:cs="Arial"/>
                <w:color w:val="000000"/>
                <w:kern w:val="0"/>
                <w:sz w:val="32"/>
                <w:szCs w:val="32"/>
              </w:rPr>
              <w:t>(</w:t>
            </w:r>
            <w:r>
              <w:rPr>
                <w:rFonts w:hint="eastAsia" w:ascii="宋体" w:hAnsi="宋体" w:cs="Arial"/>
                <w:color w:val="000000"/>
                <w:kern w:val="0"/>
                <w:sz w:val="32"/>
                <w:szCs w:val="32"/>
              </w:rPr>
              <w:t>分科目）</w:t>
            </w:r>
          </w:p>
        </w:tc>
        <w:tc>
          <w:tcPr>
            <w:tcW w:w="57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75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602"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630" w:type="dxa"/>
            <w:tcBorders>
              <w:top w:val="nil"/>
              <w:left w:val="nil"/>
              <w:bottom w:val="nil"/>
              <w:right w:val="nil"/>
            </w:tcBorders>
            <w:noWrap/>
            <w:vAlign w:val="bottom"/>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255" w:hRule="atLeast"/>
        </w:trPr>
        <w:tc>
          <w:tcPr>
            <w:tcW w:w="552"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333"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39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2332"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93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3140" w:type="dxa"/>
            <w:gridSpan w:val="6"/>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02_2</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gridAfter w:val="1"/>
          <w:wAfter w:w="93" w:type="dxa"/>
          <w:trHeight w:val="270" w:hRule="atLeast"/>
        </w:trPr>
        <w:tc>
          <w:tcPr>
            <w:tcW w:w="3520" w:type="dxa"/>
            <w:gridSpan w:val="7"/>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93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102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576"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3140" w:type="dxa"/>
            <w:gridSpan w:val="6"/>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gridAfter w:val="1"/>
          <w:wAfter w:w="93" w:type="dxa"/>
          <w:trHeight w:val="308" w:hRule="atLeast"/>
        </w:trPr>
        <w:tc>
          <w:tcPr>
            <w:tcW w:w="1188" w:type="dxa"/>
            <w:gridSpan w:val="5"/>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科目编码</w:t>
            </w:r>
          </w:p>
        </w:tc>
        <w:tc>
          <w:tcPr>
            <w:tcW w:w="2332" w:type="dxa"/>
            <w:gridSpan w:val="2"/>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026" w:type="dxa"/>
            <w:gridSpan w:val="2"/>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936" w:type="dxa"/>
            <w:gridSpan w:val="2"/>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628" w:type="dxa"/>
            <w:gridSpan w:val="6"/>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576" w:type="dxa"/>
            <w:gridSpan w:val="2"/>
            <w:vMerge w:val="restart"/>
            <w:tcBorders>
              <w:top w:val="single" w:color="000000" w:sz="8"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576" w:type="dxa"/>
            <w:gridSpan w:val="2"/>
            <w:vMerge w:val="restart"/>
            <w:tcBorders>
              <w:top w:val="single" w:color="000000" w:sz="8"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756" w:type="dxa"/>
            <w:vMerge w:val="restart"/>
            <w:tcBorders>
              <w:top w:val="single" w:color="000000" w:sz="8"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02"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576"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3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gridAfter w:val="1"/>
          <w:wAfter w:w="93" w:type="dxa"/>
          <w:trHeight w:val="1350" w:hRule="atLeast"/>
        </w:trPr>
        <w:tc>
          <w:tcPr>
            <w:tcW w:w="1188" w:type="dxa"/>
            <w:gridSpan w:val="5"/>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33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2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36"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2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26"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576" w:type="dxa"/>
            <w:gridSpan w:val="2"/>
            <w:tcBorders>
              <w:top w:val="single" w:color="000000" w:sz="8" w:space="0"/>
              <w:left w:val="nil"/>
              <w:bottom w:val="single" w:color="auto" w:sz="4" w:space="0"/>
              <w:right w:val="single" w:color="000000" w:sz="4" w:space="0"/>
            </w:tcBorders>
            <w:shd w:val="clear" w:color="FFFFFF" w:fill="C0C0C0"/>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政府性基金预算</w:t>
            </w:r>
          </w:p>
        </w:tc>
        <w:tc>
          <w:tcPr>
            <w:tcW w:w="57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76"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gridAfter w:val="1"/>
          <w:wAfter w:w="93" w:type="dxa"/>
          <w:trHeight w:val="375" w:hRule="atLeast"/>
        </w:trPr>
        <w:tc>
          <w:tcPr>
            <w:tcW w:w="396" w:type="dxa"/>
            <w:vMerge w:val="restart"/>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396"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396"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233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2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93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02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2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576"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18"/>
                <w:szCs w:val="18"/>
              </w:rPr>
            </w:pPr>
            <w:r>
              <w:rPr>
                <w:rFonts w:ascii="宋体" w:hAnsi="宋体" w:cs="Arial"/>
                <w:color w:val="000000"/>
                <w:kern w:val="0"/>
                <w:sz w:val="18"/>
                <w:szCs w:val="18"/>
              </w:rPr>
              <w:t>5</w:t>
            </w:r>
          </w:p>
        </w:tc>
        <w:tc>
          <w:tcPr>
            <w:tcW w:w="57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576"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75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60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5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63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gridAfter w:val="1"/>
          <w:wAfter w:w="93" w:type="dxa"/>
          <w:trHeight w:val="308" w:hRule="atLeast"/>
        </w:trPr>
        <w:tc>
          <w:tcPr>
            <w:tcW w:w="39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332"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12,238.49</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1,017.64</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一般公共服务支出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7,835.41</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682.98</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6,563.43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6,563.43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工商行政管理事务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7,835.41</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682.98</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6,563.43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6,563.43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386.53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5,198.62</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5,198.62</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2011502</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928.50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339.50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339.50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589.00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2011504</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工商行政管理专项</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2011505</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执法办案专项</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2011507</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信息化建设</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2011599</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其他工商行政管理事务支出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573.83</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296.45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277.38</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277.38</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社会保障和就业支出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行政事业单位离退休</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555"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2080504</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未归口管理的行政单位离退休</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510"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2080505</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机关事业单位基本养老保险缴费支出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495"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2080506</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机关事业单位职业年金缴费支出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医疗卫生与计划生育支出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2,641.90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274.96</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2,366.94</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2,366.94</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医疗保障</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360.36</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15.45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344.91</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344.91</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314.85</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11.45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303.40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303.40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2100502</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事业单位医疗</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45.51</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41.51</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41.51</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食品和药品监督管理事务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2,281.54</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259.51</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2,022.03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2,022.03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2101001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0.61</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0.61</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2101002</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43.05</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43.05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2101016</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食品安全事务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955.38</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134.87</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820.51</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820.51</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2101050</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事业运行</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720.46</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80.98</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639.47</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639.47</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555"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2101099</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其他食品和药品监督管理事务支出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商业服务业等支出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商业流通事务</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2160299</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其他商业流通事务支出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住房保障支出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住房改革支出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2210201</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住房公积金</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2210203</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购房补贴</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308"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555"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22904</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gridAfter w:val="1"/>
          <w:wAfter w:w="93" w:type="dxa"/>
          <w:trHeight w:val="510" w:hRule="atLeast"/>
        </w:trPr>
        <w:tc>
          <w:tcPr>
            <w:tcW w:w="1188" w:type="dxa"/>
            <w:gridSpan w:val="5"/>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2290400</w:t>
            </w:r>
          </w:p>
        </w:tc>
        <w:tc>
          <w:tcPr>
            <w:tcW w:w="23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其他政府性基金及对应专项债务收入安排的支出</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93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2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gridSpan w:val="2"/>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5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0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3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bl>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tbl>
      <w:tblPr>
        <w:tblStyle w:val="6"/>
        <w:tblW w:w="11160" w:type="dxa"/>
        <w:tblInd w:w="-972" w:type="dxa"/>
        <w:tblLayout w:type="autofit"/>
        <w:tblCellMar>
          <w:top w:w="0" w:type="dxa"/>
          <w:left w:w="108" w:type="dxa"/>
          <w:bottom w:w="0" w:type="dxa"/>
          <w:right w:w="108" w:type="dxa"/>
        </w:tblCellMar>
      </w:tblPr>
      <w:tblGrid>
        <w:gridCol w:w="3240"/>
        <w:gridCol w:w="1420"/>
        <w:gridCol w:w="1340"/>
        <w:gridCol w:w="1220"/>
        <w:gridCol w:w="1260"/>
        <w:gridCol w:w="700"/>
        <w:gridCol w:w="900"/>
        <w:gridCol w:w="1080"/>
      </w:tblGrid>
      <w:tr>
        <w:tblPrEx>
          <w:tblCellMar>
            <w:top w:w="0" w:type="dxa"/>
            <w:left w:w="108" w:type="dxa"/>
            <w:bottom w:w="0" w:type="dxa"/>
            <w:right w:w="108" w:type="dxa"/>
          </w:tblCellMar>
        </w:tblPrEx>
        <w:trPr>
          <w:trHeight w:val="648" w:hRule="atLeast"/>
        </w:trPr>
        <w:tc>
          <w:tcPr>
            <w:tcW w:w="10080" w:type="dxa"/>
            <w:gridSpan w:val="7"/>
            <w:tcBorders>
              <w:top w:val="nil"/>
              <w:left w:val="nil"/>
              <w:bottom w:val="nil"/>
              <w:right w:val="nil"/>
            </w:tcBorders>
            <w:noWrap/>
            <w:vAlign w:val="bottom"/>
          </w:tcPr>
          <w:p>
            <w:pPr>
              <w:widowControl/>
              <w:ind w:firstLine="2400" w:firstLineChars="750"/>
              <w:jc w:val="left"/>
              <w:rPr>
                <w:rFonts w:ascii="Arial" w:hAnsi="Arial"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年度部门支出决算总表</w:t>
            </w:r>
            <w:r>
              <w:rPr>
                <w:rFonts w:ascii="宋体" w:hAnsi="宋体" w:cs="Arial"/>
                <w:color w:val="000000"/>
                <w:kern w:val="0"/>
                <w:sz w:val="32"/>
                <w:szCs w:val="32"/>
              </w:rPr>
              <w:t>(</w:t>
            </w:r>
            <w:r>
              <w:rPr>
                <w:rFonts w:hint="eastAsia" w:ascii="宋体" w:hAnsi="宋体" w:cs="Arial"/>
                <w:color w:val="000000"/>
                <w:kern w:val="0"/>
                <w:sz w:val="32"/>
                <w:szCs w:val="32"/>
              </w:rPr>
              <w:t>分单位</w:t>
            </w:r>
            <w:r>
              <w:rPr>
                <w:rFonts w:ascii="宋体" w:hAnsi="宋体" w:cs="Arial"/>
                <w:color w:val="000000"/>
                <w:kern w:val="0"/>
                <w:sz w:val="32"/>
                <w:szCs w:val="32"/>
              </w:rPr>
              <w:t>)</w:t>
            </w:r>
          </w:p>
        </w:tc>
        <w:tc>
          <w:tcPr>
            <w:tcW w:w="1080"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324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4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34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2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26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980" w:type="dxa"/>
            <w:gridSpan w:val="2"/>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03_1</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5" w:hRule="atLeast"/>
        </w:trPr>
        <w:tc>
          <w:tcPr>
            <w:tcW w:w="4660" w:type="dxa"/>
            <w:gridSpan w:val="2"/>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134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2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26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980" w:type="dxa"/>
            <w:gridSpan w:val="2"/>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3240" w:type="dxa"/>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4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560" w:type="dxa"/>
            <w:gridSpan w:val="2"/>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2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7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480" w:hRule="atLeast"/>
        </w:trPr>
        <w:tc>
          <w:tcPr>
            <w:tcW w:w="32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4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34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12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12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4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3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2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2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7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11,570.40</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7,184.45</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1,165.75</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3,220.19</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温州市市场监督管理局（本级）</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10,390.99</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6,389.07</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1,077.34</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2,924.58</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温州市食品药品检验检测院</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1,179.41</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795.38</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88.42</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295.61</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24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3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240" w:type="dxa"/>
            <w:tcBorders>
              <w:top w:val="single" w:color="000000" w:sz="8" w:space="0"/>
              <w:left w:val="single" w:color="000000" w:sz="8" w:space="0"/>
              <w:bottom w:val="single" w:color="000000" w:sz="8"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42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34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2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26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0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80" w:type="dxa"/>
            <w:tcBorders>
              <w:top w:val="single" w:color="000000" w:sz="8" w:space="0"/>
              <w:left w:val="nil"/>
              <w:bottom w:val="single" w:color="000000" w:sz="8"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bl>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p>
      <w:pPr>
        <w:autoSpaceDE w:val="0"/>
        <w:autoSpaceDN w:val="0"/>
        <w:adjustRightInd w:val="0"/>
        <w:spacing w:line="440" w:lineRule="exact"/>
        <w:ind w:firstLine="627"/>
        <w:rPr>
          <w:rFonts w:ascii="仿宋" w:hAnsi="Times New Roman" w:eastAsia="仿宋" w:cs="仿宋"/>
          <w:sz w:val="32"/>
          <w:szCs w:val="32"/>
        </w:rPr>
      </w:pPr>
    </w:p>
    <w:tbl>
      <w:tblPr>
        <w:tblStyle w:val="6"/>
        <w:tblW w:w="10620" w:type="dxa"/>
        <w:tblInd w:w="-972" w:type="dxa"/>
        <w:tblLayout w:type="autofit"/>
        <w:tblCellMar>
          <w:top w:w="0" w:type="dxa"/>
          <w:left w:w="108" w:type="dxa"/>
          <w:bottom w:w="0" w:type="dxa"/>
          <w:right w:w="108" w:type="dxa"/>
        </w:tblCellMar>
      </w:tblPr>
      <w:tblGrid>
        <w:gridCol w:w="436"/>
        <w:gridCol w:w="436"/>
        <w:gridCol w:w="436"/>
        <w:gridCol w:w="2832"/>
        <w:gridCol w:w="1080"/>
        <w:gridCol w:w="936"/>
        <w:gridCol w:w="936"/>
        <w:gridCol w:w="936"/>
        <w:gridCol w:w="612"/>
        <w:gridCol w:w="900"/>
        <w:gridCol w:w="1080"/>
      </w:tblGrid>
      <w:tr>
        <w:tblPrEx>
          <w:tblCellMar>
            <w:top w:w="0" w:type="dxa"/>
            <w:left w:w="108" w:type="dxa"/>
            <w:bottom w:w="0" w:type="dxa"/>
            <w:right w:w="108" w:type="dxa"/>
          </w:tblCellMar>
        </w:tblPrEx>
        <w:trPr>
          <w:trHeight w:val="540" w:hRule="atLeast"/>
        </w:trPr>
        <w:tc>
          <w:tcPr>
            <w:tcW w:w="10620" w:type="dxa"/>
            <w:gridSpan w:val="11"/>
            <w:tcBorders>
              <w:top w:val="nil"/>
              <w:left w:val="nil"/>
              <w:bottom w:val="nil"/>
              <w:right w:val="nil"/>
            </w:tcBorders>
            <w:noWrap/>
            <w:vAlign w:val="bottom"/>
          </w:tcPr>
          <w:p>
            <w:pPr>
              <w:widowControl/>
              <w:jc w:val="center"/>
              <w:rPr>
                <w:rFonts w:ascii="宋体"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年度部门支出决算总表</w:t>
            </w:r>
            <w:r>
              <w:rPr>
                <w:rFonts w:ascii="宋体" w:hAnsi="宋体" w:cs="Arial"/>
                <w:color w:val="000000"/>
                <w:kern w:val="0"/>
                <w:sz w:val="32"/>
                <w:szCs w:val="32"/>
              </w:rPr>
              <w:t>(</w:t>
            </w:r>
            <w:r>
              <w:rPr>
                <w:rFonts w:hint="eastAsia" w:ascii="宋体" w:hAnsi="宋体" w:cs="Arial"/>
                <w:color w:val="000000"/>
                <w:kern w:val="0"/>
                <w:sz w:val="32"/>
                <w:szCs w:val="32"/>
              </w:rPr>
              <w:t>分科目</w:t>
            </w:r>
            <w:r>
              <w:rPr>
                <w:rFonts w:ascii="宋体" w:hAnsi="宋体" w:cs="Arial"/>
                <w:color w:val="000000"/>
                <w:kern w:val="0"/>
                <w:sz w:val="32"/>
                <w:szCs w:val="32"/>
              </w:rPr>
              <w:t>)</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3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1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03_2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140" w:type="dxa"/>
            <w:gridSpan w:val="4"/>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108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93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93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93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612"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9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80"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308"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2832"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1872" w:type="dxa"/>
            <w:gridSpan w:val="2"/>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936"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612"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9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495" w:hRule="atLeast"/>
        </w:trPr>
        <w:tc>
          <w:tcPr>
            <w:tcW w:w="130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3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93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9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28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9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61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08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83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11,570.40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7,184.45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1,165.75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3,220.19</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一般公共服务支出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7,384.44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4,515.40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1,069.74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1,799.30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工商行政管理事务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7,384.44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4,515.40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1,069.74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1,799.30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2011501</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4,515.40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1,069.74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2011502</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743.98</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743.98</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2011504</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工商行政管理专项</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2011505</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执法办案专项</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2011507</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信息化建设</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2011599</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其他工商行政管理事务支出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307.38</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307.38</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社会保障和就业支出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1,200.41</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7.60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行政事业单位离退休</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1,200.41</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7.60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2080504</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未归口管理的行政单位离退休</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395.94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7.60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2080505</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机关事业单位基本养老保险缴费支出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2080506</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机关事业单位职业年金缴费支出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医疗卫生与计划生育支出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2,484.48</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992.40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88.42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1,403.66</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医疗保障</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360.36</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360.36</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2100501</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314.85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314.85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2100502</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事业单位医疗</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45.51</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45.51</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食品和药品监督管理事务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2,124.12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632.04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88.42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1,403.66</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2101002</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2.03</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2.03</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2101016</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食品安全事务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839.59</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839.59</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2101050</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事业运行</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720.46</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632.04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88.42</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2101099</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其他食品和药品监督管理事务支出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商业服务业等支出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商业流通事务</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2160299</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其他商业流通事务支出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住房保障支出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住房改革支出</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2210201</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住房公积金</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2210203</w:t>
            </w:r>
          </w:p>
        </w:tc>
        <w:tc>
          <w:tcPr>
            <w:tcW w:w="2832"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购房补贴</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3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bl>
    <w:p>
      <w:pPr>
        <w:autoSpaceDE w:val="0"/>
        <w:autoSpaceDN w:val="0"/>
        <w:adjustRightInd w:val="0"/>
        <w:spacing w:line="440" w:lineRule="exact"/>
        <w:rPr>
          <w:rFonts w:ascii="仿宋" w:hAnsi="Times New Roman" w:eastAsia="仿宋" w:cs="仿宋"/>
          <w:sz w:val="32"/>
          <w:szCs w:val="32"/>
        </w:rPr>
      </w:pPr>
    </w:p>
    <w:tbl>
      <w:tblPr>
        <w:tblStyle w:val="6"/>
        <w:tblW w:w="10080" w:type="dxa"/>
        <w:tblInd w:w="-432" w:type="dxa"/>
        <w:tblLayout w:type="autofit"/>
        <w:tblCellMar>
          <w:top w:w="0" w:type="dxa"/>
          <w:left w:w="108" w:type="dxa"/>
          <w:bottom w:w="0" w:type="dxa"/>
          <w:right w:w="108" w:type="dxa"/>
        </w:tblCellMar>
      </w:tblPr>
      <w:tblGrid>
        <w:gridCol w:w="3280"/>
        <w:gridCol w:w="1760"/>
        <w:gridCol w:w="3300"/>
        <w:gridCol w:w="1740"/>
      </w:tblGrid>
      <w:tr>
        <w:tblPrEx>
          <w:tblCellMar>
            <w:top w:w="0" w:type="dxa"/>
            <w:left w:w="108" w:type="dxa"/>
            <w:bottom w:w="0" w:type="dxa"/>
            <w:right w:w="108" w:type="dxa"/>
          </w:tblCellMar>
        </w:tblPrEx>
        <w:trPr>
          <w:trHeight w:val="540" w:hRule="atLeast"/>
        </w:trPr>
        <w:tc>
          <w:tcPr>
            <w:tcW w:w="10080" w:type="dxa"/>
            <w:gridSpan w:val="4"/>
            <w:tcBorders>
              <w:top w:val="nil"/>
              <w:left w:val="nil"/>
              <w:bottom w:val="nil"/>
              <w:right w:val="nil"/>
            </w:tcBorders>
            <w:noWrap/>
            <w:vAlign w:val="bottom"/>
          </w:tcPr>
          <w:p>
            <w:pPr>
              <w:widowControl/>
              <w:ind w:firstLine="2240" w:firstLineChars="700"/>
              <w:jc w:val="left"/>
              <w:rPr>
                <w:rFonts w:ascii="Arial" w:hAnsi="Arial"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年度部门财政拨款收支决算表</w:t>
            </w:r>
          </w:p>
        </w:tc>
      </w:tr>
      <w:tr>
        <w:tblPrEx>
          <w:tblCellMar>
            <w:top w:w="0" w:type="dxa"/>
            <w:left w:w="108" w:type="dxa"/>
            <w:bottom w:w="0" w:type="dxa"/>
            <w:right w:w="108" w:type="dxa"/>
          </w:tblCellMar>
        </w:tblPrEx>
        <w:trPr>
          <w:trHeight w:val="255" w:hRule="atLeast"/>
        </w:trPr>
        <w:tc>
          <w:tcPr>
            <w:tcW w:w="3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3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040" w:type="dxa"/>
            <w:gridSpan w:val="2"/>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330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740"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040" w:type="dxa"/>
            <w:gridSpan w:val="2"/>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5040" w:type="dxa"/>
            <w:gridSpan w:val="2"/>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17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项目（按功能分类）</w:t>
            </w:r>
          </w:p>
        </w:tc>
        <w:tc>
          <w:tcPr>
            <w:tcW w:w="174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一、本年收入</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6,979.96</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（一）一般公共预算拨款</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10,631.85</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（二）政府性基金预算拨款</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二、上年结转</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1,017.64</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（一）一般公共预算拨款</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957.93</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（二）政府性基金预算拨款</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2,484.48</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11,165.91</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二十四、结转下年</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483.58</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28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收入总计</w:t>
            </w:r>
          </w:p>
        </w:tc>
        <w:tc>
          <w:tcPr>
            <w:tcW w:w="17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11,649.49</w:t>
            </w:r>
          </w:p>
        </w:tc>
        <w:tc>
          <w:tcPr>
            <w:tcW w:w="33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支出总计</w:t>
            </w:r>
          </w:p>
        </w:tc>
        <w:tc>
          <w:tcPr>
            <w:tcW w:w="17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11,649.49</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tbl>
      <w:tblPr>
        <w:tblStyle w:val="6"/>
        <w:tblW w:w="10080" w:type="dxa"/>
        <w:tblInd w:w="-432" w:type="dxa"/>
        <w:tblLayout w:type="autofit"/>
        <w:tblCellMar>
          <w:top w:w="0" w:type="dxa"/>
          <w:left w:w="108" w:type="dxa"/>
          <w:bottom w:w="0" w:type="dxa"/>
          <w:right w:w="108" w:type="dxa"/>
        </w:tblCellMar>
      </w:tblPr>
      <w:tblGrid>
        <w:gridCol w:w="396"/>
        <w:gridCol w:w="396"/>
        <w:gridCol w:w="396"/>
        <w:gridCol w:w="4315"/>
        <w:gridCol w:w="1167"/>
        <w:gridCol w:w="1041"/>
        <w:gridCol w:w="1041"/>
        <w:gridCol w:w="1328"/>
      </w:tblGrid>
      <w:tr>
        <w:tblPrEx>
          <w:tblCellMar>
            <w:top w:w="0" w:type="dxa"/>
            <w:left w:w="108" w:type="dxa"/>
            <w:bottom w:w="0" w:type="dxa"/>
            <w:right w:w="108" w:type="dxa"/>
          </w:tblCellMar>
        </w:tblPrEx>
        <w:trPr>
          <w:trHeight w:val="540" w:hRule="atLeast"/>
        </w:trPr>
        <w:tc>
          <w:tcPr>
            <w:tcW w:w="10080" w:type="dxa"/>
            <w:gridSpan w:val="8"/>
            <w:tcBorders>
              <w:top w:val="nil"/>
              <w:left w:val="nil"/>
              <w:bottom w:val="nil"/>
              <w:right w:val="nil"/>
            </w:tcBorders>
            <w:noWrap/>
            <w:vAlign w:val="bottom"/>
          </w:tcPr>
          <w:p>
            <w:pPr>
              <w:widowControl/>
              <w:jc w:val="center"/>
              <w:rPr>
                <w:rFonts w:ascii="宋体"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年度部门一般公共预算支出决算表</w:t>
            </w:r>
          </w:p>
        </w:tc>
      </w:tr>
      <w:tr>
        <w:tblPrEx>
          <w:tblCellMar>
            <w:top w:w="0" w:type="dxa"/>
            <w:left w:w="108" w:type="dxa"/>
            <w:bottom w:w="0" w:type="dxa"/>
            <w:right w:w="108" w:type="dxa"/>
          </w:tblCellMar>
        </w:tblPrEx>
        <w:trPr>
          <w:trHeight w:val="255" w:hRule="atLeast"/>
        </w:trPr>
        <w:tc>
          <w:tcPr>
            <w:tcW w:w="39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39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39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4315"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167"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41"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41"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328"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05</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5" w:hRule="atLeast"/>
        </w:trPr>
        <w:tc>
          <w:tcPr>
            <w:tcW w:w="5503" w:type="dxa"/>
            <w:gridSpan w:val="4"/>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1167"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41"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041"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1328"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188"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科目编码</w:t>
            </w:r>
          </w:p>
        </w:tc>
        <w:tc>
          <w:tcPr>
            <w:tcW w:w="4315"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167"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41"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041"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328" w:type="dxa"/>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备注</w:t>
            </w:r>
          </w:p>
        </w:tc>
      </w:tr>
      <w:tr>
        <w:tblPrEx>
          <w:tblCellMar>
            <w:top w:w="0" w:type="dxa"/>
            <w:left w:w="108" w:type="dxa"/>
            <w:bottom w:w="0" w:type="dxa"/>
            <w:right w:w="108" w:type="dxa"/>
          </w:tblCellMar>
        </w:tblPrEx>
        <w:trPr>
          <w:trHeight w:val="308" w:hRule="atLeast"/>
        </w:trPr>
        <w:tc>
          <w:tcPr>
            <w:tcW w:w="118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43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16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0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0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32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r>
      <w:tr>
        <w:tblPrEx>
          <w:tblCellMar>
            <w:top w:w="0" w:type="dxa"/>
            <w:left w:w="108" w:type="dxa"/>
            <w:bottom w:w="0" w:type="dxa"/>
            <w:right w:w="108" w:type="dxa"/>
          </w:tblCellMar>
        </w:tblPrEx>
        <w:trPr>
          <w:trHeight w:val="585" w:hRule="atLeast"/>
        </w:trPr>
        <w:tc>
          <w:tcPr>
            <w:tcW w:w="396"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3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39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431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11,165.91</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8,350.21</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2,815.71</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一般公共服务支出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6,979.96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1,394.81</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工商行政管理事务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6,979.96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1,394.81</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2011501</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5,585.14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2011502</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339.50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339.50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2011504</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工商行政管理专项</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400.67</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2011505</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执法办案专项</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68.47</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2011507</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信息化建设</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278.79</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2011599</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其他工商行政管理事务支出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307.38</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307.38</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社会保障和就业支出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行政事业单位离退休</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1,208.00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2080504</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未归口管理的行政单位离退休</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403.53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2080505</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机关事业单位基本养老保险缴费支出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313.82</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2080506</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机关事业单位职业年金缴费支出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490.65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医疗卫生与计划生育支出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2,484.48</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1,080.82</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1,403.66</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医疗保障</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360.36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360.36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2100501</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314.85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314.85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2100502</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事业单位医疗</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45.51</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45.51</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食品和药品监督管理事务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2,124.12</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720.46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1,403.66</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2101002</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2.03</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2101016</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食品安全事务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839.59</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839.59</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2101050</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事业运行</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720.46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720.46</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2101099</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其他食品和药品监督管理事务支出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562.05</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商业服务业等支出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商业流通事务</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2160299</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其他商业流通事务支出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17.23</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住房保障支出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住房改革支出</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476.24</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2210201</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住房公积金</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408.08</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118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2210203</w:t>
            </w:r>
          </w:p>
        </w:tc>
        <w:tc>
          <w:tcPr>
            <w:tcW w:w="4315"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购房补贴</w:t>
            </w:r>
          </w:p>
        </w:tc>
        <w:tc>
          <w:tcPr>
            <w:tcW w:w="1167"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68.15</w:t>
            </w:r>
          </w:p>
        </w:tc>
        <w:tc>
          <w:tcPr>
            <w:tcW w:w="104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132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tbl>
      <w:tblPr>
        <w:tblStyle w:val="6"/>
        <w:tblW w:w="9900" w:type="dxa"/>
        <w:tblInd w:w="-252" w:type="dxa"/>
        <w:tblLayout w:type="autofit"/>
        <w:tblCellMar>
          <w:top w:w="0" w:type="dxa"/>
          <w:left w:w="108" w:type="dxa"/>
          <w:bottom w:w="0" w:type="dxa"/>
          <w:right w:w="108" w:type="dxa"/>
        </w:tblCellMar>
      </w:tblPr>
      <w:tblGrid>
        <w:gridCol w:w="860"/>
        <w:gridCol w:w="2900"/>
        <w:gridCol w:w="1460"/>
        <w:gridCol w:w="900"/>
        <w:gridCol w:w="2230"/>
        <w:gridCol w:w="1550"/>
      </w:tblGrid>
      <w:tr>
        <w:tblPrEx>
          <w:tblCellMar>
            <w:top w:w="0" w:type="dxa"/>
            <w:left w:w="108" w:type="dxa"/>
            <w:bottom w:w="0" w:type="dxa"/>
            <w:right w:w="108" w:type="dxa"/>
          </w:tblCellMar>
        </w:tblPrEx>
        <w:trPr>
          <w:trHeight w:val="540" w:hRule="atLeast"/>
        </w:trPr>
        <w:tc>
          <w:tcPr>
            <w:tcW w:w="9900" w:type="dxa"/>
            <w:gridSpan w:val="6"/>
            <w:tcBorders>
              <w:top w:val="nil"/>
              <w:left w:val="nil"/>
              <w:bottom w:val="nil"/>
            </w:tcBorders>
            <w:noWrap/>
            <w:vAlign w:val="bottom"/>
          </w:tcPr>
          <w:p>
            <w:pPr>
              <w:widowControl/>
              <w:ind w:firstLine="1600" w:firstLineChars="500"/>
              <w:jc w:val="left"/>
              <w:rPr>
                <w:rFonts w:ascii="Arial" w:hAnsi="Arial"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年度部门一般公共预算基本支出决算表</w:t>
            </w:r>
          </w:p>
        </w:tc>
      </w:tr>
      <w:tr>
        <w:tblPrEx>
          <w:tblCellMar>
            <w:top w:w="0" w:type="dxa"/>
            <w:left w:w="108" w:type="dxa"/>
            <w:bottom w:w="0" w:type="dxa"/>
            <w:right w:w="108" w:type="dxa"/>
          </w:tblCellMar>
        </w:tblPrEx>
        <w:trPr>
          <w:trHeight w:val="255" w:hRule="atLeast"/>
        </w:trPr>
        <w:tc>
          <w:tcPr>
            <w:tcW w:w="8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5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06</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220" w:type="dxa"/>
            <w:gridSpan w:val="3"/>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编制单位：温州市市场监督管理局（汇总）</w:t>
            </w:r>
          </w:p>
        </w:tc>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3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5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220" w:type="dxa"/>
            <w:gridSpan w:val="3"/>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人员经费</w:t>
            </w:r>
          </w:p>
        </w:tc>
        <w:tc>
          <w:tcPr>
            <w:tcW w:w="4680" w:type="dxa"/>
            <w:gridSpan w:val="3"/>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公用经费</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46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c>
          <w:tcPr>
            <w:tcW w:w="90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23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55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工资福利支出</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5,869.76</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商品和服务支出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1,147.49</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基本工资</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1,212.18</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123.13</w:t>
            </w:r>
          </w:p>
        </w:tc>
      </w:tr>
      <w:tr>
        <w:tblPrEx>
          <w:tblCellMar>
            <w:top w:w="0" w:type="dxa"/>
            <w:left w:w="108" w:type="dxa"/>
            <w:bottom w:w="0" w:type="dxa"/>
            <w:right w:w="108" w:type="dxa"/>
          </w:tblCellMar>
        </w:tblPrEx>
        <w:trPr>
          <w:trHeight w:val="27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津贴补贴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1,638.12</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印刷费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15.43</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奖金</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1,058.78</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30203</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咨询费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0.23</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30104</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其他社会保障缴费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76.69</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30204</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手续费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0.11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30106</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伙食补助费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75.42</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30205</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水费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7.15</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30107</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绩效工资</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494.30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30206</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电费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19.68</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30108</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机关事业单位基本养老保险缴费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388.86</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30207</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邮电费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21.04</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30109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职业年金缴费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492.59</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30208</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取暖费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30199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其他工资福利支出</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432.82</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30209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物业管理费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2.69</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对个人和家庭的补助</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1,314.69</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差旅费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51.17</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离休费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62.17</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因公出国（境）费用</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15.12</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退休费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343.43</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30213</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维修</w:t>
            </w:r>
            <w:r>
              <w:rPr>
                <w:rFonts w:ascii="宋体" w:hAnsi="宋体" w:cs="Arial"/>
                <w:color w:val="000000"/>
                <w:kern w:val="0"/>
                <w:sz w:val="20"/>
                <w:szCs w:val="20"/>
              </w:rPr>
              <w:t>(</w:t>
            </w:r>
            <w:r>
              <w:rPr>
                <w:rFonts w:hint="eastAsia" w:ascii="宋体" w:hAnsi="宋体" w:cs="Arial"/>
                <w:color w:val="000000"/>
                <w:kern w:val="0"/>
                <w:sz w:val="20"/>
                <w:szCs w:val="20"/>
              </w:rPr>
              <w:t>护</w:t>
            </w:r>
            <w:r>
              <w:rPr>
                <w:rFonts w:ascii="宋体" w:hAnsi="宋体" w:cs="Arial"/>
                <w:color w:val="000000"/>
                <w:kern w:val="0"/>
                <w:sz w:val="20"/>
                <w:szCs w:val="20"/>
              </w:rPr>
              <w:t>)</w:t>
            </w:r>
            <w:r>
              <w:rPr>
                <w:rFonts w:hint="eastAsia" w:ascii="宋体" w:hAnsi="宋体" w:cs="Arial"/>
                <w:color w:val="000000"/>
                <w:kern w:val="0"/>
                <w:sz w:val="20"/>
                <w:szCs w:val="20"/>
              </w:rPr>
              <w:t>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37.62</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退职（役）费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30214</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租赁费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0.94</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30304</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抚恤金</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55.34</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30215</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会议费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18.42</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30305</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生活补助</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3.03</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30216</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培训费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10.18</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30306</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救济费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30217</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公务接待费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13.14</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30307</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医疗费</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360.36</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30218</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专用材料费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10.87</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30308</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助学金</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30224</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被装购置费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30309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奖励金</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30225</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专用燃料费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9.51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30310</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生产补贴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30226</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劳务费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308.09</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30311</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住房公积金</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408.08</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30227</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委托业务费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34.44</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30312</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提租补贴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30228</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工会经费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40.82</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30313</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购房补贴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68.15</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30229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福利费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92.68</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30314</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采暖补贴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30231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公务用车运行维护费</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30.41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30315</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物业服务补贴</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30239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其他交通费用</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252.61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30399</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其他对个人和家庭的补助支出</w:t>
            </w:r>
          </w:p>
        </w:tc>
        <w:tc>
          <w:tcPr>
            <w:tcW w:w="14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14.13</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30240</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税金及附加费用</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30299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其他商品和服务支出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32.01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304</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对事业单位的补贴</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企业政策性补贴</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事业单位补贴</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30403</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财政贴息</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30499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其他对企事业单位的补贴</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310</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其他资本性支出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18.26</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房屋建筑物购建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办公设备购置</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9.01</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31003</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专用设备购置</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9.25</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31005</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基础设施建设</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31006</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大型修缮</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31007</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信息网络及软件购置更新</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31008</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物资储备</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31009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土地补偿</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31010</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安置补助</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31011</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地上附着物和青苗补偿</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31012</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拆迁补偿</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31013</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公务用车购置</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31019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其他交通工具购置</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31099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其他资本性支出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399</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其他支出</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r>
        <w:tblPrEx>
          <w:tblCellMar>
            <w:top w:w="0" w:type="dxa"/>
            <w:left w:w="108" w:type="dxa"/>
            <w:bottom w:w="0" w:type="dxa"/>
            <w:right w:w="108" w:type="dxa"/>
          </w:tblCellMar>
        </w:tblPrEx>
        <w:trPr>
          <w:trHeight w:val="308" w:hRule="atLeast"/>
        </w:trPr>
        <w:tc>
          <w:tcPr>
            <w:tcW w:w="860" w:type="dxa"/>
            <w:tcBorders>
              <w:top w:val="nil"/>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6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0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ascii="宋体" w:hAnsi="宋体" w:cs="Arial"/>
                <w:color w:val="000000"/>
                <w:kern w:val="0"/>
                <w:sz w:val="20"/>
                <w:szCs w:val="20"/>
              </w:rPr>
              <w:t>39906</w:t>
            </w:r>
          </w:p>
        </w:tc>
        <w:tc>
          <w:tcPr>
            <w:tcW w:w="2230"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赠与</w:t>
            </w:r>
          </w:p>
        </w:tc>
        <w:tc>
          <w:tcPr>
            <w:tcW w:w="155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0"/>
                <w:szCs w:val="20"/>
              </w:rPr>
            </w:pPr>
            <w:r>
              <w:rPr>
                <w:rFonts w:ascii="宋体" w:hAnsi="宋体" w:cs="Arial"/>
                <w:color w:val="000000"/>
                <w:kern w:val="0"/>
                <w:sz w:val="20"/>
                <w:szCs w:val="20"/>
              </w:rPr>
              <w:t>0.00</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tbl>
      <w:tblPr>
        <w:tblStyle w:val="6"/>
        <w:tblW w:w="9896" w:type="dxa"/>
        <w:tblInd w:w="-252" w:type="dxa"/>
        <w:tblLayout w:type="autofit"/>
        <w:tblCellMar>
          <w:top w:w="0" w:type="dxa"/>
          <w:left w:w="108" w:type="dxa"/>
          <w:bottom w:w="0" w:type="dxa"/>
          <w:right w:w="108" w:type="dxa"/>
        </w:tblCellMar>
      </w:tblPr>
      <w:tblGrid>
        <w:gridCol w:w="436"/>
        <w:gridCol w:w="436"/>
        <w:gridCol w:w="436"/>
        <w:gridCol w:w="232"/>
        <w:gridCol w:w="4092"/>
        <w:gridCol w:w="668"/>
        <w:gridCol w:w="720"/>
        <w:gridCol w:w="720"/>
        <w:gridCol w:w="668"/>
        <w:gridCol w:w="576"/>
        <w:gridCol w:w="912"/>
      </w:tblGrid>
      <w:tr>
        <w:tblPrEx>
          <w:tblCellMar>
            <w:top w:w="0" w:type="dxa"/>
            <w:left w:w="108" w:type="dxa"/>
            <w:bottom w:w="0" w:type="dxa"/>
            <w:right w:w="108" w:type="dxa"/>
          </w:tblCellMar>
        </w:tblPrEx>
        <w:trPr>
          <w:trHeight w:val="540" w:hRule="atLeast"/>
        </w:trPr>
        <w:tc>
          <w:tcPr>
            <w:tcW w:w="8408" w:type="dxa"/>
            <w:gridSpan w:val="9"/>
            <w:tcBorders>
              <w:top w:val="nil"/>
              <w:left w:val="nil"/>
              <w:bottom w:val="nil"/>
              <w:right w:val="nil"/>
            </w:tcBorders>
            <w:noWrap/>
            <w:vAlign w:val="bottom"/>
          </w:tcPr>
          <w:p>
            <w:pPr>
              <w:widowControl/>
              <w:ind w:firstLine="1760" w:firstLineChars="550"/>
              <w:jc w:val="left"/>
              <w:rPr>
                <w:rFonts w:ascii="Arial" w:hAnsi="Arial" w:cs="Arial"/>
                <w:color w:val="000000"/>
                <w:kern w:val="0"/>
                <w:sz w:val="32"/>
                <w:szCs w:val="32"/>
              </w:rPr>
            </w:pPr>
            <w:r>
              <w:rPr>
                <w:rFonts w:ascii="宋体" w:hAnsi="宋体" w:cs="Arial"/>
                <w:color w:val="000000"/>
                <w:kern w:val="0"/>
                <w:sz w:val="32"/>
                <w:szCs w:val="32"/>
              </w:rPr>
              <w:t>2016</w:t>
            </w:r>
            <w:r>
              <w:rPr>
                <w:rFonts w:hint="eastAsia" w:ascii="宋体" w:hAnsi="宋体" w:cs="Arial"/>
                <w:color w:val="000000"/>
                <w:kern w:val="0"/>
                <w:sz w:val="32"/>
                <w:szCs w:val="32"/>
              </w:rPr>
              <w:t>年度部门政府性基金收入支出决算表</w:t>
            </w:r>
          </w:p>
        </w:tc>
        <w:tc>
          <w:tcPr>
            <w:tcW w:w="5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12"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09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88" w:type="dxa"/>
            <w:gridSpan w:val="2"/>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632" w:type="dxa"/>
            <w:gridSpan w:val="5"/>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编制单位：温州市市场监督管理局（汇总）</w:t>
            </w:r>
          </w:p>
        </w:tc>
        <w:tc>
          <w:tcPr>
            <w:tcW w:w="668"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720"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156" w:type="dxa"/>
            <w:gridSpan w:val="3"/>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308" w:type="dxa"/>
            <w:gridSpan w:val="3"/>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4324" w:type="dxa"/>
            <w:gridSpan w:val="2"/>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668" w:type="dxa"/>
            <w:vMerge w:val="restart"/>
            <w:tcBorders>
              <w:top w:val="single" w:color="000000" w:sz="8"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年初结余和结转</w:t>
            </w:r>
          </w:p>
        </w:tc>
        <w:tc>
          <w:tcPr>
            <w:tcW w:w="720" w:type="dxa"/>
            <w:vMerge w:val="restart"/>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本年收入</w:t>
            </w:r>
          </w:p>
        </w:tc>
        <w:tc>
          <w:tcPr>
            <w:tcW w:w="1964" w:type="dxa"/>
            <w:gridSpan w:val="3"/>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w:t>
            </w:r>
          </w:p>
        </w:tc>
        <w:tc>
          <w:tcPr>
            <w:tcW w:w="912" w:type="dxa"/>
            <w:vMerge w:val="restart"/>
            <w:tcBorders>
              <w:top w:val="single" w:color="000000" w:sz="8"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rPr>
            </w:pPr>
            <w:r>
              <w:rPr>
                <w:rFonts w:hint="eastAsia" w:ascii="宋体" w:hAnsi="宋体" w:cs="Arial"/>
                <w:color w:val="000000"/>
                <w:kern w:val="0"/>
                <w:sz w:val="22"/>
              </w:rPr>
              <w:t>年末结余结转</w:t>
            </w: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4324"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8"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小</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66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5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91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trHeight w:val="111" w:hRule="atLeast"/>
        </w:trPr>
        <w:tc>
          <w:tcPr>
            <w:tcW w:w="436" w:type="dxa"/>
            <w:vMerge w:val="restart"/>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4324"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66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7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66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5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91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4324"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22904</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2290400</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其他政府性基金及对应专项债务收入安排的支出</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0.00</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59.70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4324" w:type="dxa"/>
            <w:gridSpan w:val="2"/>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68"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12"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宋体" w:cs="仿宋"/>
          <w:sz w:val="18"/>
          <w:szCs w:val="18"/>
        </w:rPr>
      </w:pPr>
    </w:p>
    <w:tbl>
      <w:tblPr>
        <w:tblStyle w:val="6"/>
        <w:tblW w:w="9480" w:type="dxa"/>
        <w:tblInd w:w="93" w:type="dxa"/>
        <w:tblLayout w:type="autofit"/>
        <w:tblCellMar>
          <w:top w:w="0" w:type="dxa"/>
          <w:left w:w="108" w:type="dxa"/>
          <w:bottom w:w="0" w:type="dxa"/>
          <w:right w:w="108" w:type="dxa"/>
        </w:tblCellMar>
      </w:tblPr>
      <w:tblGrid>
        <w:gridCol w:w="3615"/>
        <w:gridCol w:w="3060"/>
        <w:gridCol w:w="2569"/>
        <w:gridCol w:w="236"/>
      </w:tblGrid>
      <w:tr>
        <w:tblPrEx>
          <w:tblCellMar>
            <w:top w:w="0" w:type="dxa"/>
            <w:left w:w="108" w:type="dxa"/>
            <w:bottom w:w="0" w:type="dxa"/>
            <w:right w:w="108" w:type="dxa"/>
          </w:tblCellMar>
        </w:tblPrEx>
        <w:trPr>
          <w:trHeight w:val="630" w:hRule="atLeast"/>
        </w:trPr>
        <w:tc>
          <w:tcPr>
            <w:tcW w:w="9244" w:type="dxa"/>
            <w:gridSpan w:val="3"/>
            <w:tcBorders>
              <w:top w:val="nil"/>
              <w:left w:val="nil"/>
              <w:bottom w:val="nil"/>
              <w:right w:val="nil"/>
            </w:tcBorders>
            <w:noWrap/>
            <w:vAlign w:val="bottom"/>
          </w:tcPr>
          <w:p>
            <w:pPr>
              <w:widowControl/>
              <w:jc w:val="center"/>
              <w:rPr>
                <w:rFonts w:ascii="Arial" w:hAnsi="Arial" w:cs="Arial"/>
                <w:color w:val="000000"/>
                <w:kern w:val="0"/>
                <w:sz w:val="32"/>
                <w:szCs w:val="32"/>
              </w:rPr>
            </w:pPr>
            <w:r>
              <w:rPr>
                <w:rFonts w:ascii="Arial" w:hAnsi="Arial" w:cs="Arial"/>
                <w:color w:val="000000"/>
                <w:kern w:val="0"/>
                <w:sz w:val="32"/>
                <w:szCs w:val="32"/>
              </w:rPr>
              <w:t>2016</w:t>
            </w:r>
            <w:r>
              <w:rPr>
                <w:rFonts w:hint="eastAsia" w:ascii="Arial" w:hAnsi="Arial" w:cs="Arial"/>
                <w:color w:val="000000"/>
                <w:kern w:val="0"/>
                <w:sz w:val="32"/>
                <w:szCs w:val="32"/>
              </w:rPr>
              <w:t>年度部门</w:t>
            </w:r>
            <w:r>
              <w:rPr>
                <w:rFonts w:ascii="Arial" w:hAnsi="Arial" w:cs="Arial"/>
                <w:color w:val="000000"/>
                <w:kern w:val="0"/>
                <w:sz w:val="32"/>
                <w:szCs w:val="32"/>
              </w:rPr>
              <w:t>“</w:t>
            </w:r>
            <w:r>
              <w:rPr>
                <w:rFonts w:hint="eastAsia" w:ascii="Arial" w:hAnsi="Arial" w:cs="Arial"/>
                <w:color w:val="000000"/>
                <w:kern w:val="0"/>
                <w:sz w:val="32"/>
                <w:szCs w:val="32"/>
              </w:rPr>
              <w:t>三公</w:t>
            </w:r>
            <w:r>
              <w:rPr>
                <w:rFonts w:ascii="Arial" w:hAnsi="Arial" w:cs="Arial"/>
                <w:color w:val="000000"/>
                <w:kern w:val="0"/>
                <w:sz w:val="32"/>
                <w:szCs w:val="32"/>
              </w:rPr>
              <w:t>”</w:t>
            </w:r>
            <w:r>
              <w:rPr>
                <w:rFonts w:hint="eastAsia" w:ascii="Arial" w:hAnsi="Arial" w:cs="Arial"/>
                <w:color w:val="000000"/>
                <w:kern w:val="0"/>
                <w:sz w:val="32"/>
                <w:szCs w:val="32"/>
              </w:rPr>
              <w:t>经费决算表</w:t>
            </w: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600" w:hRule="atLeast"/>
        </w:trPr>
        <w:tc>
          <w:tcPr>
            <w:tcW w:w="9244" w:type="dxa"/>
            <w:gridSpan w:val="3"/>
            <w:tcBorders>
              <w:top w:val="nil"/>
              <w:left w:val="nil"/>
              <w:bottom w:val="nil"/>
              <w:right w:val="nil"/>
            </w:tcBorders>
            <w:noWrap/>
            <w:vAlign w:val="bottom"/>
          </w:tcPr>
          <w:p>
            <w:pPr>
              <w:widowControl/>
              <w:jc w:val="center"/>
              <w:rPr>
                <w:rFonts w:ascii="仿宋" w:hAnsi="Arial" w:eastAsia="仿宋" w:cs="Arial"/>
                <w:color w:val="000000"/>
                <w:kern w:val="0"/>
                <w:sz w:val="18"/>
                <w:szCs w:val="18"/>
              </w:rPr>
            </w:pPr>
            <w:r>
              <w:rPr>
                <w:rFonts w:ascii="仿宋" w:hAnsi="Arial" w:eastAsia="仿宋" w:cs="Arial"/>
                <w:color w:val="000000"/>
                <w:kern w:val="0"/>
                <w:sz w:val="18"/>
                <w:szCs w:val="18"/>
              </w:rPr>
              <w:t>(</w:t>
            </w:r>
            <w:r>
              <w:rPr>
                <w:rFonts w:hint="eastAsia" w:ascii="仿宋" w:hAnsi="Arial" w:eastAsia="仿宋" w:cs="Arial"/>
                <w:color w:val="000000"/>
                <w:kern w:val="0"/>
                <w:sz w:val="18"/>
                <w:szCs w:val="18"/>
              </w:rPr>
              <w:t>“三公”经费决算数与部门预算“三公”经费公开的资金性质口径一致</w:t>
            </w:r>
            <w:r>
              <w:rPr>
                <w:rFonts w:ascii="仿宋" w:hAnsi="Arial" w:eastAsia="仿宋" w:cs="Arial"/>
                <w:color w:val="000000"/>
                <w:kern w:val="0"/>
                <w:sz w:val="18"/>
                <w:szCs w:val="18"/>
              </w:rPr>
              <w:t>)</w:t>
            </w: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285" w:hRule="atLeast"/>
        </w:trPr>
        <w:tc>
          <w:tcPr>
            <w:tcW w:w="3615" w:type="dxa"/>
            <w:tcBorders>
              <w:top w:val="nil"/>
              <w:left w:val="nil"/>
              <w:bottom w:val="nil"/>
              <w:right w:val="nil"/>
            </w:tcBorders>
          </w:tcPr>
          <w:p>
            <w:pPr>
              <w:widowControl/>
              <w:rPr>
                <w:rFonts w:ascii="Arial" w:hAnsi="Arial" w:cs="Arial"/>
                <w:color w:val="000000"/>
                <w:kern w:val="0"/>
                <w:sz w:val="20"/>
                <w:szCs w:val="20"/>
              </w:rPr>
            </w:pPr>
          </w:p>
        </w:tc>
        <w:tc>
          <w:tcPr>
            <w:tcW w:w="3060" w:type="dxa"/>
            <w:tcBorders>
              <w:top w:val="nil"/>
              <w:left w:val="nil"/>
              <w:bottom w:val="nil"/>
              <w:right w:val="nil"/>
            </w:tcBorders>
            <w:noWrap/>
            <w:vAlign w:val="bottom"/>
          </w:tcPr>
          <w:p>
            <w:pPr>
              <w:widowControl/>
              <w:rPr>
                <w:rFonts w:ascii="Arial" w:hAnsi="Arial" w:cs="Arial"/>
                <w:color w:val="000000"/>
                <w:kern w:val="0"/>
                <w:sz w:val="20"/>
                <w:szCs w:val="20"/>
              </w:rPr>
            </w:pPr>
          </w:p>
        </w:tc>
        <w:tc>
          <w:tcPr>
            <w:tcW w:w="2805" w:type="dxa"/>
            <w:gridSpan w:val="2"/>
            <w:tcBorders>
              <w:top w:val="nil"/>
              <w:left w:val="nil"/>
              <w:bottom w:val="nil"/>
              <w:right w:val="nil"/>
            </w:tcBorders>
            <w:noWrap/>
            <w:vAlign w:val="center"/>
          </w:tcPr>
          <w:p>
            <w:pPr>
              <w:widowControl/>
              <w:jc w:val="right"/>
              <w:rPr>
                <w:rFonts w:cs="Arial"/>
                <w:color w:val="000000"/>
                <w:kern w:val="0"/>
                <w:szCs w:val="21"/>
              </w:rPr>
            </w:pPr>
            <w:r>
              <w:rPr>
                <w:rFonts w:hint="eastAsia" w:ascii="宋体" w:hAnsi="宋体" w:cs="Arial"/>
                <w:color w:val="000000"/>
                <w:kern w:val="0"/>
                <w:sz w:val="20"/>
                <w:szCs w:val="20"/>
              </w:rPr>
              <w:t>公开</w:t>
            </w:r>
            <w:r>
              <w:rPr>
                <w:rFonts w:cs="Arial"/>
                <w:color w:val="000000"/>
                <w:kern w:val="0"/>
                <w:sz w:val="20"/>
                <w:szCs w:val="20"/>
              </w:rPr>
              <w:t>08</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345" w:hRule="atLeast"/>
        </w:trPr>
        <w:tc>
          <w:tcPr>
            <w:tcW w:w="3615" w:type="dxa"/>
            <w:tcBorders>
              <w:top w:val="nil"/>
              <w:left w:val="nil"/>
              <w:bottom w:val="nil"/>
              <w:right w:val="nil"/>
            </w:tcBorders>
          </w:tcPr>
          <w:p>
            <w:pPr>
              <w:widowControl/>
              <w:rPr>
                <w:rFonts w:ascii="宋体" w:cs="Arial"/>
                <w:color w:val="000000"/>
                <w:kern w:val="0"/>
                <w:sz w:val="18"/>
                <w:szCs w:val="18"/>
              </w:rPr>
            </w:pPr>
            <w:r>
              <w:rPr>
                <w:rFonts w:hint="eastAsia" w:ascii="宋体" w:hAnsi="宋体" w:cs="Arial"/>
                <w:color w:val="000000"/>
                <w:kern w:val="0"/>
                <w:sz w:val="18"/>
                <w:szCs w:val="18"/>
              </w:rPr>
              <w:t>部门：温州市市场监督管理局（汇总）</w:t>
            </w:r>
          </w:p>
        </w:tc>
        <w:tc>
          <w:tcPr>
            <w:tcW w:w="3060" w:type="dxa"/>
            <w:tcBorders>
              <w:top w:val="nil"/>
              <w:left w:val="nil"/>
              <w:bottom w:val="single" w:color="000000" w:sz="8" w:space="0"/>
              <w:right w:val="nil"/>
            </w:tcBorders>
            <w:noWrap/>
            <w:vAlign w:val="bottom"/>
          </w:tcPr>
          <w:p>
            <w:pPr>
              <w:widowControl/>
              <w:rPr>
                <w:rFonts w:ascii="宋体" w:cs="Arial"/>
                <w:color w:val="000000"/>
                <w:kern w:val="0"/>
                <w:sz w:val="18"/>
                <w:szCs w:val="18"/>
              </w:rPr>
            </w:pPr>
            <w:r>
              <w:rPr>
                <w:rFonts w:hint="eastAsia" w:ascii="宋体" w:hAnsi="宋体" w:cs="Arial"/>
                <w:color w:val="000000"/>
                <w:kern w:val="0"/>
                <w:sz w:val="18"/>
                <w:szCs w:val="18"/>
              </w:rPr>
              <w:t>　</w:t>
            </w:r>
          </w:p>
        </w:tc>
        <w:tc>
          <w:tcPr>
            <w:tcW w:w="2805" w:type="dxa"/>
            <w:gridSpan w:val="2"/>
            <w:tcBorders>
              <w:top w:val="nil"/>
              <w:left w:val="nil"/>
              <w:bottom w:val="single" w:color="000000" w:sz="8" w:space="0"/>
              <w:right w:val="nil"/>
            </w:tcBorders>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270" w:hRule="atLeast"/>
        </w:trPr>
        <w:tc>
          <w:tcPr>
            <w:tcW w:w="3615" w:type="dxa"/>
            <w:vMerge w:val="restart"/>
            <w:tcBorders>
              <w:top w:val="single" w:color="000000" w:sz="8" w:space="0"/>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3060" w:type="dxa"/>
            <w:tcBorders>
              <w:top w:val="nil"/>
              <w:left w:val="nil"/>
              <w:bottom w:val="nil"/>
              <w:right w:val="single" w:color="000000" w:sz="8" w:space="0"/>
            </w:tcBorders>
            <w:shd w:val="clear" w:color="auto" w:fill="FFFFFF"/>
          </w:tcPr>
          <w:p>
            <w:pPr>
              <w:widowControl/>
              <w:rPr>
                <w:rFonts w:ascii="宋体" w:cs="Arial"/>
                <w:color w:val="000000"/>
                <w:kern w:val="0"/>
                <w:sz w:val="18"/>
                <w:szCs w:val="18"/>
              </w:rPr>
            </w:pPr>
            <w:r>
              <w:rPr>
                <w:rFonts w:hint="eastAsia" w:ascii="宋体" w:hAnsi="宋体" w:cs="Arial"/>
                <w:color w:val="000000"/>
                <w:kern w:val="0"/>
                <w:sz w:val="18"/>
                <w:szCs w:val="18"/>
              </w:rPr>
              <w:t>　</w:t>
            </w:r>
          </w:p>
        </w:tc>
        <w:tc>
          <w:tcPr>
            <w:tcW w:w="2805"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85" w:hRule="atLeast"/>
        </w:trPr>
        <w:tc>
          <w:tcPr>
            <w:tcW w:w="3615" w:type="dxa"/>
            <w:vMerge w:val="continue"/>
            <w:tcBorders>
              <w:top w:val="single" w:color="000000" w:sz="8" w:space="0"/>
              <w:left w:val="single" w:color="000000" w:sz="8" w:space="0"/>
              <w:bottom w:val="single" w:color="000000" w:sz="8" w:space="0"/>
              <w:right w:val="nil"/>
            </w:tcBorders>
            <w:vAlign w:val="center"/>
          </w:tcPr>
          <w:p>
            <w:pPr>
              <w:widowControl/>
              <w:jc w:val="left"/>
              <w:rPr>
                <w:rFonts w:ascii="宋体" w:cs="Arial"/>
                <w:color w:val="000000"/>
                <w:kern w:val="0"/>
                <w:sz w:val="18"/>
                <w:szCs w:val="18"/>
              </w:rPr>
            </w:pP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hint="eastAsia" w:ascii="宋体" w:hAnsi="宋体" w:cs="Arial"/>
                <w:color w:val="000000"/>
                <w:kern w:val="0"/>
                <w:sz w:val="18"/>
                <w:szCs w:val="18"/>
              </w:rPr>
              <w:t>预算数</w:t>
            </w:r>
          </w:p>
        </w:tc>
        <w:tc>
          <w:tcPr>
            <w:tcW w:w="2805" w:type="dxa"/>
            <w:gridSpan w:val="2"/>
            <w:vMerge w:val="continue"/>
            <w:tcBorders>
              <w:top w:val="nil"/>
              <w:left w:val="nil"/>
              <w:bottom w:val="single" w:color="000000" w:sz="8"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79.5</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58.67</w:t>
            </w: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1.</w:t>
            </w:r>
            <w:r>
              <w:rPr>
                <w:rFonts w:hint="eastAsia" w:ascii="宋体" w:hAnsi="宋体" w:cs="Arial"/>
                <w:color w:val="000000"/>
                <w:kern w:val="0"/>
                <w:sz w:val="18"/>
                <w:szCs w:val="18"/>
              </w:rPr>
              <w:t>因公出国（境）费</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20</w:t>
            </w:r>
            <w:r>
              <w:rPr>
                <w:rFonts w:hint="eastAsia" w:ascii="宋体" w:hAnsi="宋体" w:cs="Arial"/>
                <w:color w:val="000000"/>
                <w:kern w:val="0"/>
                <w:sz w:val="18"/>
                <w:szCs w:val="18"/>
              </w:rPr>
              <w:t>（含年中追加</w:t>
            </w:r>
            <w:r>
              <w:rPr>
                <w:rFonts w:ascii="宋体" w:hAnsi="宋体" w:cs="Arial"/>
                <w:color w:val="000000"/>
                <w:kern w:val="0"/>
                <w:sz w:val="18"/>
                <w:szCs w:val="18"/>
              </w:rPr>
              <w:t>11</w:t>
            </w:r>
            <w:r>
              <w:rPr>
                <w:rFonts w:hint="eastAsia" w:ascii="宋体" w:hAnsi="宋体" w:cs="Arial"/>
                <w:color w:val="000000"/>
                <w:kern w:val="0"/>
                <w:sz w:val="18"/>
                <w:szCs w:val="18"/>
              </w:rPr>
              <w:t>万）</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15.12</w:t>
            </w: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2.</w:t>
            </w:r>
            <w:r>
              <w:rPr>
                <w:rFonts w:hint="eastAsia" w:ascii="宋体" w:hAnsi="宋体" w:cs="Arial"/>
                <w:color w:val="000000"/>
                <w:kern w:val="0"/>
                <w:sz w:val="18"/>
                <w:szCs w:val="18"/>
              </w:rPr>
              <w:t>公务接待费</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27</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13.14</w:t>
            </w: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3.</w:t>
            </w:r>
            <w:r>
              <w:rPr>
                <w:rFonts w:hint="eastAsia" w:ascii="宋体" w:hAnsi="宋体" w:cs="Arial"/>
                <w:color w:val="000000"/>
                <w:kern w:val="0"/>
                <w:sz w:val="18"/>
                <w:szCs w:val="18"/>
              </w:rPr>
              <w:t>公务用车购置及运行费</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32.5</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30.41</w:t>
            </w: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hint="eastAsia" w:ascii="宋体" w:hAnsi="宋体" w:cs="Arial"/>
                <w:color w:val="000000"/>
                <w:kern w:val="0"/>
                <w:sz w:val="18"/>
                <w:szCs w:val="18"/>
              </w:rPr>
              <w:t>其中：公务用车购置费</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0</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0</w:t>
            </w:r>
          </w:p>
        </w:tc>
      </w:tr>
      <w:tr>
        <w:tblPrEx>
          <w:tblCellMar>
            <w:top w:w="0" w:type="dxa"/>
            <w:left w:w="108" w:type="dxa"/>
            <w:bottom w:w="0" w:type="dxa"/>
            <w:right w:w="108" w:type="dxa"/>
          </w:tblCellMar>
        </w:tblPrEx>
        <w:trPr>
          <w:trHeight w:val="300" w:hRule="atLeast"/>
        </w:trPr>
        <w:tc>
          <w:tcPr>
            <w:tcW w:w="3615" w:type="dxa"/>
            <w:tcBorders>
              <w:top w:val="nil"/>
              <w:left w:val="single" w:color="000000" w:sz="8" w:space="0"/>
              <w:bottom w:val="single" w:color="000000" w:sz="8" w:space="0"/>
              <w:right w:val="nil"/>
            </w:tcBorders>
            <w:shd w:val="clear" w:color="auto" w:fill="FFFFFF"/>
            <w:noWrap/>
            <w:vAlign w:val="bottom"/>
          </w:tcPr>
          <w:p>
            <w:pPr>
              <w:widowControl/>
              <w:rPr>
                <w:rFonts w:ascii="宋体" w:cs="Arial"/>
                <w:color w:val="000000"/>
                <w:kern w:val="0"/>
                <w:sz w:val="18"/>
                <w:szCs w:val="18"/>
              </w:rPr>
            </w:pPr>
            <w:r>
              <w:rPr>
                <w:rFonts w:hint="eastAsia" w:ascii="宋体" w:hAnsi="宋体" w:cs="Arial"/>
                <w:color w:val="000000"/>
                <w:kern w:val="0"/>
                <w:sz w:val="18"/>
                <w:szCs w:val="18"/>
              </w:rPr>
              <w:t>公务用车运行维护费</w:t>
            </w:r>
          </w:p>
        </w:tc>
        <w:tc>
          <w:tcPr>
            <w:tcW w:w="3060" w:type="dxa"/>
            <w:tcBorders>
              <w:top w:val="nil"/>
              <w:left w:val="nil"/>
              <w:bottom w:val="single" w:color="000000" w:sz="8" w:space="0"/>
              <w:right w:val="single" w:color="000000" w:sz="8" w:space="0"/>
            </w:tcBorders>
            <w:shd w:val="clear" w:color="auto" w:fill="FFFFFF"/>
          </w:tcPr>
          <w:p>
            <w:pPr>
              <w:widowControl/>
              <w:rPr>
                <w:rFonts w:ascii="宋体" w:cs="Arial"/>
                <w:color w:val="000000"/>
                <w:kern w:val="0"/>
                <w:sz w:val="18"/>
                <w:szCs w:val="18"/>
              </w:rPr>
            </w:pPr>
            <w:r>
              <w:rPr>
                <w:rFonts w:ascii="宋体" w:hAnsi="宋体" w:cs="Arial"/>
                <w:color w:val="000000"/>
                <w:kern w:val="0"/>
                <w:sz w:val="18"/>
                <w:szCs w:val="18"/>
              </w:rPr>
              <w:t>32.5</w:t>
            </w:r>
          </w:p>
        </w:tc>
        <w:tc>
          <w:tcPr>
            <w:tcW w:w="2805" w:type="dxa"/>
            <w:gridSpan w:val="2"/>
            <w:tcBorders>
              <w:top w:val="single" w:color="000000" w:sz="8" w:space="0"/>
              <w:left w:val="nil"/>
              <w:bottom w:val="single" w:color="000000" w:sz="8" w:space="0"/>
              <w:right w:val="single" w:color="000000" w:sz="8" w:space="0"/>
            </w:tcBorders>
            <w:shd w:val="clear" w:color="auto" w:fill="FFFFFF"/>
            <w:noWrap/>
            <w:vAlign w:val="bottom"/>
          </w:tcPr>
          <w:p>
            <w:pPr>
              <w:widowControl/>
              <w:rPr>
                <w:rFonts w:ascii="宋体" w:cs="Arial"/>
                <w:color w:val="000000"/>
                <w:kern w:val="0"/>
                <w:sz w:val="18"/>
                <w:szCs w:val="18"/>
              </w:rPr>
            </w:pPr>
            <w:r>
              <w:rPr>
                <w:rFonts w:ascii="宋体" w:hAnsi="宋体" w:cs="Arial"/>
                <w:color w:val="000000"/>
                <w:kern w:val="0"/>
                <w:sz w:val="18"/>
                <w:szCs w:val="18"/>
              </w:rPr>
              <w:t>30.41</w:t>
            </w:r>
          </w:p>
        </w:tc>
      </w:tr>
    </w:tbl>
    <w:p>
      <w:pPr>
        <w:autoSpaceDE w:val="0"/>
        <w:autoSpaceDN w:val="0"/>
        <w:adjustRightInd w:val="0"/>
        <w:spacing w:line="440" w:lineRule="exact"/>
        <w:ind w:firstLine="627"/>
        <w:rPr>
          <w:rFonts w:ascii="宋体" w:cs="仿宋"/>
          <w:sz w:val="18"/>
          <w:szCs w:val="18"/>
        </w:rPr>
      </w:pPr>
    </w:p>
    <w:p>
      <w:pPr>
        <w:autoSpaceDE w:val="0"/>
        <w:autoSpaceDN w:val="0"/>
        <w:adjustRightInd w:val="0"/>
        <w:spacing w:line="440" w:lineRule="exact"/>
        <w:ind w:firstLine="627"/>
        <w:rPr>
          <w:rFonts w:ascii="仿宋" w:hAnsi="Times New Roman" w:eastAsia="仿宋" w:cs="仿宋"/>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440" w:lineRule="exact"/>
        <w:ind w:firstLine="627"/>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年度收入总计</w:t>
      </w:r>
      <w:r>
        <w:rPr>
          <w:rFonts w:ascii="仿宋" w:hAnsi="Times New Roman" w:eastAsia="仿宋" w:cs="仿宋"/>
          <w:color w:val="000000"/>
          <w:sz w:val="32"/>
          <w:szCs w:val="32"/>
        </w:rPr>
        <w:t>12,238.49</w:t>
      </w:r>
      <w:r>
        <w:rPr>
          <w:rFonts w:hint="eastAsia" w:ascii="仿宋" w:hAnsi="Times New Roman" w:eastAsia="仿宋" w:cs="仿宋"/>
          <w:color w:val="000000"/>
          <w:sz w:val="32"/>
          <w:szCs w:val="32"/>
        </w:rPr>
        <w:t>万元，其中本年收入</w:t>
      </w:r>
      <w:r>
        <w:rPr>
          <w:rFonts w:ascii="仿宋" w:hAnsi="Times New Roman" w:eastAsia="仿宋" w:cs="仿宋"/>
          <w:color w:val="000000"/>
          <w:sz w:val="32"/>
          <w:szCs w:val="32"/>
        </w:rPr>
        <w:t>11,220.85</w:t>
      </w:r>
      <w:r>
        <w:rPr>
          <w:rFonts w:hint="eastAsia" w:ascii="仿宋" w:hAnsi="Times New Roman" w:eastAsia="仿宋" w:cs="仿宋"/>
          <w:color w:val="000000"/>
          <w:sz w:val="32"/>
          <w:szCs w:val="32"/>
        </w:rPr>
        <w:t>万元。具体如下：</w:t>
      </w:r>
    </w:p>
    <w:p>
      <w:pPr>
        <w:autoSpaceDE w:val="0"/>
        <w:autoSpaceDN w:val="0"/>
        <w:adjustRightInd w:val="0"/>
        <w:spacing w:line="44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）财政拨款收入</w:t>
      </w:r>
      <w:r>
        <w:rPr>
          <w:rFonts w:ascii="仿宋" w:hAnsi="Times New Roman" w:eastAsia="仿宋" w:cs="仿宋"/>
          <w:color w:val="000000"/>
          <w:sz w:val="32"/>
          <w:szCs w:val="32"/>
        </w:rPr>
        <w:t>10,631.85</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1,064.30</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11.12%</w:t>
      </w:r>
      <w:r>
        <w:rPr>
          <w:rFonts w:hint="eastAsia" w:ascii="仿宋" w:hAnsi="Times New Roman" w:eastAsia="仿宋" w:cs="仿宋"/>
          <w:color w:val="000000"/>
          <w:sz w:val="32"/>
          <w:szCs w:val="32"/>
        </w:rPr>
        <w:t>，主要原因是养老保险制度改革缴费增加。</w:t>
      </w:r>
    </w:p>
    <w:p>
      <w:pPr>
        <w:autoSpaceDE w:val="0"/>
        <w:autoSpaceDN w:val="0"/>
        <w:adjustRightInd w:val="0"/>
        <w:spacing w:line="44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589.00</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581.78</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8057.89%</w:t>
      </w:r>
      <w:r>
        <w:rPr>
          <w:rFonts w:hint="eastAsia" w:ascii="仿宋" w:hAnsi="Times New Roman" w:eastAsia="仿宋" w:cs="仿宋"/>
          <w:color w:val="000000"/>
          <w:sz w:val="32"/>
          <w:szCs w:val="32"/>
        </w:rPr>
        <w:t>，主要原因是当年财政拨入工商大楼基建项目结算款。</w:t>
      </w:r>
    </w:p>
    <w:p>
      <w:pPr>
        <w:autoSpaceDE w:val="0"/>
        <w:autoSpaceDN w:val="0"/>
        <w:adjustRightInd w:val="0"/>
        <w:spacing w:line="44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）年初结转和结余</w:t>
      </w:r>
      <w:r>
        <w:rPr>
          <w:rFonts w:ascii="仿宋" w:hAnsi="Times New Roman" w:eastAsia="仿宋" w:cs="仿宋"/>
          <w:color w:val="000000"/>
          <w:sz w:val="32"/>
          <w:szCs w:val="32"/>
        </w:rPr>
        <w:t>1017.64</w:t>
      </w:r>
      <w:r>
        <w:rPr>
          <w:rFonts w:hint="eastAsia" w:ascii="仿宋" w:hAnsi="Times New Roman" w:eastAsia="仿宋" w:cs="仿宋"/>
          <w:color w:val="000000"/>
          <w:sz w:val="32"/>
          <w:szCs w:val="32"/>
        </w:rPr>
        <w:t>万元，较上年减少</w:t>
      </w:r>
      <w:r>
        <w:rPr>
          <w:rFonts w:ascii="仿宋" w:hAnsi="Times New Roman" w:eastAsia="仿宋" w:cs="仿宋"/>
          <w:color w:val="000000"/>
          <w:sz w:val="32"/>
          <w:szCs w:val="32"/>
        </w:rPr>
        <w:t>630.62</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38.26%</w:t>
      </w:r>
      <w:r>
        <w:rPr>
          <w:rFonts w:hint="eastAsia" w:ascii="仿宋" w:hAnsi="Times New Roman" w:eastAsia="仿宋" w:cs="仿宋"/>
          <w:color w:val="000000"/>
          <w:sz w:val="32"/>
          <w:szCs w:val="32"/>
        </w:rPr>
        <w:t>，主要原因是结转和结余资金陆续清理支付，导致结转结余减少。</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年度支出总计</w:t>
      </w:r>
      <w:r>
        <w:rPr>
          <w:rFonts w:ascii="仿宋" w:hAnsi="Times New Roman" w:eastAsia="仿宋" w:cs="仿宋"/>
          <w:color w:val="000000"/>
          <w:sz w:val="32"/>
          <w:szCs w:val="32"/>
        </w:rPr>
        <w:t>12,238.49</w:t>
      </w:r>
      <w:r>
        <w:rPr>
          <w:rFonts w:hint="eastAsia" w:ascii="仿宋" w:hAnsi="Times New Roman" w:eastAsia="仿宋" w:cs="仿宋"/>
          <w:color w:val="000000"/>
          <w:sz w:val="32"/>
          <w:szCs w:val="32"/>
        </w:rPr>
        <w:t>万元，其中本年支出</w:t>
      </w:r>
      <w:r>
        <w:rPr>
          <w:rFonts w:ascii="仿宋" w:hAnsi="Times New Roman" w:eastAsia="仿宋" w:cs="仿宋"/>
          <w:color w:val="000000"/>
          <w:sz w:val="32"/>
          <w:szCs w:val="32"/>
        </w:rPr>
        <w:t>11,570.40</w:t>
      </w:r>
      <w:r>
        <w:rPr>
          <w:rFonts w:hint="eastAsia" w:ascii="仿宋" w:hAnsi="Times New Roman" w:eastAsia="仿宋" w:cs="仿宋"/>
          <w:color w:val="000000"/>
          <w:sz w:val="32"/>
          <w:szCs w:val="32"/>
        </w:rPr>
        <w:t>万元。</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具体如下：</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）一般公共服务支出（类）</w:t>
      </w:r>
      <w:r>
        <w:rPr>
          <w:rFonts w:ascii="仿宋" w:hAnsi="Times New Roman" w:eastAsia="仿宋" w:cs="仿宋"/>
          <w:color w:val="000000"/>
          <w:sz w:val="32"/>
          <w:szCs w:val="32"/>
        </w:rPr>
        <w:t>7,384.44</w:t>
      </w:r>
      <w:r>
        <w:rPr>
          <w:rFonts w:hint="eastAsia" w:ascii="仿宋" w:hAnsi="Times New Roman" w:eastAsia="仿宋" w:cs="仿宋"/>
          <w:color w:val="000000"/>
          <w:sz w:val="32"/>
          <w:szCs w:val="32"/>
        </w:rPr>
        <w:t>万元，主要用于工商行政管理事务支出。较上年增加</w:t>
      </w:r>
      <w:r>
        <w:rPr>
          <w:rFonts w:ascii="仿宋" w:hAnsi="Times New Roman" w:eastAsia="仿宋" w:cs="仿宋"/>
          <w:color w:val="000000"/>
          <w:sz w:val="32"/>
          <w:szCs w:val="32"/>
        </w:rPr>
        <w:t>1,413.34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23.67%</w:t>
      </w:r>
      <w:r>
        <w:rPr>
          <w:rFonts w:hint="eastAsia" w:ascii="仿宋" w:hAnsi="Times New Roman" w:eastAsia="仿宋" w:cs="仿宋"/>
          <w:color w:val="000000"/>
          <w:sz w:val="32"/>
          <w:szCs w:val="32"/>
        </w:rPr>
        <w:t>，主要原因是工资制度改革及增加工商专项业务支出。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）社会保障和就业支出（类）</w:t>
      </w:r>
      <w:r>
        <w:rPr>
          <w:rFonts w:ascii="仿宋" w:hAnsi="Times New Roman" w:eastAsia="仿宋" w:cs="仿宋"/>
          <w:color w:val="000000"/>
          <w:sz w:val="32"/>
          <w:szCs w:val="32"/>
        </w:rPr>
        <w:t>1,208</w:t>
      </w:r>
      <w:r>
        <w:rPr>
          <w:rFonts w:hint="eastAsia" w:ascii="仿宋" w:hAnsi="Times New Roman" w:eastAsia="仿宋" w:cs="仿宋"/>
          <w:color w:val="000000"/>
          <w:sz w:val="32"/>
          <w:szCs w:val="32"/>
        </w:rPr>
        <w:t>万元，主要用于市局机关及所属预算单位离退休人员的支出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225.8</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22.99%</w:t>
      </w:r>
      <w:r>
        <w:rPr>
          <w:rFonts w:hint="eastAsia" w:ascii="仿宋" w:hAnsi="Times New Roman" w:eastAsia="仿宋" w:cs="仿宋"/>
          <w:color w:val="000000"/>
          <w:sz w:val="32"/>
          <w:szCs w:val="32"/>
        </w:rPr>
        <w:t>，主要原因是养老保险制度改革增加支出。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）医疗卫生与计划生育支出（类）</w:t>
      </w:r>
      <w:r>
        <w:rPr>
          <w:rFonts w:ascii="仿宋" w:hAnsi="Times New Roman" w:eastAsia="仿宋" w:cs="仿宋"/>
          <w:color w:val="000000"/>
          <w:sz w:val="32"/>
          <w:szCs w:val="32"/>
        </w:rPr>
        <w:t>2,484.48</w:t>
      </w:r>
      <w:r>
        <w:rPr>
          <w:rFonts w:hint="eastAsia" w:ascii="仿宋" w:hAnsi="Times New Roman" w:eastAsia="仿宋" w:cs="仿宋"/>
          <w:color w:val="000000"/>
          <w:sz w:val="32"/>
          <w:szCs w:val="32"/>
        </w:rPr>
        <w:t>万元，主要用于市局机关及所属预算单位医疗缴费、食品药品监管等支出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176.4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7.64%</w:t>
      </w:r>
      <w:r>
        <w:rPr>
          <w:rFonts w:hint="eastAsia" w:ascii="仿宋" w:hAnsi="Times New Roman" w:eastAsia="仿宋" w:cs="仿宋"/>
          <w:color w:val="000000"/>
          <w:sz w:val="32"/>
          <w:szCs w:val="32"/>
        </w:rPr>
        <w:t>，主要原因是增加食品安全监管支出。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）商业服务业等支出（类）</w:t>
      </w:r>
      <w:r>
        <w:rPr>
          <w:rFonts w:ascii="仿宋" w:hAnsi="Times New Roman" w:eastAsia="仿宋" w:cs="仿宋"/>
          <w:color w:val="000000"/>
          <w:sz w:val="32"/>
          <w:szCs w:val="32"/>
        </w:rPr>
        <w:t>17.23</w:t>
      </w:r>
      <w:r>
        <w:rPr>
          <w:rFonts w:hint="eastAsia" w:ascii="仿宋" w:hAnsi="Times New Roman" w:eastAsia="仿宋" w:cs="仿宋"/>
          <w:color w:val="000000"/>
          <w:sz w:val="32"/>
          <w:szCs w:val="32"/>
        </w:rPr>
        <w:t>万元，主要用于农贸市场改造提升支出。较上年减少</w:t>
      </w:r>
      <w:r>
        <w:rPr>
          <w:rFonts w:ascii="仿宋" w:hAnsi="Times New Roman" w:eastAsia="仿宋" w:cs="仿宋"/>
          <w:color w:val="000000"/>
          <w:sz w:val="32"/>
          <w:szCs w:val="32"/>
        </w:rPr>
        <w:t>6.97</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28.8%</w:t>
      </w:r>
      <w:r>
        <w:rPr>
          <w:rFonts w:hint="eastAsia" w:ascii="仿宋" w:hAnsi="Times New Roman" w:eastAsia="仿宋" w:cs="仿宋"/>
          <w:color w:val="000000"/>
          <w:sz w:val="32"/>
          <w:szCs w:val="32"/>
        </w:rPr>
        <w:t>，主要原因是农贸市场管理人员培训支出减少。</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）住房保障支出（类）</w:t>
      </w:r>
      <w:r>
        <w:rPr>
          <w:rFonts w:ascii="仿宋" w:hAnsi="Times New Roman" w:eastAsia="仿宋" w:cs="仿宋"/>
          <w:color w:val="000000"/>
          <w:sz w:val="32"/>
          <w:szCs w:val="32"/>
        </w:rPr>
        <w:t>476.24</w:t>
      </w:r>
      <w:r>
        <w:rPr>
          <w:rFonts w:hint="eastAsia" w:ascii="仿宋" w:hAnsi="Times New Roman" w:eastAsia="仿宋" w:cs="仿宋"/>
          <w:color w:val="000000"/>
          <w:sz w:val="32"/>
          <w:szCs w:val="32"/>
        </w:rPr>
        <w:t>万元，主要用于公积金缴纳等住房保障支出。较上年减少</w:t>
      </w:r>
      <w:r>
        <w:rPr>
          <w:rFonts w:ascii="仿宋" w:hAnsi="Times New Roman" w:eastAsia="仿宋" w:cs="仿宋"/>
          <w:color w:val="000000"/>
          <w:sz w:val="32"/>
          <w:szCs w:val="32"/>
        </w:rPr>
        <w:t>61.46</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11.41%</w:t>
      </w:r>
      <w:r>
        <w:rPr>
          <w:rFonts w:hint="eastAsia" w:ascii="仿宋" w:hAnsi="Times New Roman" w:eastAsia="仿宋" w:cs="仿宋"/>
          <w:color w:val="000000"/>
          <w:sz w:val="32"/>
          <w:szCs w:val="32"/>
        </w:rPr>
        <w:t>，主要原因是人员减少。</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6</w:t>
      </w:r>
      <w:r>
        <w:rPr>
          <w:rFonts w:hint="eastAsia" w:ascii="仿宋" w:hAnsi="Times New Roman" w:eastAsia="仿宋" w:cs="仿宋"/>
          <w:color w:val="000000"/>
          <w:sz w:val="32"/>
          <w:szCs w:val="32"/>
        </w:rPr>
        <w:t>）年末结转和结余</w:t>
      </w:r>
      <w:r>
        <w:rPr>
          <w:rFonts w:ascii="仿宋" w:hAnsi="Times New Roman" w:eastAsia="仿宋" w:cs="仿宋"/>
          <w:color w:val="000000"/>
          <w:sz w:val="32"/>
          <w:szCs w:val="32"/>
        </w:rPr>
        <w:t>668.09</w:t>
      </w:r>
      <w:r>
        <w:rPr>
          <w:rFonts w:hint="eastAsia" w:ascii="仿宋" w:hAnsi="Times New Roman" w:eastAsia="仿宋" w:cs="仿宋"/>
          <w:color w:val="000000"/>
          <w:sz w:val="32"/>
          <w:szCs w:val="32"/>
        </w:rPr>
        <w:t>万元，主要是部分工商行政管理事务未结款</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133.42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24.95%</w:t>
      </w:r>
      <w:r>
        <w:rPr>
          <w:rFonts w:hint="eastAsia" w:ascii="仿宋" w:hAnsi="Times New Roman" w:eastAsia="仿宋" w:cs="仿宋"/>
          <w:color w:val="000000"/>
          <w:sz w:val="32"/>
          <w:szCs w:val="32"/>
        </w:rPr>
        <w:t>，主要原因是部分工商行政管理事务未结款增加。</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年度本年收入合计</w:t>
      </w:r>
      <w:r>
        <w:rPr>
          <w:rFonts w:ascii="仿宋" w:hAnsi="Times New Roman" w:eastAsia="仿宋" w:cs="仿宋"/>
          <w:color w:val="000000"/>
          <w:sz w:val="32"/>
          <w:szCs w:val="32"/>
        </w:rPr>
        <w:t>11,220.85</w:t>
      </w:r>
      <w:r>
        <w:rPr>
          <w:rFonts w:hint="eastAsia" w:ascii="仿宋" w:hAnsi="Times New Roman" w:eastAsia="仿宋" w:cs="仿宋"/>
          <w:color w:val="000000"/>
          <w:sz w:val="32"/>
          <w:szCs w:val="32"/>
        </w:rPr>
        <w:t>万元，其中：财政拨款</w:t>
      </w:r>
      <w:r>
        <w:rPr>
          <w:rFonts w:ascii="仿宋" w:hAnsi="Times New Roman" w:eastAsia="仿宋" w:cs="仿宋"/>
          <w:color w:val="000000"/>
          <w:sz w:val="32"/>
          <w:szCs w:val="32"/>
        </w:rPr>
        <w:t>10,631.85</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94.75%</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589</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5.25%</w:t>
      </w:r>
      <w:r>
        <w:rPr>
          <w:rFonts w:hint="eastAsia" w:ascii="仿宋" w:hAnsi="Times New Roman" w:eastAsia="仿宋" w:cs="仿宋"/>
          <w:color w:val="000000"/>
          <w:sz w:val="32"/>
          <w:szCs w:val="32"/>
        </w:rPr>
        <w:t>。</w:t>
      </w:r>
    </w:p>
    <w:p>
      <w:pPr>
        <w:autoSpaceDE w:val="0"/>
        <w:autoSpaceDN w:val="0"/>
        <w:adjustRightInd w:val="0"/>
        <w:spacing w:line="44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年度本年支出合计</w:t>
      </w:r>
      <w:r>
        <w:rPr>
          <w:rFonts w:ascii="仿宋" w:hAnsi="Times New Roman" w:eastAsia="仿宋" w:cs="仿宋"/>
          <w:color w:val="000000"/>
          <w:sz w:val="32"/>
          <w:szCs w:val="32"/>
        </w:rPr>
        <w:t>11,570.4</w:t>
      </w:r>
      <w:r>
        <w:rPr>
          <w:rFonts w:hint="eastAsia" w:ascii="仿宋" w:hAnsi="Times New Roman" w:eastAsia="仿宋" w:cs="仿宋"/>
          <w:color w:val="000000"/>
          <w:sz w:val="32"/>
          <w:szCs w:val="32"/>
        </w:rPr>
        <w:t>万元，其中：基本支出</w:t>
      </w:r>
      <w:r>
        <w:rPr>
          <w:rFonts w:ascii="仿宋" w:hAnsi="Times New Roman" w:eastAsia="仿宋" w:cs="仿宋"/>
          <w:color w:val="000000"/>
          <w:sz w:val="32"/>
          <w:szCs w:val="32"/>
        </w:rPr>
        <w:t>8,350.21</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72.17%</w:t>
      </w:r>
      <w:r>
        <w:rPr>
          <w:rFonts w:hint="eastAsia" w:ascii="仿宋" w:hAnsi="Times New Roman" w:eastAsia="仿宋" w:cs="仿宋"/>
          <w:color w:val="000000"/>
          <w:sz w:val="32"/>
          <w:szCs w:val="32"/>
        </w:rPr>
        <w:t>；项目支出</w:t>
      </w:r>
      <w:r>
        <w:rPr>
          <w:rFonts w:ascii="仿宋" w:hAnsi="Times New Roman" w:eastAsia="仿宋" w:cs="仿宋"/>
          <w:color w:val="000000"/>
          <w:sz w:val="32"/>
          <w:szCs w:val="32"/>
        </w:rPr>
        <w:t>3,220.19</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27.83%</w:t>
      </w:r>
      <w:r>
        <w:rPr>
          <w:rFonts w:hint="eastAsia" w:ascii="仿宋" w:hAnsi="Times New Roman" w:eastAsia="仿宋" w:cs="仿宋"/>
          <w:color w:val="000000"/>
          <w:sz w:val="32"/>
          <w:szCs w:val="32"/>
        </w:rPr>
        <w:t>。</w:t>
      </w:r>
    </w:p>
    <w:p>
      <w:pPr>
        <w:autoSpaceDE w:val="0"/>
        <w:autoSpaceDN w:val="0"/>
        <w:adjustRightInd w:val="0"/>
        <w:spacing w:line="44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年度财政拨款收、支总计</w:t>
      </w:r>
      <w:r>
        <w:rPr>
          <w:rFonts w:ascii="仿宋" w:hAnsi="Times New Roman" w:eastAsia="仿宋" w:cs="仿宋"/>
          <w:color w:val="000000"/>
          <w:sz w:val="32"/>
          <w:szCs w:val="32"/>
        </w:rPr>
        <w:t>11,649.49</w:t>
      </w:r>
      <w:r>
        <w:rPr>
          <w:rFonts w:hint="eastAsia" w:ascii="仿宋" w:hAnsi="Times New Roman" w:eastAsia="仿宋" w:cs="仿宋"/>
          <w:color w:val="000000"/>
          <w:sz w:val="32"/>
          <w:szCs w:val="32"/>
        </w:rPr>
        <w:t>万元，与上年相比，财政拨款收支总计各增加</w:t>
      </w:r>
      <w:r>
        <w:rPr>
          <w:rFonts w:ascii="仿宋" w:hAnsi="Times New Roman" w:eastAsia="仿宋" w:cs="仿宋"/>
          <w:sz w:val="32"/>
          <w:szCs w:val="32"/>
        </w:rPr>
        <w:t>433.68</w:t>
      </w:r>
      <w:r>
        <w:rPr>
          <w:rFonts w:hint="eastAsia" w:ascii="仿宋" w:hAnsi="Times New Roman" w:eastAsia="仿宋" w:cs="仿宋"/>
          <w:color w:val="000000"/>
          <w:sz w:val="32"/>
          <w:szCs w:val="32"/>
        </w:rPr>
        <w:t>万元，增长</w:t>
      </w:r>
      <w:r>
        <w:rPr>
          <w:rFonts w:ascii="仿宋" w:hAnsi="Times New Roman" w:eastAsia="仿宋" w:cs="仿宋"/>
          <w:sz w:val="32"/>
          <w:szCs w:val="32"/>
        </w:rPr>
        <w:t>3.87</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，主要原因是养老保险制度改革等增加支出。</w:t>
      </w:r>
    </w:p>
    <w:p>
      <w:pPr>
        <w:autoSpaceDE w:val="0"/>
        <w:autoSpaceDN w:val="0"/>
        <w:adjustRightInd w:val="0"/>
        <w:spacing w:line="44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44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年度部门决算一般公共预算财政拨款支出决算</w:t>
      </w:r>
      <w:r>
        <w:rPr>
          <w:rFonts w:ascii="仿宋" w:hAnsi="Times New Roman" w:eastAsia="仿宋" w:cs="仿宋"/>
          <w:color w:val="000000"/>
          <w:sz w:val="32"/>
          <w:szCs w:val="32"/>
        </w:rPr>
        <w:t>11,165.91</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1,459.27</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15.03%</w:t>
      </w:r>
      <w:r>
        <w:rPr>
          <w:rFonts w:hint="eastAsia" w:ascii="仿宋" w:hAnsi="Times New Roman" w:eastAsia="仿宋" w:cs="仿宋"/>
          <w:color w:val="000000"/>
          <w:sz w:val="32"/>
          <w:szCs w:val="32"/>
        </w:rPr>
        <w:t>。具体如下：</w:t>
      </w:r>
    </w:p>
    <w:p>
      <w:pPr>
        <w:autoSpaceDE w:val="0"/>
        <w:autoSpaceDN w:val="0"/>
        <w:adjustRightInd w:val="0"/>
        <w:spacing w:line="44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．一般公共服务（类）工商行政管理</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（款）行政运行（项）支出</w:t>
      </w:r>
      <w:r>
        <w:rPr>
          <w:rFonts w:ascii="仿宋" w:hAnsi="Times New Roman" w:eastAsia="仿宋" w:cs="仿宋"/>
          <w:color w:val="000000"/>
          <w:sz w:val="32"/>
          <w:szCs w:val="32"/>
        </w:rPr>
        <w:t>5,585.14</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647.03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13.1%</w:t>
      </w:r>
      <w:r>
        <w:rPr>
          <w:rFonts w:hint="eastAsia" w:ascii="仿宋" w:hAnsi="Times New Roman" w:eastAsia="仿宋" w:cs="仿宋"/>
          <w:color w:val="000000"/>
          <w:sz w:val="32"/>
          <w:szCs w:val="32"/>
        </w:rPr>
        <w:t>。主要用于市局机关及所属预算单位的人员及公用支出。</w:t>
      </w:r>
    </w:p>
    <w:p>
      <w:pPr>
        <w:autoSpaceDE w:val="0"/>
        <w:autoSpaceDN w:val="0"/>
        <w:adjustRightInd w:val="0"/>
        <w:spacing w:line="44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．一般公共服务（类）工商行政管理</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（款）一般行政管理事务（项）支出</w:t>
      </w:r>
      <w:r>
        <w:rPr>
          <w:rFonts w:ascii="仿宋" w:hAnsi="Times New Roman" w:eastAsia="仿宋" w:cs="仿宋"/>
          <w:color w:val="000000"/>
          <w:sz w:val="32"/>
          <w:szCs w:val="32"/>
        </w:rPr>
        <w:t>339.5</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1.95</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0.57%</w:t>
      </w:r>
      <w:r>
        <w:rPr>
          <w:rFonts w:hint="eastAsia" w:ascii="仿宋" w:hAnsi="Times New Roman" w:eastAsia="仿宋" w:cs="仿宋"/>
          <w:color w:val="000000"/>
          <w:sz w:val="32"/>
          <w:szCs w:val="32"/>
        </w:rPr>
        <w:t>。主要用于工商行政管理日常事务支出。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．一般公共服务（类）工商行政管理</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（款）工商行政管理专项（项）支出</w:t>
      </w:r>
      <w:r>
        <w:rPr>
          <w:rFonts w:ascii="仿宋" w:hAnsi="Times New Roman" w:eastAsia="仿宋" w:cs="仿宋"/>
          <w:color w:val="000000"/>
          <w:sz w:val="32"/>
          <w:szCs w:val="32"/>
        </w:rPr>
        <w:t>400.67</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96.86</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19.47%</w:t>
      </w:r>
      <w:r>
        <w:rPr>
          <w:rFonts w:hint="eastAsia" w:ascii="仿宋" w:hAnsi="Times New Roman" w:eastAsia="仿宋" w:cs="仿宋"/>
          <w:color w:val="000000"/>
          <w:sz w:val="32"/>
          <w:szCs w:val="32"/>
        </w:rPr>
        <w:t>。主要用于企业注册登记、商标注册评审、年报公示公告、市场规范管理、商品质量抽检等专项业务支出。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4. </w:t>
      </w:r>
      <w:r>
        <w:rPr>
          <w:rFonts w:hint="eastAsia" w:ascii="仿宋" w:hAnsi="Times New Roman" w:eastAsia="仿宋" w:cs="仿宋"/>
          <w:color w:val="000000"/>
          <w:sz w:val="32"/>
          <w:szCs w:val="32"/>
        </w:rPr>
        <w:t>一般公共服务（类）工商行政管理</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（款）执法办案专项（项）支出</w:t>
      </w:r>
      <w:r>
        <w:rPr>
          <w:rFonts w:ascii="仿宋" w:hAnsi="Times New Roman" w:eastAsia="仿宋" w:cs="仿宋"/>
          <w:color w:val="000000"/>
          <w:sz w:val="32"/>
          <w:szCs w:val="32"/>
        </w:rPr>
        <w:t>68.47</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2.03</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2.88%</w:t>
      </w:r>
      <w:r>
        <w:rPr>
          <w:rFonts w:hint="eastAsia" w:ascii="仿宋" w:hAnsi="Times New Roman" w:eastAsia="仿宋" w:cs="仿宋"/>
          <w:color w:val="000000"/>
          <w:sz w:val="32"/>
          <w:szCs w:val="32"/>
        </w:rPr>
        <w:t>。主要用于查处各类经济违法案件等支出。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5. </w:t>
      </w:r>
      <w:r>
        <w:rPr>
          <w:rFonts w:hint="eastAsia" w:ascii="仿宋" w:hAnsi="Times New Roman" w:eastAsia="仿宋" w:cs="仿宋"/>
          <w:color w:val="000000"/>
          <w:sz w:val="32"/>
          <w:szCs w:val="32"/>
        </w:rPr>
        <w:t>一般公共服务（类）工商行政管理</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（款）信息化建设（项）支出</w:t>
      </w:r>
      <w:r>
        <w:rPr>
          <w:rFonts w:ascii="仿宋" w:hAnsi="Times New Roman" w:eastAsia="仿宋" w:cs="仿宋"/>
          <w:color w:val="000000"/>
          <w:sz w:val="32"/>
          <w:szCs w:val="32"/>
        </w:rPr>
        <w:t>278.79</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4.06</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1.44%</w:t>
      </w:r>
      <w:r>
        <w:rPr>
          <w:rFonts w:hint="eastAsia" w:ascii="仿宋" w:hAnsi="Times New Roman" w:eastAsia="仿宋" w:cs="仿宋"/>
          <w:color w:val="000000"/>
          <w:sz w:val="32"/>
          <w:szCs w:val="32"/>
        </w:rPr>
        <w:t>。主要用于信息化项目建设、维护等支出。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6. </w:t>
      </w:r>
      <w:r>
        <w:rPr>
          <w:rFonts w:hint="eastAsia" w:ascii="仿宋" w:hAnsi="Times New Roman" w:eastAsia="仿宋" w:cs="仿宋"/>
          <w:color w:val="000000"/>
          <w:sz w:val="32"/>
          <w:szCs w:val="32"/>
        </w:rPr>
        <w:t>一般公共服务（类）工商行政管理局</w:t>
      </w:r>
      <w:r>
        <w:rPr>
          <w:rFonts w:hint="eastAsia" w:ascii="仿宋" w:hAnsi="Times New Roman" w:eastAsia="仿宋" w:cs="仿宋"/>
          <w:kern w:val="0"/>
          <w:sz w:val="32"/>
          <w:szCs w:val="32"/>
        </w:rPr>
        <w:t>局</w:t>
      </w:r>
      <w:r>
        <w:rPr>
          <w:rFonts w:hint="eastAsia" w:ascii="仿宋" w:hAnsi="Times New Roman" w:eastAsia="仿宋" w:cs="仿宋"/>
          <w:color w:val="000000"/>
          <w:sz w:val="32"/>
          <w:szCs w:val="32"/>
        </w:rPr>
        <w:t>（款）其他工商行政管理事务（项）支出</w:t>
      </w:r>
      <w:r>
        <w:rPr>
          <w:rFonts w:ascii="仿宋" w:hAnsi="Times New Roman" w:eastAsia="仿宋" w:cs="仿宋"/>
          <w:color w:val="000000"/>
          <w:sz w:val="32"/>
          <w:szCs w:val="32"/>
        </w:rPr>
        <w:t>307.38</w:t>
      </w:r>
      <w:r>
        <w:rPr>
          <w:rFonts w:hint="eastAsia" w:ascii="仿宋" w:hAnsi="Times New Roman" w:eastAsia="仿宋" w:cs="仿宋"/>
          <w:color w:val="000000"/>
          <w:sz w:val="32"/>
          <w:szCs w:val="32"/>
        </w:rPr>
        <w:t>万元，</w:t>
      </w:r>
      <w:r>
        <w:rPr>
          <w:rFonts w:hint="eastAsia" w:ascii="仿宋" w:hAnsi="Times New Roman" w:eastAsia="仿宋" w:cs="仿宋"/>
          <w:sz w:val="32"/>
          <w:szCs w:val="32"/>
        </w:rPr>
        <w:t>比年初预算增加</w:t>
      </w:r>
      <w:r>
        <w:rPr>
          <w:rFonts w:ascii="仿宋" w:hAnsi="Times New Roman" w:eastAsia="仿宋" w:cs="仿宋"/>
          <w:sz w:val="32"/>
          <w:szCs w:val="32"/>
        </w:rPr>
        <w:t>307.38</w:t>
      </w:r>
      <w:r>
        <w:rPr>
          <w:rFonts w:hint="eastAsia" w:ascii="仿宋" w:hAnsi="Times New Roman" w:eastAsia="仿宋" w:cs="仿宋"/>
          <w:sz w:val="32"/>
          <w:szCs w:val="32"/>
        </w:rPr>
        <w:t>万元，增长</w:t>
      </w:r>
      <w:r>
        <w:rPr>
          <w:rFonts w:ascii="仿宋" w:hAnsi="Times New Roman" w:eastAsia="仿宋" w:cs="仿宋"/>
          <w:sz w:val="32"/>
          <w:szCs w:val="32"/>
        </w:rPr>
        <w:t>100%</w:t>
      </w:r>
      <w:r>
        <w:rPr>
          <w:rFonts w:hint="eastAsia" w:ascii="仿宋" w:hAnsi="Times New Roman" w:eastAsia="仿宋" w:cs="仿宋"/>
          <w:sz w:val="32"/>
          <w:szCs w:val="32"/>
        </w:rPr>
        <w:t>。主要用于</w:t>
      </w:r>
      <w:r>
        <w:rPr>
          <w:rFonts w:hint="eastAsia" w:ascii="仿宋" w:hAnsi="Times New Roman" w:eastAsia="仿宋" w:cs="仿宋"/>
          <w:color w:val="000000"/>
          <w:sz w:val="32"/>
          <w:szCs w:val="32"/>
        </w:rPr>
        <w:t>除上述项目以外的其他工商行政管理事务支出</w:t>
      </w:r>
      <w:r>
        <w:rPr>
          <w:rFonts w:hint="eastAsia" w:ascii="仿宋" w:hAnsi="Times New Roman" w:eastAsia="仿宋" w:cs="仿宋"/>
          <w:sz w:val="32"/>
          <w:szCs w:val="32"/>
        </w:rPr>
        <w:t>。</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7. </w:t>
      </w:r>
      <w:r>
        <w:rPr>
          <w:rFonts w:hint="eastAsia" w:ascii="仿宋" w:hAnsi="Times New Roman" w:eastAsia="仿宋" w:cs="仿宋"/>
          <w:color w:val="000000"/>
          <w:sz w:val="32"/>
          <w:szCs w:val="32"/>
        </w:rPr>
        <w:t>社会保障和就业支出（类）行政事业单位离退休（款）未归口管理的行政单位离退休（项）支出</w:t>
      </w:r>
      <w:r>
        <w:rPr>
          <w:rFonts w:ascii="仿宋" w:hAnsi="Times New Roman" w:eastAsia="仿宋" w:cs="仿宋"/>
          <w:color w:val="000000"/>
          <w:sz w:val="32"/>
          <w:szCs w:val="32"/>
        </w:rPr>
        <w:t>403.53</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549.25</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57.65%</w:t>
      </w:r>
      <w:r>
        <w:rPr>
          <w:rFonts w:hint="eastAsia" w:ascii="仿宋" w:hAnsi="Times New Roman" w:eastAsia="仿宋" w:cs="仿宋"/>
          <w:color w:val="000000"/>
          <w:sz w:val="32"/>
          <w:szCs w:val="32"/>
        </w:rPr>
        <w:t>。主要用于市局机关及下属单位的离退休人员支出。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 xml:space="preserve">8. </w:t>
      </w:r>
      <w:r>
        <w:rPr>
          <w:rFonts w:hint="eastAsia" w:ascii="仿宋" w:hAnsi="Times New Roman" w:eastAsia="仿宋" w:cs="仿宋"/>
          <w:color w:val="000000"/>
          <w:sz w:val="32"/>
          <w:szCs w:val="32"/>
        </w:rPr>
        <w:t>社会保障和就业支出（类）行政事业单位离退休（款）机关事业单位养老基本保险缴费支出（项）支出</w:t>
      </w:r>
      <w:r>
        <w:rPr>
          <w:rFonts w:ascii="仿宋" w:hAnsi="Times New Roman" w:eastAsia="仿宋" w:cs="仿宋"/>
          <w:color w:val="000000"/>
          <w:sz w:val="32"/>
          <w:szCs w:val="32"/>
        </w:rPr>
        <w:t>313.82</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313.82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。主要用于市局机关及所属预算单位实施养老保险制度由单位缴纳的基本养老保险费支出。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9. </w:t>
      </w:r>
      <w:r>
        <w:rPr>
          <w:rFonts w:hint="eastAsia" w:ascii="仿宋" w:hAnsi="Times New Roman" w:eastAsia="仿宋" w:cs="仿宋"/>
          <w:color w:val="000000"/>
          <w:sz w:val="32"/>
          <w:szCs w:val="32"/>
        </w:rPr>
        <w:t>社会保障和就业支出（类）行政事业单位离退休（款）机关事业单位职业年金缴费支出（项）支出</w:t>
      </w:r>
      <w:r>
        <w:rPr>
          <w:rFonts w:ascii="仿宋" w:hAnsi="Times New Roman" w:eastAsia="仿宋" w:cs="仿宋"/>
          <w:color w:val="000000"/>
          <w:sz w:val="32"/>
          <w:szCs w:val="32"/>
        </w:rPr>
        <w:t>490.65</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490.65</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。主要用于市局机关及所属预算单位实施养老保险制度由单位实际缴纳的职业年金支出。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10</w:t>
      </w:r>
      <w:r>
        <w:rPr>
          <w:rFonts w:hint="eastAsia" w:ascii="仿宋" w:hAnsi="Times New Roman" w:eastAsia="仿宋" w:cs="仿宋"/>
          <w:color w:val="000000"/>
          <w:sz w:val="32"/>
          <w:szCs w:val="32"/>
        </w:rPr>
        <w:t>．医疗卫生与计划生育支出（类）医疗保障（款）行政单位医疗（项）支出</w:t>
      </w:r>
      <w:r>
        <w:rPr>
          <w:rFonts w:ascii="仿宋" w:hAnsi="Times New Roman" w:eastAsia="仿宋" w:cs="仿宋"/>
          <w:color w:val="000000"/>
          <w:sz w:val="32"/>
          <w:szCs w:val="32"/>
        </w:rPr>
        <w:t>314.85</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11.45</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3.77%</w:t>
      </w:r>
      <w:r>
        <w:rPr>
          <w:rFonts w:hint="eastAsia" w:ascii="仿宋" w:hAnsi="Times New Roman" w:eastAsia="仿宋" w:cs="仿宋"/>
          <w:color w:val="000000"/>
          <w:sz w:val="32"/>
          <w:szCs w:val="32"/>
        </w:rPr>
        <w:t>。主要用于市场监管局机关及所属预算单位基本医疗保险缴费支出。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11. </w:t>
      </w:r>
      <w:r>
        <w:rPr>
          <w:rFonts w:hint="eastAsia" w:ascii="仿宋" w:hAnsi="Times New Roman" w:eastAsia="仿宋" w:cs="仿宋"/>
          <w:color w:val="000000"/>
          <w:sz w:val="32"/>
          <w:szCs w:val="32"/>
        </w:rPr>
        <w:t>医疗卫生与计划生育支出（类）医疗保障（款）事业单位医疗（项）支出</w:t>
      </w:r>
      <w:r>
        <w:rPr>
          <w:rFonts w:ascii="仿宋" w:hAnsi="Times New Roman" w:eastAsia="仿宋" w:cs="仿宋"/>
          <w:color w:val="000000"/>
          <w:sz w:val="32"/>
          <w:szCs w:val="32"/>
        </w:rPr>
        <w:t>45.51</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3.71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8.88%</w:t>
      </w:r>
      <w:r>
        <w:rPr>
          <w:rFonts w:hint="eastAsia" w:ascii="仿宋" w:hAnsi="Times New Roman" w:eastAsia="仿宋" w:cs="仿宋"/>
          <w:color w:val="000000"/>
          <w:sz w:val="32"/>
          <w:szCs w:val="32"/>
        </w:rPr>
        <w:t>。主要用于下属单位市食品药品检验检测院人员基本医疗保险缴费支出。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12.</w:t>
      </w:r>
      <w:r>
        <w:rPr>
          <w:rFonts w:hint="eastAsia" w:ascii="仿宋" w:hAnsi="Times New Roman" w:eastAsia="仿宋" w:cs="仿宋"/>
          <w:color w:val="000000"/>
          <w:sz w:val="32"/>
          <w:szCs w:val="32"/>
        </w:rPr>
        <w:t>医疗卫生与计划生育支出（类）食品和药品监督管理事务（款）一般行政管理事务（项）支出</w:t>
      </w:r>
      <w:r>
        <w:rPr>
          <w:rFonts w:ascii="仿宋" w:hAnsi="Times New Roman" w:eastAsia="仿宋" w:cs="仿宋"/>
          <w:color w:val="000000"/>
          <w:sz w:val="32"/>
          <w:szCs w:val="32"/>
        </w:rPr>
        <w:t>2.03</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2.03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。主要用于食品药品监管日常事务支出。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13.</w:t>
      </w:r>
      <w:r>
        <w:rPr>
          <w:rFonts w:hint="eastAsia" w:ascii="仿宋" w:hAnsi="Times New Roman" w:eastAsia="仿宋" w:cs="仿宋"/>
          <w:color w:val="000000"/>
          <w:sz w:val="32"/>
          <w:szCs w:val="32"/>
        </w:rPr>
        <w:t>医疗卫生与计划生育支出（类）食品和药品监督管理事务（款）食品安全事务（项）支出</w:t>
      </w:r>
      <w:r>
        <w:rPr>
          <w:rFonts w:ascii="仿宋" w:hAnsi="Times New Roman" w:eastAsia="仿宋" w:cs="仿宋"/>
          <w:color w:val="000000"/>
          <w:sz w:val="32"/>
          <w:szCs w:val="32"/>
        </w:rPr>
        <w:t>839.6</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12.72</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1.5%</w:t>
      </w:r>
      <w:r>
        <w:rPr>
          <w:rFonts w:hint="eastAsia" w:ascii="仿宋" w:hAnsi="Times New Roman" w:eastAsia="仿宋" w:cs="仿宋"/>
          <w:color w:val="000000"/>
          <w:sz w:val="32"/>
          <w:szCs w:val="32"/>
        </w:rPr>
        <w:t>。主要用于食品抽检等支出。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14.</w:t>
      </w:r>
      <w:r>
        <w:rPr>
          <w:rFonts w:hint="eastAsia" w:ascii="仿宋" w:hAnsi="Times New Roman" w:eastAsia="仿宋" w:cs="仿宋"/>
          <w:color w:val="000000"/>
          <w:sz w:val="32"/>
          <w:szCs w:val="32"/>
        </w:rPr>
        <w:t>医疗卫生与计划生育支出（类）食品和药品监督管理事务（款）事业运行（项）支出</w:t>
      </w:r>
      <w:r>
        <w:rPr>
          <w:rFonts w:ascii="仿宋" w:hAnsi="Times New Roman" w:eastAsia="仿宋" w:cs="仿宋"/>
          <w:color w:val="000000"/>
          <w:sz w:val="32"/>
          <w:szCs w:val="32"/>
        </w:rPr>
        <w:t>720.46</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79.27</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12.36%</w:t>
      </w:r>
      <w:r>
        <w:rPr>
          <w:rFonts w:hint="eastAsia" w:ascii="仿宋" w:hAnsi="Times New Roman" w:eastAsia="仿宋" w:cs="仿宋"/>
          <w:color w:val="000000"/>
          <w:sz w:val="32"/>
          <w:szCs w:val="32"/>
        </w:rPr>
        <w:t>。主要用于市食品药品检验检测院运转支出。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15</w:t>
      </w:r>
      <w:r>
        <w:rPr>
          <w:rFonts w:hint="eastAsia" w:ascii="仿宋" w:hAnsi="Times New Roman" w:eastAsia="仿宋" w:cs="仿宋"/>
          <w:color w:val="000000"/>
          <w:sz w:val="32"/>
          <w:szCs w:val="32"/>
        </w:rPr>
        <w:t>．医疗卫生与计划生育支出（类）食品和药品监督管理事务（款）其他食品和药品监督管理事务（项）支出</w:t>
      </w:r>
      <w:r>
        <w:rPr>
          <w:rFonts w:ascii="仿宋" w:hAnsi="Times New Roman" w:eastAsia="仿宋" w:cs="仿宋"/>
          <w:color w:val="000000"/>
          <w:sz w:val="32"/>
          <w:szCs w:val="32"/>
        </w:rPr>
        <w:t>562.05</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263.81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88.46%</w:t>
      </w:r>
      <w:r>
        <w:rPr>
          <w:rFonts w:hint="eastAsia" w:ascii="仿宋" w:hAnsi="Times New Roman" w:eastAsia="仿宋" w:cs="仿宋"/>
          <w:color w:val="000000"/>
          <w:sz w:val="32"/>
          <w:szCs w:val="32"/>
        </w:rPr>
        <w:t>。主要用于除上述项目以外的其他食品药品监督管理事务支出。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16.</w:t>
      </w:r>
      <w:r>
        <w:rPr>
          <w:rFonts w:hint="eastAsia" w:ascii="仿宋" w:hAnsi="Times New Roman" w:eastAsia="仿宋" w:cs="仿宋"/>
          <w:color w:val="000000"/>
          <w:sz w:val="32"/>
          <w:szCs w:val="32"/>
        </w:rPr>
        <w:t>商业服务业等支出（类）商业流通事务（款）其他商业流通事务</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项</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支出</w:t>
      </w:r>
      <w:r>
        <w:rPr>
          <w:rFonts w:ascii="仿宋" w:hAnsi="Times New Roman" w:eastAsia="仿宋" w:cs="仿宋"/>
          <w:color w:val="000000"/>
          <w:sz w:val="32"/>
          <w:szCs w:val="32"/>
        </w:rPr>
        <w:t>17.23</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17.23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。主要用于农贸市场管理人员培训支出。</w:t>
      </w:r>
    </w:p>
    <w:p>
      <w:pPr>
        <w:autoSpaceDE w:val="0"/>
        <w:autoSpaceDN w:val="0"/>
        <w:adjustRightInd w:val="0"/>
        <w:spacing w:line="44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17.</w:t>
      </w:r>
      <w:r>
        <w:rPr>
          <w:rFonts w:hint="eastAsia" w:ascii="仿宋" w:hAnsi="Times New Roman" w:eastAsia="仿宋" w:cs="仿宋"/>
          <w:color w:val="000000"/>
          <w:sz w:val="32"/>
          <w:szCs w:val="32"/>
        </w:rPr>
        <w:t>住房保障支出（类）住房改革支出（款）住房公积金（项）支出</w:t>
      </w:r>
      <w:r>
        <w:rPr>
          <w:rFonts w:ascii="仿宋" w:hAnsi="Times New Roman" w:eastAsia="仿宋" w:cs="仿宋"/>
          <w:color w:val="000000"/>
          <w:sz w:val="32"/>
          <w:szCs w:val="32"/>
        </w:rPr>
        <w:t>408.08</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8.46</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2.12%</w:t>
      </w:r>
      <w:r>
        <w:rPr>
          <w:rFonts w:hint="eastAsia" w:ascii="仿宋" w:hAnsi="Times New Roman" w:eastAsia="仿宋" w:cs="仿宋"/>
          <w:color w:val="000000"/>
          <w:sz w:val="32"/>
          <w:szCs w:val="32"/>
        </w:rPr>
        <w:t>。主要用于市局机关及所属预算单位按国家规定为职工缴纳的住房公积金等支出。</w:t>
      </w:r>
    </w:p>
    <w:p>
      <w:pPr>
        <w:autoSpaceDE w:val="0"/>
        <w:autoSpaceDN w:val="0"/>
        <w:adjustRightInd w:val="0"/>
        <w:spacing w:line="440" w:lineRule="exact"/>
        <w:ind w:firstLine="645"/>
        <w:jc w:val="left"/>
        <w:rPr>
          <w:rFonts w:ascii="仿宋" w:hAnsi="Times New Roman" w:eastAsia="仿宋" w:cs="仿宋"/>
          <w:color w:val="000000"/>
          <w:sz w:val="32"/>
          <w:szCs w:val="32"/>
        </w:rPr>
      </w:pPr>
      <w:r>
        <w:rPr>
          <w:rFonts w:ascii="仿宋" w:hAnsi="Times New Roman" w:eastAsia="仿宋" w:cs="仿宋"/>
          <w:color w:val="000000"/>
          <w:sz w:val="32"/>
          <w:szCs w:val="32"/>
        </w:rPr>
        <w:t>18.</w:t>
      </w:r>
      <w:r>
        <w:rPr>
          <w:rFonts w:hint="eastAsia" w:ascii="仿宋" w:hAnsi="Times New Roman" w:eastAsia="仿宋" w:cs="仿宋"/>
          <w:color w:val="000000"/>
          <w:sz w:val="32"/>
          <w:szCs w:val="32"/>
        </w:rPr>
        <w:t>住房保障支出（类）住房改革支出（款）购房补贴（项）支出</w:t>
      </w:r>
      <w:r>
        <w:rPr>
          <w:rFonts w:ascii="仿宋" w:hAnsi="Times New Roman" w:eastAsia="仿宋" w:cs="仿宋"/>
          <w:color w:val="000000"/>
          <w:sz w:val="32"/>
          <w:szCs w:val="32"/>
        </w:rPr>
        <w:t>68.15</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26.3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62.84%</w:t>
      </w:r>
      <w:r>
        <w:rPr>
          <w:rFonts w:hint="eastAsia" w:ascii="仿宋" w:hAnsi="Times New Roman" w:eastAsia="仿宋" w:cs="仿宋"/>
          <w:color w:val="000000"/>
          <w:sz w:val="32"/>
          <w:szCs w:val="32"/>
        </w:rPr>
        <w:t>。主要用于市局机关及所属预算单位按国家规定为职工缴纳的住房补贴等支出。</w:t>
      </w:r>
    </w:p>
    <w:p>
      <w:pPr>
        <w:autoSpaceDE w:val="0"/>
        <w:autoSpaceDN w:val="0"/>
        <w:adjustRightInd w:val="0"/>
        <w:spacing w:line="44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44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年度一般公共预算财政拨款基本支出</w:t>
      </w:r>
      <w:r>
        <w:rPr>
          <w:rFonts w:ascii="仿宋" w:hAnsi="Times New Roman" w:eastAsia="仿宋" w:cs="仿宋"/>
          <w:color w:val="000000"/>
          <w:sz w:val="32"/>
          <w:szCs w:val="32"/>
        </w:rPr>
        <w:t>8,350.21</w:t>
      </w:r>
      <w:r>
        <w:rPr>
          <w:rFonts w:hint="eastAsia" w:ascii="仿宋" w:hAnsi="Times New Roman" w:eastAsia="仿宋" w:cs="仿宋"/>
          <w:color w:val="000000"/>
          <w:sz w:val="32"/>
          <w:szCs w:val="32"/>
        </w:rPr>
        <w:t>万元。其中：人员经费</w:t>
      </w:r>
      <w:r>
        <w:rPr>
          <w:rFonts w:ascii="仿宋" w:hAnsi="Times New Roman" w:eastAsia="仿宋" w:cs="仿宋"/>
          <w:color w:val="000000"/>
          <w:sz w:val="32"/>
          <w:szCs w:val="32"/>
        </w:rPr>
        <w:t>7,184.45</w:t>
      </w:r>
      <w:r>
        <w:rPr>
          <w:rFonts w:hint="eastAsia" w:ascii="仿宋" w:hAnsi="Times New Roman" w:eastAsia="仿宋" w:cs="仿宋"/>
          <w:color w:val="000000"/>
          <w:sz w:val="32"/>
          <w:szCs w:val="32"/>
        </w:rPr>
        <w:t>万元，包括基本工资、津贴补贴、奖金、社会保障缴费、伙食补助费、绩效工资、机关事业单位基本养老保险缴费、职业年金缴费、其他工资福利支出、离休费、退休费、抚恤金、生活补助、医疗费、住房公积金、购房补贴、其他对个人和家庭的补助支出；公用经费</w:t>
      </w:r>
      <w:r>
        <w:rPr>
          <w:rFonts w:ascii="仿宋" w:hAnsi="Times New Roman" w:eastAsia="仿宋" w:cs="仿宋"/>
          <w:color w:val="000000"/>
          <w:sz w:val="32"/>
          <w:szCs w:val="32"/>
        </w:rPr>
        <w:t>1,165.75</w:t>
      </w:r>
      <w:r>
        <w:rPr>
          <w:rFonts w:hint="eastAsia" w:ascii="仿宋" w:hAnsi="Times New Roman" w:eastAsia="仿宋" w:cs="仿宋"/>
          <w:color w:val="000000"/>
          <w:sz w:val="32"/>
          <w:szCs w:val="32"/>
        </w:rPr>
        <w:t>万元，包括办公费、印刷费、咨询费、手续费、水费、电费、邮电费、物业管理费、差旅费、因公出国（境）费用、维修（护）费、租赁费、会议费、培训费、公务接待费、专用材料费、专用燃料费、劳务费、委托业务费、工会经费、福利费、公务用车运行维护费、其他交通费用、其他商品和服务支出、办公设备购置、专用设备购置支出。</w:t>
      </w:r>
    </w:p>
    <w:p>
      <w:pPr>
        <w:autoSpaceDE w:val="0"/>
        <w:autoSpaceDN w:val="0"/>
        <w:adjustRightInd w:val="0"/>
        <w:spacing w:line="440" w:lineRule="exact"/>
        <w:ind w:firstLine="320" w:firstLineChars="1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440" w:lineRule="exact"/>
        <w:ind w:firstLine="480"/>
        <w:rPr>
          <w:rFonts w:ascii="仿宋" w:hAnsi="Times New Roman" w:eastAsia="仿宋" w:cs="仿宋"/>
          <w:color w:val="FF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年度政府性基金预算年初结转</w:t>
      </w:r>
      <w:r>
        <w:rPr>
          <w:rFonts w:ascii="仿宋" w:hAnsi="Times New Roman" w:eastAsia="仿宋" w:cs="仿宋"/>
          <w:color w:val="000000"/>
          <w:sz w:val="32"/>
          <w:szCs w:val="32"/>
        </w:rPr>
        <w:t>59.70</w:t>
      </w:r>
      <w:r>
        <w:rPr>
          <w:rFonts w:hint="eastAsia" w:ascii="仿宋" w:hAnsi="Times New Roman" w:eastAsia="仿宋" w:cs="仿宋"/>
          <w:color w:val="000000"/>
          <w:sz w:val="32"/>
          <w:szCs w:val="32"/>
        </w:rPr>
        <w:t>万元，本年收支数为</w:t>
      </w:r>
      <w:r>
        <w:rPr>
          <w:rFonts w:ascii="仿宋" w:hAnsi="Times New Roman" w:eastAsia="仿宋" w:cs="仿宋"/>
          <w:color w:val="000000"/>
          <w:sz w:val="32"/>
          <w:szCs w:val="32"/>
        </w:rPr>
        <w:t>0</w:t>
      </w:r>
      <w:r>
        <w:rPr>
          <w:rFonts w:hint="eastAsia" w:ascii="仿宋" w:hAnsi="Times New Roman" w:eastAsia="仿宋" w:cs="仿宋"/>
          <w:color w:val="000000"/>
          <w:sz w:val="32"/>
          <w:szCs w:val="32"/>
        </w:rPr>
        <w:t>，年末结转</w:t>
      </w:r>
      <w:r>
        <w:rPr>
          <w:rFonts w:ascii="仿宋" w:hAnsi="Times New Roman" w:eastAsia="仿宋" w:cs="仿宋"/>
          <w:color w:val="000000"/>
          <w:sz w:val="32"/>
          <w:szCs w:val="32"/>
        </w:rPr>
        <w:t>59.70</w:t>
      </w:r>
      <w:r>
        <w:rPr>
          <w:rFonts w:hint="eastAsia" w:ascii="仿宋" w:hAnsi="Times New Roman" w:eastAsia="仿宋" w:cs="仿宋"/>
          <w:color w:val="000000"/>
          <w:sz w:val="32"/>
          <w:szCs w:val="32"/>
        </w:rPr>
        <w:t>万元。</w:t>
      </w:r>
    </w:p>
    <w:p>
      <w:pPr>
        <w:autoSpaceDE w:val="0"/>
        <w:autoSpaceDN w:val="0"/>
        <w:adjustRightInd w:val="0"/>
        <w:spacing w:line="44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（八）</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44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2016</w:t>
      </w:r>
      <w:r>
        <w:rPr>
          <w:rFonts w:hint="eastAsia" w:ascii="仿宋" w:hAnsi="Times New Roman" w:eastAsia="仿宋" w:cs="仿宋"/>
          <w:kern w:val="0"/>
          <w:sz w:val="32"/>
          <w:szCs w:val="32"/>
        </w:rPr>
        <w:t>年度因公出国（境）支出</w:t>
      </w:r>
      <w:r>
        <w:rPr>
          <w:rFonts w:ascii="仿宋" w:hAnsi="Times New Roman" w:eastAsia="仿宋" w:cs="仿宋"/>
          <w:kern w:val="0"/>
          <w:sz w:val="32"/>
          <w:szCs w:val="32"/>
        </w:rPr>
        <w:t>15.12</w:t>
      </w:r>
      <w:r>
        <w:rPr>
          <w:rFonts w:hint="eastAsia" w:ascii="仿宋" w:hAnsi="Times New Roman" w:eastAsia="仿宋" w:cs="仿宋"/>
          <w:kern w:val="0"/>
          <w:sz w:val="32"/>
          <w:szCs w:val="32"/>
        </w:rPr>
        <w:t>万元，</w:t>
      </w:r>
      <w:r>
        <w:rPr>
          <w:rFonts w:hint="eastAsia" w:ascii="仿宋" w:hAnsi="Times New Roman" w:eastAsia="仿宋" w:cs="仿宋"/>
          <w:sz w:val="32"/>
          <w:szCs w:val="32"/>
        </w:rPr>
        <w:t>比</w:t>
      </w:r>
      <w:r>
        <w:rPr>
          <w:rFonts w:hint="eastAsia" w:ascii="仿宋" w:hAnsi="Times New Roman" w:eastAsia="仿宋" w:cs="仿宋"/>
          <w:kern w:val="0"/>
          <w:sz w:val="32"/>
          <w:szCs w:val="32"/>
        </w:rPr>
        <w:t>年初预算（含年中调整）减少</w:t>
      </w:r>
      <w:r>
        <w:rPr>
          <w:rFonts w:ascii="仿宋" w:hAnsi="Times New Roman" w:eastAsia="仿宋" w:cs="仿宋"/>
          <w:kern w:val="0"/>
          <w:sz w:val="32"/>
          <w:szCs w:val="32"/>
        </w:rPr>
        <w:t>4</w:t>
      </w:r>
      <w:r>
        <w:rPr>
          <w:rFonts w:ascii="仿宋" w:hAnsi="Times New Roman" w:eastAsia="仿宋" w:cs="仿宋"/>
          <w:sz w:val="32"/>
          <w:szCs w:val="32"/>
        </w:rPr>
        <w:t>.88</w:t>
      </w:r>
      <w:r>
        <w:rPr>
          <w:rFonts w:hint="eastAsia" w:ascii="仿宋" w:hAnsi="Times New Roman" w:eastAsia="仿宋" w:cs="仿宋"/>
          <w:sz w:val="32"/>
          <w:szCs w:val="32"/>
        </w:rPr>
        <w:t>万元，下降</w:t>
      </w:r>
      <w:r>
        <w:rPr>
          <w:rFonts w:ascii="仿宋" w:hAnsi="Times New Roman" w:eastAsia="仿宋" w:cs="仿宋"/>
          <w:sz w:val="32"/>
          <w:szCs w:val="32"/>
        </w:rPr>
        <w:t>24.4%</w:t>
      </w:r>
      <w:r>
        <w:rPr>
          <w:rFonts w:hint="eastAsia" w:ascii="仿宋" w:hAnsi="Times New Roman" w:eastAsia="仿宋" w:cs="仿宋"/>
          <w:sz w:val="32"/>
          <w:szCs w:val="32"/>
        </w:rPr>
        <w:t>，主要原因是认真贯彻落实中央八项规定精神和厉行节约要求，进一步从严控制“三公”经费开支；比上年决算数增加</w:t>
      </w:r>
      <w:r>
        <w:rPr>
          <w:rFonts w:ascii="仿宋" w:hAnsi="Times New Roman" w:eastAsia="仿宋" w:cs="仿宋"/>
          <w:sz w:val="32"/>
          <w:szCs w:val="32"/>
        </w:rPr>
        <w:t>15.12</w:t>
      </w:r>
      <w:r>
        <w:rPr>
          <w:rFonts w:hint="eastAsia" w:ascii="仿宋" w:hAnsi="Times New Roman" w:eastAsia="仿宋" w:cs="仿宋"/>
          <w:sz w:val="32"/>
          <w:szCs w:val="32"/>
        </w:rPr>
        <w:t>万元，增长</w:t>
      </w:r>
      <w:r>
        <w:rPr>
          <w:rFonts w:ascii="仿宋" w:hAnsi="Times New Roman" w:eastAsia="仿宋" w:cs="仿宋"/>
          <w:sz w:val="32"/>
          <w:szCs w:val="32"/>
        </w:rPr>
        <w:t>100%</w:t>
      </w:r>
      <w:r>
        <w:rPr>
          <w:rFonts w:hint="eastAsia" w:ascii="仿宋" w:hAnsi="Times New Roman" w:eastAsia="仿宋" w:cs="仿宋"/>
          <w:sz w:val="32"/>
          <w:szCs w:val="32"/>
        </w:rPr>
        <w:t>，主要原因是上年未发生因公出国（境）支出。</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主要用于局机关及下属预算单位人员的食品药品安全监管业务、经贸交流等公务出国（境）的住宿费、国际旅费、培训费、公杂费等支出。本部门全年组织因公出国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ascii="仿宋" w:hAnsi="Times New Roman" w:eastAsia="仿宋" w:cs="仿宋"/>
          <w:kern w:val="0"/>
          <w:sz w:val="32"/>
          <w:szCs w:val="32"/>
        </w:rPr>
        <w:t>0</w:t>
      </w:r>
      <w:r>
        <w:rPr>
          <w:rFonts w:hint="eastAsia" w:ascii="仿宋" w:hAnsi="Times New Roman" w:eastAsia="仿宋" w:cs="仿宋"/>
          <w:kern w:val="0"/>
          <w:sz w:val="32"/>
          <w:szCs w:val="32"/>
        </w:rPr>
        <w:t>个；参加因公出国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团累计</w:t>
      </w:r>
      <w:r>
        <w:rPr>
          <w:rFonts w:ascii="仿宋" w:hAnsi="Times New Roman" w:eastAsia="仿宋" w:cs="仿宋"/>
          <w:kern w:val="0"/>
          <w:sz w:val="32"/>
          <w:szCs w:val="32"/>
        </w:rPr>
        <w:t>3</w:t>
      </w:r>
      <w:r>
        <w:rPr>
          <w:rFonts w:hint="eastAsia" w:ascii="仿宋" w:hAnsi="Times New Roman" w:eastAsia="仿宋" w:cs="仿宋"/>
          <w:kern w:val="0"/>
          <w:sz w:val="32"/>
          <w:szCs w:val="32"/>
        </w:rPr>
        <w:t>人次，较上年增加</w:t>
      </w:r>
      <w:r>
        <w:rPr>
          <w:rFonts w:ascii="仿宋" w:hAnsi="Times New Roman" w:eastAsia="仿宋" w:cs="仿宋"/>
          <w:kern w:val="0"/>
          <w:sz w:val="32"/>
          <w:szCs w:val="32"/>
        </w:rPr>
        <w:t>3</w:t>
      </w:r>
      <w:r>
        <w:rPr>
          <w:rFonts w:hint="eastAsia" w:ascii="仿宋" w:hAnsi="Times New Roman" w:eastAsia="仿宋" w:cs="仿宋"/>
          <w:kern w:val="0"/>
          <w:sz w:val="32"/>
          <w:szCs w:val="32"/>
        </w:rPr>
        <w:t>人次。</w:t>
      </w:r>
    </w:p>
    <w:p>
      <w:pPr>
        <w:tabs>
          <w:tab w:val="left" w:pos="2706"/>
        </w:tabs>
        <w:autoSpaceDE w:val="0"/>
        <w:autoSpaceDN w:val="0"/>
        <w:adjustRightInd w:val="0"/>
        <w:spacing w:line="44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w:t>
      </w:r>
      <w:r>
        <w:rPr>
          <w:rFonts w:hint="eastAsia" w:ascii="仿宋" w:hAnsi="Times New Roman" w:eastAsia="仿宋" w:cs="仿宋"/>
          <w:sz w:val="32"/>
          <w:szCs w:val="32"/>
        </w:rPr>
        <w:t>年度公务接待费支出</w:t>
      </w:r>
      <w:r>
        <w:rPr>
          <w:rFonts w:ascii="仿宋" w:hAnsi="Times New Roman" w:eastAsia="仿宋" w:cs="仿宋"/>
          <w:sz w:val="32"/>
          <w:szCs w:val="32"/>
        </w:rPr>
        <w:t>13.14</w:t>
      </w:r>
      <w:r>
        <w:rPr>
          <w:rFonts w:hint="eastAsia" w:ascii="仿宋" w:hAnsi="Times New Roman" w:eastAsia="仿宋" w:cs="仿宋"/>
          <w:sz w:val="32"/>
          <w:szCs w:val="32"/>
        </w:rPr>
        <w:t>万元，比年初预算减少</w:t>
      </w:r>
      <w:r>
        <w:rPr>
          <w:rFonts w:ascii="仿宋" w:hAnsi="Times New Roman" w:eastAsia="仿宋" w:cs="仿宋"/>
          <w:sz w:val="32"/>
          <w:szCs w:val="32"/>
        </w:rPr>
        <w:t>13.86</w:t>
      </w:r>
      <w:r>
        <w:rPr>
          <w:rFonts w:hint="eastAsia" w:ascii="仿宋" w:hAnsi="Times New Roman" w:eastAsia="仿宋" w:cs="仿宋"/>
          <w:sz w:val="32"/>
          <w:szCs w:val="32"/>
        </w:rPr>
        <w:t>万元，下降</w:t>
      </w:r>
      <w:r>
        <w:rPr>
          <w:rFonts w:ascii="仿宋" w:hAnsi="Times New Roman" w:eastAsia="仿宋" w:cs="仿宋"/>
          <w:sz w:val="32"/>
          <w:szCs w:val="32"/>
        </w:rPr>
        <w:t>51.33%</w:t>
      </w:r>
      <w:r>
        <w:rPr>
          <w:rFonts w:hint="eastAsia" w:ascii="仿宋" w:hAnsi="Times New Roman" w:eastAsia="仿宋" w:cs="仿宋"/>
          <w:sz w:val="32"/>
          <w:szCs w:val="32"/>
        </w:rPr>
        <w:t>；比上年决算数减少</w:t>
      </w:r>
      <w:r>
        <w:rPr>
          <w:rFonts w:ascii="仿宋" w:hAnsi="Times New Roman" w:eastAsia="仿宋" w:cs="仿宋"/>
          <w:sz w:val="32"/>
          <w:szCs w:val="32"/>
        </w:rPr>
        <w:t>4.89</w:t>
      </w:r>
      <w:r>
        <w:rPr>
          <w:rFonts w:hint="eastAsia" w:ascii="仿宋" w:hAnsi="Times New Roman" w:eastAsia="仿宋" w:cs="仿宋"/>
          <w:sz w:val="32"/>
          <w:szCs w:val="32"/>
        </w:rPr>
        <w:t>元，下降</w:t>
      </w:r>
      <w:r>
        <w:rPr>
          <w:rFonts w:ascii="仿宋" w:hAnsi="Times New Roman" w:eastAsia="仿宋" w:cs="仿宋"/>
          <w:sz w:val="32"/>
          <w:szCs w:val="32"/>
        </w:rPr>
        <w:t>27.12%</w:t>
      </w:r>
      <w:r>
        <w:rPr>
          <w:rFonts w:hint="eastAsia" w:ascii="仿宋" w:hAnsi="Times New Roman" w:eastAsia="仿宋" w:cs="仿宋"/>
          <w:sz w:val="32"/>
          <w:szCs w:val="32"/>
        </w:rPr>
        <w:t>，主要原因是认真贯彻落实中央八项规定精神和厉行节约要求，进一步从严控制“三公”经费开支。公务接待费主要用于接待上级部门、兄弟单位来温检查工作、调研考察、经验交流、协查合作等支出。</w:t>
      </w:r>
      <w:r>
        <w:rPr>
          <w:rFonts w:hint="eastAsia" w:ascii="仿宋" w:hAnsi="Times New Roman" w:eastAsia="仿宋" w:cs="仿宋"/>
          <w:kern w:val="0"/>
          <w:sz w:val="32"/>
          <w:szCs w:val="32"/>
        </w:rPr>
        <w:t>其中，本部门国内公务接待</w:t>
      </w:r>
      <w:r>
        <w:rPr>
          <w:rFonts w:ascii="仿宋" w:hAnsi="Times New Roman" w:eastAsia="仿宋" w:cs="仿宋"/>
          <w:kern w:val="0"/>
          <w:sz w:val="32"/>
          <w:szCs w:val="32"/>
        </w:rPr>
        <w:t>94</w:t>
      </w:r>
      <w:r>
        <w:rPr>
          <w:rFonts w:hint="eastAsia" w:ascii="仿宋" w:hAnsi="Times New Roman" w:eastAsia="仿宋" w:cs="仿宋"/>
          <w:kern w:val="0"/>
          <w:sz w:val="32"/>
          <w:szCs w:val="32"/>
        </w:rPr>
        <w:t>批次</w:t>
      </w:r>
      <w:r>
        <w:rPr>
          <w:rFonts w:ascii="仿宋" w:hAnsi="Times New Roman" w:eastAsia="仿宋" w:cs="仿宋"/>
          <w:kern w:val="0"/>
          <w:sz w:val="32"/>
          <w:szCs w:val="32"/>
        </w:rPr>
        <w:t>858</w:t>
      </w:r>
      <w:r>
        <w:rPr>
          <w:rFonts w:hint="eastAsia" w:ascii="仿宋" w:hAnsi="Times New Roman" w:eastAsia="仿宋" w:cs="仿宋"/>
          <w:kern w:val="0"/>
          <w:sz w:val="32"/>
          <w:szCs w:val="32"/>
        </w:rPr>
        <w:t>人次，支出</w:t>
      </w:r>
      <w:r>
        <w:rPr>
          <w:rFonts w:ascii="仿宋" w:hAnsi="Times New Roman" w:eastAsia="仿宋" w:cs="仿宋"/>
          <w:kern w:val="0"/>
          <w:sz w:val="32"/>
          <w:szCs w:val="32"/>
        </w:rPr>
        <w:t>13.14</w:t>
      </w:r>
      <w:r>
        <w:rPr>
          <w:rFonts w:hint="eastAsia" w:ascii="仿宋" w:hAnsi="Times New Roman" w:eastAsia="仿宋" w:cs="仿宋"/>
          <w:kern w:val="0"/>
          <w:sz w:val="32"/>
          <w:szCs w:val="32"/>
        </w:rPr>
        <w:t>万元；无外事接待支出。</w:t>
      </w:r>
    </w:p>
    <w:p>
      <w:pPr>
        <w:autoSpaceDE w:val="0"/>
        <w:autoSpaceDN w:val="0"/>
        <w:adjustRightInd w:val="0"/>
        <w:spacing w:line="44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2016</w:t>
      </w:r>
      <w:r>
        <w:rPr>
          <w:rFonts w:hint="eastAsia" w:ascii="仿宋" w:hAnsi="Times New Roman" w:eastAsia="仿宋" w:cs="仿宋"/>
          <w:kern w:val="0"/>
          <w:sz w:val="32"/>
          <w:szCs w:val="32"/>
        </w:rPr>
        <w:t>年度公务用车购置及运行维护费支出</w:t>
      </w:r>
      <w:r>
        <w:rPr>
          <w:rFonts w:ascii="仿宋" w:hAnsi="Times New Roman" w:eastAsia="仿宋" w:cs="仿宋"/>
          <w:kern w:val="0"/>
          <w:sz w:val="32"/>
          <w:szCs w:val="32"/>
        </w:rPr>
        <w:t>30.41</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2.09</w:t>
      </w:r>
      <w:r>
        <w:rPr>
          <w:rFonts w:hint="eastAsia" w:ascii="仿宋" w:hAnsi="Times New Roman" w:eastAsia="仿宋" w:cs="仿宋"/>
          <w:sz w:val="32"/>
          <w:szCs w:val="32"/>
        </w:rPr>
        <w:t>万元，下降</w:t>
      </w:r>
      <w:r>
        <w:rPr>
          <w:rFonts w:ascii="仿宋" w:hAnsi="Times New Roman" w:eastAsia="仿宋" w:cs="仿宋"/>
          <w:sz w:val="32"/>
          <w:szCs w:val="32"/>
        </w:rPr>
        <w:t>6.43%</w:t>
      </w:r>
      <w:r>
        <w:rPr>
          <w:rFonts w:hint="eastAsia" w:ascii="仿宋" w:hAnsi="Times New Roman" w:eastAsia="仿宋" w:cs="仿宋"/>
          <w:sz w:val="32"/>
          <w:szCs w:val="32"/>
        </w:rPr>
        <w:t>，主要原因是认真贯彻落实中央八项规定</w:t>
      </w:r>
      <w:bookmarkStart w:id="0" w:name="_GoBack"/>
      <w:bookmarkEnd w:id="0"/>
      <w:r>
        <w:rPr>
          <w:rFonts w:hint="eastAsia" w:ascii="仿宋" w:hAnsi="Times New Roman" w:eastAsia="仿宋" w:cs="仿宋"/>
          <w:sz w:val="32"/>
          <w:szCs w:val="32"/>
        </w:rPr>
        <w:t>精神和厉行节约要求，进一步从严控制“三公”经费开支；比上年决算数减少</w:t>
      </w:r>
      <w:r>
        <w:rPr>
          <w:rFonts w:ascii="仿宋" w:hAnsi="Times New Roman" w:eastAsia="仿宋" w:cs="仿宋"/>
          <w:sz w:val="32"/>
          <w:szCs w:val="32"/>
        </w:rPr>
        <w:t>12.69</w:t>
      </w:r>
      <w:r>
        <w:rPr>
          <w:rFonts w:hint="eastAsia" w:ascii="仿宋" w:hAnsi="Times New Roman" w:eastAsia="仿宋" w:cs="仿宋"/>
          <w:sz w:val="32"/>
          <w:szCs w:val="32"/>
        </w:rPr>
        <w:t>万元，下降</w:t>
      </w:r>
      <w:r>
        <w:rPr>
          <w:rFonts w:ascii="仿宋" w:hAnsi="Times New Roman" w:eastAsia="仿宋" w:cs="仿宋"/>
          <w:sz w:val="32"/>
          <w:szCs w:val="32"/>
        </w:rPr>
        <w:t>29.44%</w:t>
      </w:r>
      <w:r>
        <w:rPr>
          <w:rFonts w:hint="eastAsia" w:ascii="仿宋" w:hAnsi="Times New Roman" w:eastAsia="仿宋" w:cs="仿宋"/>
          <w:sz w:val="32"/>
          <w:szCs w:val="32"/>
        </w:rPr>
        <w:t>。减少的主要原因是上年购置公车，本年未购置。</w:t>
      </w:r>
    </w:p>
    <w:p>
      <w:pPr>
        <w:autoSpaceDE w:val="0"/>
        <w:autoSpaceDN w:val="0"/>
        <w:adjustRightInd w:val="0"/>
        <w:spacing w:line="44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ascii="仿宋" w:hAnsi="Times New Roman" w:eastAsia="仿宋" w:cs="仿宋"/>
          <w:kern w:val="0"/>
          <w:sz w:val="32"/>
          <w:szCs w:val="32"/>
        </w:rPr>
        <w:t>30.41</w:t>
      </w:r>
      <w:r>
        <w:rPr>
          <w:rFonts w:hint="eastAsia" w:ascii="仿宋" w:hAnsi="Times New Roman" w:eastAsia="仿宋" w:cs="仿宋"/>
          <w:kern w:val="0"/>
          <w:sz w:val="32"/>
          <w:szCs w:val="32"/>
        </w:rPr>
        <w:t>万元，主要用于机要文件交换、行政执法、监督检查、抽验检验等工作用车的燃料费、维修费、过路过桥费、保险费等支出。</w:t>
      </w:r>
      <w:r>
        <w:rPr>
          <w:rFonts w:ascii="仿宋" w:hAnsi="Times New Roman" w:eastAsia="仿宋" w:cs="仿宋"/>
          <w:kern w:val="0"/>
          <w:sz w:val="32"/>
          <w:szCs w:val="32"/>
        </w:rPr>
        <w:t>2016</w:t>
      </w:r>
      <w:r>
        <w:rPr>
          <w:rFonts w:hint="eastAsia" w:ascii="仿宋" w:hAnsi="Times New Roman" w:eastAsia="仿宋" w:cs="仿宋"/>
          <w:kern w:val="0"/>
          <w:sz w:val="32"/>
          <w:szCs w:val="32"/>
        </w:rPr>
        <w:t>年度，本级及所属单位</w:t>
      </w:r>
      <w:r>
        <w:rPr>
          <w:rFonts w:hint="eastAsia" w:ascii="仿宋" w:hAnsi="Times New Roman" w:eastAsia="仿宋" w:cs="仿宋"/>
          <w:sz w:val="32"/>
          <w:szCs w:val="32"/>
          <w:lang w:val="zh-CN"/>
        </w:rPr>
        <w:t>公务用车保有量为</w:t>
      </w:r>
      <w:r>
        <w:rPr>
          <w:rFonts w:ascii="仿宋" w:hAnsi="Times New Roman" w:eastAsia="仿宋" w:cs="仿宋"/>
          <w:sz w:val="32"/>
          <w:szCs w:val="32"/>
          <w:lang w:val="zh-CN"/>
        </w:rPr>
        <w:t>13</w:t>
      </w:r>
      <w:r>
        <w:rPr>
          <w:rFonts w:hint="eastAsia" w:ascii="仿宋" w:hAnsi="Times New Roman" w:eastAsia="仿宋" w:cs="仿宋"/>
          <w:sz w:val="32"/>
          <w:szCs w:val="32"/>
        </w:rPr>
        <w:t>辆，与上年持平</w:t>
      </w:r>
      <w:r>
        <w:rPr>
          <w:rFonts w:hint="eastAsia" w:ascii="仿宋" w:hAnsi="Times New Roman" w:eastAsia="仿宋" w:cs="仿宋"/>
          <w:kern w:val="0"/>
          <w:sz w:val="32"/>
          <w:szCs w:val="32"/>
        </w:rPr>
        <w:t>。</w:t>
      </w:r>
    </w:p>
    <w:p>
      <w:pPr>
        <w:autoSpaceDE w:val="0"/>
        <w:autoSpaceDN w:val="0"/>
        <w:adjustRightInd w:val="0"/>
        <w:spacing w:line="44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、机关运行经费支出情况</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年度温州市市场监督管理局本级</w:t>
      </w:r>
      <w:r>
        <w:rPr>
          <w:rFonts w:ascii="仿宋" w:hAnsi="Times New Roman" w:eastAsia="仿宋" w:cs="仿宋"/>
          <w:kern w:val="0"/>
          <w:sz w:val="32"/>
          <w:szCs w:val="32"/>
        </w:rPr>
        <w:t>1</w:t>
      </w:r>
      <w:r>
        <w:rPr>
          <w:rFonts w:hint="eastAsia" w:ascii="仿宋" w:hAnsi="Times New Roman" w:eastAsia="仿宋" w:cs="仿宋"/>
          <w:kern w:val="0"/>
          <w:sz w:val="32"/>
          <w:szCs w:val="32"/>
        </w:rPr>
        <w:t>家行政单位</w:t>
      </w:r>
      <w:r>
        <w:rPr>
          <w:rFonts w:hint="eastAsia" w:ascii="仿宋" w:eastAsia="仿宋" w:cs="仿宋"/>
          <w:kern w:val="0"/>
          <w:sz w:val="32"/>
          <w:szCs w:val="32"/>
        </w:rPr>
        <w:t>的机关</w:t>
      </w:r>
      <w:r>
        <w:rPr>
          <w:rFonts w:hint="eastAsia" w:ascii="仿宋" w:hAnsi="Times New Roman" w:eastAsia="仿宋" w:cs="仿宋"/>
          <w:kern w:val="0"/>
          <w:sz w:val="32"/>
          <w:szCs w:val="32"/>
        </w:rPr>
        <w:t>运行经费支出</w:t>
      </w:r>
      <w:r>
        <w:rPr>
          <w:rFonts w:ascii="仿宋" w:hAnsi="Times New Roman" w:eastAsia="仿宋" w:cs="仿宋"/>
          <w:kern w:val="0"/>
          <w:sz w:val="32"/>
          <w:szCs w:val="32"/>
        </w:rPr>
        <w:t>1,077.34</w:t>
      </w:r>
      <w:r>
        <w:rPr>
          <w:rFonts w:hint="eastAsia" w:ascii="仿宋" w:hAnsi="Times New Roman" w:eastAsia="仿宋" w:cs="仿宋"/>
          <w:kern w:val="0"/>
          <w:sz w:val="32"/>
          <w:szCs w:val="32"/>
        </w:rPr>
        <w:t>万元，比上年增加</w:t>
      </w:r>
      <w:r>
        <w:rPr>
          <w:rFonts w:ascii="仿宋" w:hAnsi="Times New Roman" w:eastAsia="仿宋" w:cs="仿宋"/>
          <w:kern w:val="0"/>
          <w:sz w:val="32"/>
          <w:szCs w:val="32"/>
        </w:rPr>
        <w:t>181.45</w:t>
      </w:r>
      <w:r>
        <w:rPr>
          <w:rFonts w:hint="eastAsia" w:ascii="仿宋" w:hAnsi="Times New Roman" w:eastAsia="仿宋" w:cs="仿宋"/>
          <w:kern w:val="0"/>
          <w:sz w:val="32"/>
          <w:szCs w:val="32"/>
        </w:rPr>
        <w:t>万元，增长</w:t>
      </w:r>
      <w:r>
        <w:rPr>
          <w:rFonts w:ascii="仿宋" w:hAnsi="Times New Roman" w:eastAsia="仿宋" w:cs="仿宋"/>
          <w:kern w:val="0"/>
          <w:sz w:val="32"/>
          <w:szCs w:val="32"/>
        </w:rPr>
        <w:t>20.25%</w:t>
      </w:r>
      <w:r>
        <w:rPr>
          <w:rFonts w:hint="eastAsia" w:ascii="仿宋" w:hAnsi="Times New Roman" w:eastAsia="仿宋" w:cs="仿宋"/>
          <w:kern w:val="0"/>
          <w:sz w:val="32"/>
          <w:szCs w:val="32"/>
        </w:rPr>
        <w:t>，主要原因是工作任务增加、人员增加，支出相应增加。</w:t>
      </w:r>
    </w:p>
    <w:p>
      <w:pPr>
        <w:autoSpaceDE w:val="0"/>
        <w:autoSpaceDN w:val="0"/>
        <w:adjustRightInd w:val="0"/>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、政府采购情况</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w:t>
      </w:r>
      <w:r>
        <w:rPr>
          <w:rFonts w:hint="eastAsia" w:ascii="仿宋" w:eastAsia="仿宋" w:cs="仿宋"/>
          <w:kern w:val="0"/>
          <w:sz w:val="32"/>
          <w:szCs w:val="32"/>
        </w:rPr>
        <w:t>温州市市场监督管理局本级及所属各预算单位</w:t>
      </w:r>
      <w:r>
        <w:rPr>
          <w:rFonts w:hint="eastAsia" w:ascii="仿宋" w:hAnsi="Times New Roman" w:eastAsia="仿宋" w:cs="仿宋"/>
          <w:kern w:val="0"/>
          <w:sz w:val="32"/>
          <w:szCs w:val="32"/>
        </w:rPr>
        <w:t>政府采购预算</w:t>
      </w:r>
      <w:r>
        <w:rPr>
          <w:rFonts w:ascii="仿宋" w:hAnsi="Times New Roman" w:eastAsia="仿宋" w:cs="仿宋"/>
          <w:kern w:val="0"/>
          <w:sz w:val="32"/>
          <w:szCs w:val="32"/>
        </w:rPr>
        <w:t>1,689.92</w:t>
      </w:r>
      <w:r>
        <w:rPr>
          <w:rFonts w:hint="eastAsia" w:ascii="仿宋" w:hAnsi="Times New Roman" w:eastAsia="仿宋" w:cs="仿宋"/>
          <w:kern w:val="0"/>
          <w:sz w:val="32"/>
          <w:szCs w:val="32"/>
        </w:rPr>
        <w:t>万元，采购支出总额</w:t>
      </w:r>
      <w:r>
        <w:rPr>
          <w:rFonts w:ascii="仿宋" w:hAnsi="Times New Roman" w:eastAsia="仿宋" w:cs="仿宋"/>
          <w:kern w:val="0"/>
          <w:sz w:val="32"/>
          <w:szCs w:val="32"/>
        </w:rPr>
        <w:t>1,347.46</w:t>
      </w:r>
      <w:r>
        <w:rPr>
          <w:rFonts w:hint="eastAsia" w:ascii="仿宋" w:hAnsi="Times New Roman" w:eastAsia="仿宋" w:cs="仿宋"/>
          <w:kern w:val="0"/>
          <w:sz w:val="32"/>
          <w:szCs w:val="32"/>
        </w:rPr>
        <w:t>万元。其中：货物采购支出</w:t>
      </w:r>
      <w:r>
        <w:rPr>
          <w:rFonts w:ascii="仿宋" w:hAnsi="Times New Roman" w:eastAsia="仿宋" w:cs="仿宋"/>
          <w:kern w:val="0"/>
          <w:sz w:val="32"/>
          <w:szCs w:val="32"/>
        </w:rPr>
        <w:t>160.30</w:t>
      </w:r>
      <w:r>
        <w:rPr>
          <w:rFonts w:hint="eastAsia" w:ascii="仿宋" w:hAnsi="Times New Roman" w:eastAsia="仿宋" w:cs="仿宋"/>
          <w:kern w:val="0"/>
          <w:sz w:val="32"/>
          <w:szCs w:val="32"/>
        </w:rPr>
        <w:t>万元；服务采购支出</w:t>
      </w:r>
      <w:r>
        <w:rPr>
          <w:rFonts w:ascii="仿宋" w:hAnsi="Times New Roman" w:eastAsia="仿宋" w:cs="仿宋"/>
          <w:kern w:val="0"/>
          <w:sz w:val="32"/>
          <w:szCs w:val="32"/>
        </w:rPr>
        <w:t>1,187.16</w:t>
      </w:r>
      <w:r>
        <w:rPr>
          <w:rFonts w:hint="eastAsia" w:ascii="仿宋" w:hAnsi="Times New Roman" w:eastAsia="仿宋" w:cs="仿宋"/>
          <w:kern w:val="0"/>
          <w:sz w:val="32"/>
          <w:szCs w:val="32"/>
        </w:rPr>
        <w:t>万元。授予中小企业合同金额</w:t>
      </w:r>
      <w:r>
        <w:rPr>
          <w:rFonts w:ascii="仿宋" w:hAnsi="Times New Roman" w:eastAsia="仿宋" w:cs="仿宋"/>
          <w:kern w:val="0"/>
          <w:sz w:val="32"/>
          <w:szCs w:val="32"/>
        </w:rPr>
        <w:t>357.4</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26.52%</w:t>
      </w:r>
      <w:r>
        <w:rPr>
          <w:rFonts w:hint="eastAsia" w:ascii="仿宋" w:hAnsi="Times New Roman" w:eastAsia="仿宋" w:cs="仿宋"/>
          <w:kern w:val="0"/>
          <w:sz w:val="32"/>
          <w:szCs w:val="32"/>
        </w:rPr>
        <w:t>，其中授予小微企业合同金额</w:t>
      </w:r>
      <w:r>
        <w:rPr>
          <w:rFonts w:ascii="仿宋" w:hAnsi="Times New Roman" w:eastAsia="仿宋" w:cs="仿宋"/>
          <w:kern w:val="0"/>
          <w:sz w:val="32"/>
          <w:szCs w:val="32"/>
        </w:rPr>
        <w:t>77.28</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5.74%</w:t>
      </w:r>
      <w:r>
        <w:rPr>
          <w:rFonts w:hint="eastAsia" w:ascii="仿宋" w:hAnsi="Times New Roman" w:eastAsia="仿宋" w:cs="仿宋"/>
          <w:kern w:val="0"/>
          <w:sz w:val="32"/>
          <w:szCs w:val="32"/>
        </w:rPr>
        <w:t>。</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、国有资产占用情况</w:t>
      </w:r>
    </w:p>
    <w:p>
      <w:pPr>
        <w:autoSpaceDE w:val="0"/>
        <w:autoSpaceDN w:val="0"/>
        <w:adjustRightInd w:val="0"/>
        <w:spacing w:line="44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w:t>
      </w:r>
      <w:r>
        <w:rPr>
          <w:rFonts w:hint="eastAsia" w:ascii="仿宋" w:hAnsi="Times New Roman" w:eastAsia="仿宋" w:cs="仿宋"/>
          <w:kern w:val="0"/>
          <w:sz w:val="32"/>
          <w:szCs w:val="32"/>
          <w:lang w:eastAsia="zh-CN"/>
        </w:rPr>
        <w:t>至</w:t>
      </w:r>
      <w:r>
        <w:rPr>
          <w:rFonts w:ascii="仿宋" w:hAnsi="Times New Roman" w:eastAsia="仿宋" w:cs="仿宋"/>
          <w:kern w:val="0"/>
          <w:sz w:val="32"/>
          <w:szCs w:val="32"/>
        </w:rPr>
        <w:t>2016</w:t>
      </w:r>
      <w:r>
        <w:rPr>
          <w:rFonts w:hint="eastAsia" w:ascii="仿宋" w:hAnsi="Times New Roman" w:eastAsia="仿宋" w:cs="仿宋"/>
          <w:kern w:val="0"/>
          <w:sz w:val="32"/>
          <w:szCs w:val="32"/>
        </w:rPr>
        <w:t>年底，温州</w:t>
      </w:r>
      <w:r>
        <w:rPr>
          <w:rFonts w:hint="eastAsia" w:ascii="仿宋" w:eastAsia="仿宋" w:cs="仿宋"/>
          <w:kern w:val="0"/>
          <w:sz w:val="32"/>
          <w:szCs w:val="32"/>
        </w:rPr>
        <w:t>市市场监督管理局本级及所属各预算单位</w:t>
      </w:r>
      <w:r>
        <w:rPr>
          <w:rFonts w:hint="eastAsia" w:ascii="仿宋" w:hAnsi="Times New Roman" w:eastAsia="仿宋" w:cs="仿宋"/>
          <w:kern w:val="0"/>
          <w:sz w:val="32"/>
          <w:szCs w:val="32"/>
        </w:rPr>
        <w:t>资产合计</w:t>
      </w:r>
      <w:r>
        <w:rPr>
          <w:rFonts w:ascii="仿宋" w:hAnsi="Times New Roman" w:eastAsia="仿宋" w:cs="仿宋"/>
          <w:kern w:val="0"/>
          <w:sz w:val="32"/>
          <w:szCs w:val="32"/>
        </w:rPr>
        <w:t>21,665.33</w:t>
      </w:r>
      <w:r>
        <w:rPr>
          <w:rFonts w:hint="eastAsia" w:ascii="仿宋" w:hAnsi="Times New Roman" w:eastAsia="仿宋" w:cs="仿宋"/>
          <w:kern w:val="0"/>
          <w:sz w:val="32"/>
          <w:szCs w:val="32"/>
        </w:rPr>
        <w:t>万元，比上年下降</w:t>
      </w:r>
      <w:r>
        <w:rPr>
          <w:rFonts w:ascii="仿宋" w:hAnsi="Times New Roman" w:eastAsia="仿宋" w:cs="仿宋"/>
          <w:kern w:val="0"/>
          <w:sz w:val="32"/>
          <w:szCs w:val="32"/>
        </w:rPr>
        <w:t>1.42%</w:t>
      </w:r>
      <w:r>
        <w:rPr>
          <w:rFonts w:hint="eastAsia" w:ascii="仿宋" w:hAnsi="Times New Roman" w:eastAsia="仿宋" w:cs="仿宋"/>
          <w:kern w:val="0"/>
          <w:sz w:val="32"/>
          <w:szCs w:val="32"/>
        </w:rPr>
        <w:t>，主要原因是根据相关规定报废部分固定资产。其中：流动资产</w:t>
      </w:r>
      <w:r>
        <w:rPr>
          <w:rFonts w:ascii="仿宋" w:hAnsi="Times New Roman" w:eastAsia="仿宋" w:cs="仿宋"/>
          <w:kern w:val="0"/>
          <w:sz w:val="32"/>
          <w:szCs w:val="32"/>
        </w:rPr>
        <w:t>938.43</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4.33 %</w:t>
      </w:r>
      <w:r>
        <w:rPr>
          <w:rFonts w:hint="eastAsia" w:ascii="仿宋" w:hAnsi="Times New Roman" w:eastAsia="仿宋" w:cs="仿宋"/>
          <w:kern w:val="0"/>
          <w:sz w:val="32"/>
          <w:szCs w:val="32"/>
        </w:rPr>
        <w:t>；固定资产</w:t>
      </w:r>
      <w:r>
        <w:rPr>
          <w:rFonts w:ascii="仿宋" w:hAnsi="Times New Roman" w:eastAsia="仿宋" w:cs="仿宋"/>
          <w:kern w:val="0"/>
          <w:sz w:val="32"/>
          <w:szCs w:val="32"/>
        </w:rPr>
        <w:t>5,720.18</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26.4%</w:t>
      </w:r>
      <w:r>
        <w:rPr>
          <w:rFonts w:hint="eastAsia" w:ascii="仿宋" w:hAnsi="Times New Roman" w:eastAsia="仿宋" w:cs="仿宋"/>
          <w:kern w:val="0"/>
          <w:sz w:val="32"/>
          <w:szCs w:val="32"/>
        </w:rPr>
        <w:t>；在建工程</w:t>
      </w:r>
      <w:r>
        <w:rPr>
          <w:rFonts w:ascii="仿宋" w:hAnsi="Times New Roman" w:eastAsia="仿宋" w:cs="仿宋"/>
          <w:kern w:val="0"/>
          <w:sz w:val="32"/>
          <w:szCs w:val="32"/>
        </w:rPr>
        <w:t>15,006.72</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69.27%</w:t>
      </w:r>
      <w:r>
        <w:rPr>
          <w:rFonts w:hint="eastAsia" w:ascii="仿宋" w:hAnsi="Times New Roman" w:eastAsia="仿宋" w:cs="仿宋"/>
          <w:kern w:val="0"/>
          <w:sz w:val="32"/>
          <w:szCs w:val="32"/>
        </w:rPr>
        <w:t>。固定资产含：车辆</w:t>
      </w:r>
      <w:r>
        <w:rPr>
          <w:rFonts w:ascii="仿宋" w:hAnsi="Times New Roman" w:eastAsia="仿宋" w:cs="仿宋"/>
          <w:kern w:val="0"/>
          <w:sz w:val="32"/>
          <w:szCs w:val="32"/>
        </w:rPr>
        <w:t>17</w:t>
      </w:r>
      <w:r>
        <w:rPr>
          <w:rFonts w:hint="eastAsia" w:ascii="仿宋" w:hAnsi="Times New Roman" w:eastAsia="仿宋" w:cs="仿宋"/>
          <w:kern w:val="0"/>
          <w:sz w:val="32"/>
          <w:szCs w:val="32"/>
        </w:rPr>
        <w:t>辆（实际保有</w:t>
      </w:r>
      <w:r>
        <w:rPr>
          <w:rFonts w:ascii="仿宋" w:hAnsi="Times New Roman" w:eastAsia="仿宋" w:cs="仿宋"/>
          <w:kern w:val="0"/>
          <w:sz w:val="32"/>
          <w:szCs w:val="32"/>
        </w:rPr>
        <w:t>13</w:t>
      </w:r>
      <w:r>
        <w:rPr>
          <w:rFonts w:hint="eastAsia" w:ascii="仿宋" w:hAnsi="Times New Roman" w:eastAsia="仿宋" w:cs="仿宋"/>
          <w:kern w:val="0"/>
          <w:sz w:val="32"/>
          <w:szCs w:val="32"/>
        </w:rPr>
        <w:t>辆，</w:t>
      </w:r>
      <w:r>
        <w:rPr>
          <w:rFonts w:ascii="仿宋" w:hAnsi="Times New Roman" w:eastAsia="仿宋" w:cs="仿宋"/>
          <w:kern w:val="0"/>
          <w:sz w:val="32"/>
          <w:szCs w:val="32"/>
        </w:rPr>
        <w:t>4</w:t>
      </w:r>
      <w:r>
        <w:rPr>
          <w:rFonts w:hint="eastAsia" w:ascii="仿宋" w:hAnsi="Times New Roman" w:eastAsia="仿宋" w:cs="仿宋"/>
          <w:kern w:val="0"/>
          <w:sz w:val="32"/>
          <w:szCs w:val="32"/>
        </w:rPr>
        <w:t>辆车改后已按规定处置，资产核销手续尚在办理之中），其中一般执法执勤用车</w:t>
      </w:r>
      <w:r>
        <w:rPr>
          <w:rFonts w:ascii="仿宋" w:hAnsi="Times New Roman" w:eastAsia="仿宋" w:cs="仿宋"/>
          <w:kern w:val="0"/>
          <w:sz w:val="32"/>
          <w:szCs w:val="32"/>
        </w:rPr>
        <w:t>12</w:t>
      </w:r>
      <w:r>
        <w:rPr>
          <w:rFonts w:hint="eastAsia" w:ascii="仿宋" w:hAnsi="Times New Roman" w:eastAsia="仿宋" w:cs="仿宋"/>
          <w:kern w:val="0"/>
          <w:sz w:val="32"/>
          <w:szCs w:val="32"/>
        </w:rPr>
        <w:t>辆、特种专业技术用车</w:t>
      </w:r>
      <w:r>
        <w:rPr>
          <w:rFonts w:ascii="仿宋" w:hAnsi="Times New Roman" w:eastAsia="仿宋" w:cs="仿宋"/>
          <w:kern w:val="0"/>
          <w:sz w:val="32"/>
          <w:szCs w:val="32"/>
        </w:rPr>
        <w:t>1</w:t>
      </w:r>
      <w:r>
        <w:rPr>
          <w:rFonts w:hint="eastAsia" w:ascii="仿宋" w:hAnsi="Times New Roman" w:eastAsia="仿宋" w:cs="仿宋"/>
          <w:kern w:val="0"/>
          <w:sz w:val="32"/>
          <w:szCs w:val="32"/>
        </w:rPr>
        <w:t>辆；单位价值</w:t>
      </w:r>
      <w:r>
        <w:rPr>
          <w:rFonts w:ascii="仿宋" w:hAnsi="Times New Roman" w:eastAsia="仿宋" w:cs="仿宋"/>
          <w:kern w:val="0"/>
          <w:sz w:val="32"/>
          <w:szCs w:val="32"/>
        </w:rPr>
        <w:t>50</w:t>
      </w:r>
      <w:r>
        <w:rPr>
          <w:rFonts w:hint="eastAsia" w:ascii="仿宋" w:hAnsi="Times New Roman" w:eastAsia="仿宋" w:cs="仿宋"/>
          <w:kern w:val="0"/>
          <w:sz w:val="32"/>
          <w:szCs w:val="32"/>
        </w:rPr>
        <w:t>万元（含）以上通用设备</w:t>
      </w:r>
      <w:r>
        <w:rPr>
          <w:rFonts w:ascii="仿宋" w:hAnsi="Times New Roman" w:eastAsia="仿宋" w:cs="仿宋"/>
          <w:kern w:val="0"/>
          <w:sz w:val="32"/>
          <w:szCs w:val="32"/>
        </w:rPr>
        <w:t>8</w:t>
      </w:r>
      <w:r>
        <w:rPr>
          <w:rFonts w:hint="eastAsia" w:ascii="仿宋" w:hAnsi="Times New Roman" w:eastAsia="仿宋" w:cs="仿宋"/>
          <w:kern w:val="0"/>
          <w:sz w:val="32"/>
          <w:szCs w:val="32"/>
        </w:rPr>
        <w:t>套（台）。</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4</w:t>
      </w:r>
      <w:r>
        <w:rPr>
          <w:rFonts w:hint="eastAsia" w:ascii="仿宋" w:hAnsi="Times New Roman" w:eastAsia="仿宋" w:cs="仿宋"/>
          <w:kern w:val="0"/>
          <w:sz w:val="32"/>
          <w:szCs w:val="32"/>
        </w:rPr>
        <w:t>、绩效评价结果情况</w:t>
      </w:r>
    </w:p>
    <w:p>
      <w:pPr>
        <w:autoSpaceDE w:val="0"/>
        <w:autoSpaceDN w:val="0"/>
        <w:adjustRightInd w:val="0"/>
        <w:spacing w:line="440" w:lineRule="exact"/>
        <w:ind w:firstLine="600"/>
        <w:rPr>
          <w:rFonts w:ascii="仿宋" w:hAnsi="Times New Roman" w:eastAsia="仿宋" w:cs="仿宋"/>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年度本部门实施支出绩效评价的项目</w:t>
      </w:r>
      <w:r>
        <w:rPr>
          <w:rFonts w:ascii="仿宋" w:hAnsi="Times New Roman" w:eastAsia="仿宋" w:cs="仿宋"/>
          <w:kern w:val="0"/>
          <w:sz w:val="32"/>
          <w:szCs w:val="32"/>
        </w:rPr>
        <w:t>1</w:t>
      </w:r>
      <w:r>
        <w:rPr>
          <w:rFonts w:hint="eastAsia" w:ascii="仿宋" w:hAnsi="Times New Roman" w:eastAsia="仿宋" w:cs="仿宋"/>
          <w:kern w:val="0"/>
          <w:sz w:val="32"/>
          <w:szCs w:val="32"/>
        </w:rPr>
        <w:t>个，支出金额</w:t>
      </w:r>
      <w:r>
        <w:rPr>
          <w:rFonts w:ascii="仿宋" w:hAnsi="Times New Roman" w:eastAsia="仿宋" w:cs="仿宋"/>
          <w:kern w:val="0"/>
          <w:sz w:val="32"/>
          <w:szCs w:val="32"/>
        </w:rPr>
        <w:t>132.26</w:t>
      </w:r>
      <w:r>
        <w:rPr>
          <w:rFonts w:hint="eastAsia" w:ascii="仿宋" w:hAnsi="Times New Roman" w:eastAsia="仿宋" w:cs="仿宋"/>
          <w:kern w:val="0"/>
          <w:sz w:val="32"/>
          <w:szCs w:val="32"/>
        </w:rPr>
        <w:t>万元。其中：被评为优秀的项目</w:t>
      </w:r>
      <w:r>
        <w:rPr>
          <w:rFonts w:ascii="仿宋" w:hAnsi="Times New Roman" w:eastAsia="仿宋" w:cs="仿宋"/>
          <w:kern w:val="0"/>
          <w:sz w:val="32"/>
          <w:szCs w:val="32"/>
        </w:rPr>
        <w:t>1</w:t>
      </w:r>
      <w:r>
        <w:rPr>
          <w:rFonts w:hint="eastAsia" w:ascii="仿宋" w:hAnsi="Times New Roman" w:eastAsia="仿宋" w:cs="仿宋"/>
          <w:kern w:val="0"/>
          <w:sz w:val="32"/>
          <w:szCs w:val="32"/>
        </w:rPr>
        <w:t>个，为“商事登记及市场监管经费”专项，支出</w:t>
      </w:r>
      <w:r>
        <w:rPr>
          <w:rFonts w:ascii="仿宋" w:hAnsi="Times New Roman" w:eastAsia="仿宋" w:cs="仿宋"/>
          <w:kern w:val="0"/>
          <w:sz w:val="32"/>
          <w:szCs w:val="32"/>
        </w:rPr>
        <w:t>132.26</w:t>
      </w:r>
      <w:r>
        <w:rPr>
          <w:rFonts w:hint="eastAsia" w:ascii="仿宋" w:hAnsi="Times New Roman" w:eastAsia="仿宋" w:cs="仿宋"/>
          <w:kern w:val="0"/>
          <w:sz w:val="32"/>
          <w:szCs w:val="32"/>
        </w:rPr>
        <w:t>万元。</w:t>
      </w:r>
    </w:p>
    <w:p>
      <w:pPr>
        <w:spacing w:line="440" w:lineRule="exact"/>
        <w:ind w:firstLine="640" w:firstLineChars="200"/>
        <w:rPr>
          <w:rFonts w:ascii="黑体" w:hAnsi="Times New Roman" w:eastAsia="黑体" w:cs="黑体"/>
          <w:color w:val="000000"/>
          <w:sz w:val="32"/>
          <w:szCs w:val="32"/>
        </w:rPr>
      </w:pPr>
      <w:r>
        <w:rPr>
          <w:rFonts w:hint="eastAsia" w:ascii="黑体" w:hAnsi="Times New Roman" w:eastAsia="黑体" w:cs="黑体"/>
          <w:color w:val="000000"/>
          <w:sz w:val="32"/>
          <w:szCs w:val="32"/>
        </w:rPr>
        <w:t>四、名词解释</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财政拨款收入：从同级财政部门取得的财政预算资金，包括公共预算财政拨款和政府性基金预算财政拨款。</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2. </w:t>
      </w:r>
      <w:r>
        <w:rPr>
          <w:rFonts w:hint="eastAsia" w:ascii="仿宋" w:hAnsi="Times New Roman" w:eastAsia="仿宋" w:cs="仿宋"/>
          <w:kern w:val="0"/>
          <w:sz w:val="32"/>
          <w:szCs w:val="32"/>
        </w:rPr>
        <w:t>其他收入：预算单位在“财政拨款、事业收入（财政专户管理资金收入）、经营收入”等之外取得的各项收入（含上级补助收入和附属单位缴款等收入）。</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3. </w:t>
      </w:r>
      <w:r>
        <w:rPr>
          <w:rFonts w:hint="eastAsia" w:ascii="仿宋" w:hAnsi="Times New Roman" w:eastAsia="仿宋" w:cs="仿宋"/>
          <w:kern w:val="0"/>
          <w:sz w:val="32"/>
          <w:szCs w:val="32"/>
        </w:rPr>
        <w:t>上年结转：预算单位以前年度的收入预算未执行完毕，需结转本年度继续使用的结转资金，以及以前年度收支相抵后的盈余或亏损结余资金。</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4. </w:t>
      </w:r>
      <w:r>
        <w:rPr>
          <w:rFonts w:hint="eastAsia" w:ascii="仿宋" w:hAnsi="Times New Roman" w:eastAsia="仿宋" w:cs="仿宋"/>
          <w:kern w:val="0"/>
          <w:sz w:val="32"/>
          <w:szCs w:val="32"/>
        </w:rPr>
        <w:t>结转下年：预算单位本年底前的收入预算未执行完毕，需结转下年度按照原用途继续使用的结转资金，以及本年底前收支相抵后盈余或亏损的结余资金。</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5. </w:t>
      </w:r>
      <w:r>
        <w:rPr>
          <w:rFonts w:hint="eastAsia" w:ascii="仿宋" w:hAnsi="Times New Roman" w:eastAsia="仿宋" w:cs="仿宋"/>
          <w:kern w:val="0"/>
          <w:sz w:val="32"/>
          <w:szCs w:val="32"/>
        </w:rPr>
        <w:t>基本支出：是预算单位为保障其正常运转，完成日常工作任务所发生的支出，包括人员支出和日常公用支出。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6. </w:t>
      </w:r>
      <w:r>
        <w:rPr>
          <w:rFonts w:hint="eastAsia" w:ascii="仿宋" w:hAnsi="Times New Roman" w:eastAsia="仿宋" w:cs="仿宋"/>
          <w:kern w:val="0"/>
          <w:sz w:val="32"/>
          <w:szCs w:val="32"/>
        </w:rPr>
        <w:t>项目支出：是预算单位为完成其特定的行政工作任务或事业发展目标所发生的支出。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7.</w:t>
      </w:r>
      <w:r>
        <w:rPr>
          <w:rFonts w:hint="eastAsia" w:ascii="仿宋" w:hAnsi="Times New Roman" w:eastAsia="仿宋" w:cs="仿宋"/>
          <w:kern w:val="0"/>
          <w:sz w:val="32"/>
          <w:szCs w:val="32"/>
        </w:rPr>
        <w:t>因公出国（境）费用：反映单位公务出国（境）的国际旅费、国外城市间交通费、住宿费、伙食费、培训费、公杂费等支出。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8.</w:t>
      </w:r>
      <w:r>
        <w:rPr>
          <w:rFonts w:hint="eastAsia" w:ascii="仿宋" w:hAnsi="Times New Roman" w:eastAsia="仿宋" w:cs="仿宋"/>
          <w:kern w:val="0"/>
          <w:sz w:val="32"/>
          <w:szCs w:val="32"/>
        </w:rPr>
        <w:t>公务接待费：反映单位按规定开支的各类公务接待（含外宾接待）费用。</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9.</w:t>
      </w:r>
      <w:r>
        <w:rPr>
          <w:rFonts w:hint="eastAsia" w:ascii="仿宋" w:hAnsi="Times New Roman" w:eastAsia="仿宋" w:cs="仿宋"/>
          <w:kern w:val="0"/>
          <w:sz w:val="32"/>
          <w:szCs w:val="32"/>
        </w:rPr>
        <w:t>公务用车购置：反映公务用车车辆购置支出（含车辆购置税）。</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10.</w:t>
      </w:r>
      <w:r>
        <w:rPr>
          <w:rFonts w:hint="eastAsia" w:ascii="仿宋" w:hAnsi="Times New Roman" w:eastAsia="仿宋" w:cs="仿宋"/>
          <w:kern w:val="0"/>
          <w:sz w:val="32"/>
          <w:szCs w:val="32"/>
        </w:rPr>
        <w:t>公务用车运行维护费：反映公务用车租用费、燃料费、维修费、过桥过路费、保险费、安全奖励费用等支出。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11.</w:t>
      </w:r>
      <w:r>
        <w:rPr>
          <w:rFonts w:hint="eastAsia" w:ascii="仿宋" w:hAnsi="Times New Roman" w:eastAsia="仿宋" w:cs="仿宋"/>
          <w:kern w:val="0"/>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12.</w:t>
      </w:r>
      <w:r>
        <w:rPr>
          <w:rFonts w:hint="eastAsia" w:ascii="仿宋" w:hAnsi="Times New Roman" w:eastAsia="仿宋" w:cs="仿宋"/>
          <w:kern w:val="0"/>
          <w:sz w:val="32"/>
          <w:szCs w:val="32"/>
        </w:rPr>
        <w:t>流动资产：是指一年以内变现或耗用的资产，包括库存现金、银行存款、零余额用款额度、财政应返还额度、应收及预付款项、存货等。</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13.</w:t>
      </w:r>
      <w:r>
        <w:rPr>
          <w:rFonts w:hint="eastAsia" w:ascii="仿宋" w:hAnsi="Times New Roman" w:eastAsia="仿宋" w:cs="仿宋"/>
          <w:kern w:val="0"/>
          <w:sz w:val="32"/>
          <w:szCs w:val="32"/>
        </w:rPr>
        <w:t>固定资产：是指使用期限超过</w:t>
      </w:r>
      <w:r>
        <w:rPr>
          <w:rFonts w:ascii="仿宋" w:hAnsi="Times New Roman" w:eastAsia="仿宋" w:cs="仿宋"/>
          <w:kern w:val="0"/>
          <w:sz w:val="32"/>
          <w:szCs w:val="32"/>
        </w:rPr>
        <w:t>1</w:t>
      </w:r>
      <w:r>
        <w:rPr>
          <w:rFonts w:hint="eastAsia" w:ascii="仿宋" w:hAnsi="Times New Roman" w:eastAsia="仿宋" w:cs="仿宋"/>
          <w:kern w:val="0"/>
          <w:sz w:val="32"/>
          <w:szCs w:val="32"/>
        </w:rPr>
        <w:t>年（不含</w:t>
      </w:r>
      <w:r>
        <w:rPr>
          <w:rFonts w:ascii="仿宋" w:hAnsi="Times New Roman" w:eastAsia="仿宋" w:cs="仿宋"/>
          <w:kern w:val="0"/>
          <w:sz w:val="32"/>
          <w:szCs w:val="32"/>
        </w:rPr>
        <w:t>1</w:t>
      </w:r>
      <w:r>
        <w:rPr>
          <w:rFonts w:hint="eastAsia" w:ascii="仿宋" w:hAnsi="Times New Roman" w:eastAsia="仿宋" w:cs="仿宋"/>
          <w:kern w:val="0"/>
          <w:sz w:val="32"/>
          <w:szCs w:val="32"/>
        </w:rPr>
        <w:t>年），单位价值在规定标准以上，并且在使用过程中基本保持原有物质形态的资产。</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14.</w:t>
      </w:r>
      <w:r>
        <w:rPr>
          <w:rFonts w:hint="eastAsia" w:ascii="仿宋" w:hAnsi="Times New Roman" w:eastAsia="仿宋" w:cs="仿宋"/>
          <w:kern w:val="0"/>
          <w:sz w:val="32"/>
          <w:szCs w:val="32"/>
        </w:rPr>
        <w:t>在建工程：是指单位已经发生必要支出，但尚未完工交付使用的各种建筑（包括新建、改建、扩建、修缮等）、设备安装工程和信息系统建设工程。</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15. </w:t>
      </w:r>
      <w:r>
        <w:rPr>
          <w:rFonts w:hint="eastAsia" w:ascii="仿宋" w:hAnsi="Times New Roman" w:eastAsia="仿宋" w:cs="仿宋"/>
          <w:kern w:val="0"/>
          <w:sz w:val="32"/>
          <w:szCs w:val="32"/>
        </w:rPr>
        <w:t>一般公共服务（类）工商行政管理局（款）行政运行（项）：是反映行政单位（包括实行公务员管理的事业单位）的基本支出。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16. </w:t>
      </w:r>
      <w:r>
        <w:rPr>
          <w:rFonts w:hint="eastAsia" w:ascii="仿宋" w:hAnsi="Times New Roman" w:eastAsia="仿宋" w:cs="仿宋"/>
          <w:kern w:val="0"/>
          <w:sz w:val="32"/>
          <w:szCs w:val="32"/>
        </w:rPr>
        <w:t>一般公共服务（类）工商行政管理局（款）一般行政管理事务（项）：是反映行政单位（包括实行公务员管理的事业单位）未单独设置项级科目的其他项目支出。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17. </w:t>
      </w:r>
      <w:r>
        <w:rPr>
          <w:rFonts w:hint="eastAsia" w:ascii="仿宋" w:hAnsi="Times New Roman" w:eastAsia="仿宋" w:cs="仿宋"/>
          <w:kern w:val="0"/>
          <w:sz w:val="32"/>
          <w:szCs w:val="32"/>
        </w:rPr>
        <w:t>一般公共服务（类）工商行政管理局（款）工商行政管理专项（项）：是反映工商行政部门从事专项业务方面的支出。包括各类企业注册登记和年检，商标注册和评审，各类公告、广告监督管理，市场规范管理，流通领域商品质量抽查等业务工作支出及相关证、照、表格的印制等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 xml:space="preserve">18. </w:t>
      </w:r>
      <w:r>
        <w:rPr>
          <w:rFonts w:hint="eastAsia" w:ascii="仿宋" w:hAnsi="Times New Roman" w:eastAsia="仿宋" w:cs="仿宋"/>
          <w:kern w:val="0"/>
          <w:sz w:val="32"/>
          <w:szCs w:val="32"/>
        </w:rPr>
        <w:t>一般公共服务（类）工商行政管理局（款）执法办案专项（项）：是反映工商行政部门依照法律、法规查处各类经济违法案件，打击走私贩私、打击假冒伪劣商品、打击传销和变相传销、直销管理、反对垄断、反不正当竞争和合同欺诈等专项工作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19.</w:t>
      </w:r>
      <w:r>
        <w:rPr>
          <w:rFonts w:hint="eastAsia" w:ascii="仿宋" w:hAnsi="Times New Roman" w:eastAsia="仿宋" w:cs="仿宋"/>
          <w:kern w:val="0"/>
          <w:sz w:val="32"/>
          <w:szCs w:val="32"/>
        </w:rPr>
        <w:t>一般公共服务（类）工商行政管理局（款）其他工商行政管理事务（项）：是反映上述项目以外其他用于工商行政管理事务方面的支出。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20.</w:t>
      </w:r>
      <w:r>
        <w:rPr>
          <w:rFonts w:hint="eastAsia" w:ascii="仿宋" w:hAnsi="Times New Roman" w:eastAsia="仿宋" w:cs="仿宋"/>
          <w:kern w:val="0"/>
          <w:sz w:val="32"/>
          <w:szCs w:val="32"/>
        </w:rPr>
        <w:t>社会保障和就业支出（类）行政事业单位离退休（款）未归口管理的行政单位离退休（项）：是反映未实行归口管理的行政单位（包括实行公务员管理的事业单位）开支的离退休支出。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21.</w:t>
      </w:r>
      <w:r>
        <w:rPr>
          <w:rFonts w:hint="eastAsia" w:ascii="仿宋" w:hAnsi="Times New Roman" w:eastAsia="仿宋" w:cs="仿宋"/>
          <w:kern w:val="0"/>
          <w:sz w:val="32"/>
          <w:szCs w:val="32"/>
        </w:rPr>
        <w:t>社会保障和就业支出（类）行政事业单位离退休（款）</w:t>
      </w:r>
      <w:r>
        <w:rPr>
          <w:rFonts w:ascii="仿宋" w:hAnsi="Times New Roman" w:eastAsia="仿宋" w:cs="仿宋"/>
          <w:kern w:val="0"/>
          <w:sz w:val="32"/>
          <w:szCs w:val="32"/>
        </w:rPr>
        <w:t xml:space="preserve"> </w:t>
      </w:r>
      <w:r>
        <w:rPr>
          <w:rFonts w:hint="eastAsia" w:ascii="仿宋" w:hAnsi="Times New Roman" w:eastAsia="仿宋" w:cs="仿宋"/>
          <w:kern w:val="0"/>
          <w:sz w:val="32"/>
          <w:szCs w:val="32"/>
        </w:rPr>
        <w:t>机关事业单位基本养老保险缴费支出（项）：是反映机关事业单位实施养老保险制度由单位缴纳的基本养老保险费支出。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22.</w:t>
      </w:r>
      <w:r>
        <w:rPr>
          <w:rFonts w:hint="eastAsia" w:ascii="仿宋" w:hAnsi="Times New Roman" w:eastAsia="仿宋" w:cs="仿宋"/>
          <w:kern w:val="0"/>
          <w:sz w:val="32"/>
          <w:szCs w:val="32"/>
        </w:rPr>
        <w:t>社会保障和就业支出（类）行政事业单位离退休（款）</w:t>
      </w:r>
      <w:r>
        <w:rPr>
          <w:rFonts w:ascii="仿宋" w:hAnsi="Times New Roman" w:eastAsia="仿宋" w:cs="仿宋"/>
          <w:kern w:val="0"/>
          <w:sz w:val="32"/>
          <w:szCs w:val="32"/>
        </w:rPr>
        <w:t xml:space="preserve"> </w:t>
      </w:r>
      <w:r>
        <w:rPr>
          <w:rFonts w:hint="eastAsia" w:ascii="仿宋" w:hAnsi="Times New Roman" w:eastAsia="仿宋" w:cs="仿宋"/>
          <w:kern w:val="0"/>
          <w:sz w:val="32"/>
          <w:szCs w:val="32"/>
        </w:rPr>
        <w:t>机关事业单位职业年金缴费支出（项）：是反映机关事业单位实施养老保险制度由单位实际缴纳的职业年金支出。</w:t>
      </w:r>
    </w:p>
    <w:p>
      <w:pPr>
        <w:spacing w:line="44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23.</w:t>
      </w:r>
      <w:r>
        <w:rPr>
          <w:rFonts w:hint="eastAsia" w:ascii="仿宋" w:hAnsi="Times New Roman" w:eastAsia="仿宋" w:cs="仿宋"/>
          <w:kern w:val="0"/>
          <w:sz w:val="32"/>
          <w:szCs w:val="32"/>
        </w:rPr>
        <w:t>医疗卫生（类）医疗保障（款）行政单位医疗（项）：是反映财政部门集中安排的行政单位基本医疗保险缴费经费，未参加医疗保险的行政单位的公费医疗经费，按国家规定享受离休人员、红军老战士待遇人员的医疗经费。</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24</w:t>
      </w:r>
      <w:r>
        <w:rPr>
          <w:rFonts w:hint="eastAsia" w:ascii="仿宋" w:hAnsi="Times New Roman" w:eastAsia="仿宋" w:cs="仿宋"/>
          <w:kern w:val="0"/>
          <w:sz w:val="32"/>
          <w:szCs w:val="32"/>
        </w:rPr>
        <w:t>．医疗卫生（类）医疗保障（款）事业单位医疗（项）：是反映财政部门集中安排的事业单位基本医疗保险缴费经费，未参加医疗保险的事业单位的公费医疗经费，按国家规定享受离休人员待遇人员的医疗经费。</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 xml:space="preserve">25. </w:t>
      </w:r>
      <w:r>
        <w:rPr>
          <w:rFonts w:hint="eastAsia" w:ascii="仿宋" w:hAnsi="Times New Roman" w:eastAsia="仿宋" w:cs="仿宋"/>
          <w:kern w:val="0"/>
          <w:sz w:val="32"/>
          <w:szCs w:val="32"/>
        </w:rPr>
        <w:t>医疗卫生（类）食品和药品监督管理事务（款）一般行政管理事务（项）：是反映行政单位（包括实行公务员管理的事业单位）未单独设置项级科目的其他项目支出。</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26.</w:t>
      </w:r>
      <w:r>
        <w:rPr>
          <w:rFonts w:hint="eastAsia" w:ascii="仿宋" w:hAnsi="Times New Roman" w:eastAsia="仿宋" w:cs="仿宋"/>
          <w:kern w:val="0"/>
          <w:sz w:val="32"/>
          <w:szCs w:val="32"/>
        </w:rPr>
        <w:t>医疗卫生（类）食品和药品监督管理事务（款）食品安全事务（项）：是反映食品（含食品添加剂、保健食品）监督管理方面的支出。</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 xml:space="preserve">27. </w:t>
      </w:r>
      <w:r>
        <w:rPr>
          <w:rFonts w:hint="eastAsia" w:ascii="仿宋" w:hAnsi="Times New Roman" w:eastAsia="仿宋" w:cs="仿宋"/>
          <w:kern w:val="0"/>
          <w:sz w:val="32"/>
          <w:szCs w:val="32"/>
        </w:rPr>
        <w:t>医疗卫生（类）食品和药品监督管理事务（款）事业运行（项）：是反映事业单位的基本支出，不包括行政单位（包括实行公务员管理的事业单位）后勤服务中心、医务室等附属事业单位。</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 xml:space="preserve">28. </w:t>
      </w:r>
      <w:r>
        <w:rPr>
          <w:rFonts w:hint="eastAsia" w:ascii="仿宋" w:hAnsi="Times New Roman" w:eastAsia="仿宋" w:cs="仿宋"/>
          <w:kern w:val="0"/>
          <w:sz w:val="32"/>
          <w:szCs w:val="32"/>
        </w:rPr>
        <w:t>医疗卫生（类）食品和药品监督管理事务（款）其他食品和药品监督管理事务支出（项）：是反映其他用于食品和药品监督管理事务方面的支出。</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 xml:space="preserve">29 </w:t>
      </w:r>
      <w:r>
        <w:rPr>
          <w:rFonts w:hint="eastAsia" w:ascii="仿宋" w:hAnsi="Times New Roman" w:eastAsia="仿宋" w:cs="仿宋"/>
          <w:kern w:val="0"/>
          <w:sz w:val="32"/>
          <w:szCs w:val="32"/>
        </w:rPr>
        <w:t>商业服务业等支出（类）商业流通事务（款）其他商业流通事业支出（项）：是反映用于商业流通事务方面的支出。</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30.</w:t>
      </w:r>
      <w:r>
        <w:rPr>
          <w:rFonts w:hint="eastAsia" w:ascii="仿宋" w:hAnsi="Times New Roman" w:eastAsia="仿宋" w:cs="仿宋"/>
          <w:kern w:val="0"/>
          <w:sz w:val="32"/>
          <w:szCs w:val="32"/>
        </w:rPr>
        <w:t>保障支出（类）住房改革支出（款）住房公积金（项）：是反映事业单位按人力资源和社会保障部、财政部规定的基本工资和津贴补贴以及规定比例为职工缴纳的住房公积金。</w:t>
      </w:r>
    </w:p>
    <w:p>
      <w:pPr>
        <w:autoSpaceDE w:val="0"/>
        <w:autoSpaceDN w:val="0"/>
        <w:adjustRightInd w:val="0"/>
        <w:spacing w:line="440" w:lineRule="exact"/>
        <w:ind w:firstLine="640" w:firstLineChars="200"/>
        <w:jc w:val="left"/>
        <w:rPr>
          <w:rFonts w:ascii="仿宋" w:hAnsi="Times New Roman" w:eastAsia="仿宋" w:cs="仿宋"/>
          <w:kern w:val="0"/>
          <w:sz w:val="32"/>
          <w:szCs w:val="32"/>
        </w:rPr>
      </w:pPr>
      <w:r>
        <w:rPr>
          <w:rFonts w:ascii="仿宋" w:hAnsi="Times New Roman" w:eastAsia="仿宋" w:cs="仿宋"/>
          <w:kern w:val="0"/>
          <w:sz w:val="32"/>
          <w:szCs w:val="32"/>
        </w:rPr>
        <w:t>31.</w:t>
      </w:r>
      <w:r>
        <w:rPr>
          <w:rFonts w:hint="eastAsia" w:ascii="仿宋" w:hAnsi="Times New Roman" w:eastAsia="仿宋" w:cs="仿宋"/>
          <w:kern w:val="0"/>
          <w:sz w:val="32"/>
          <w:szCs w:val="32"/>
        </w:rPr>
        <w:t>住房保障支出（类）住房改革支出（款）购房补贴（项）：是反映改政策规定，行政事业单位向符合条件职工（含离退休人员）发放的用于购买住房的补贴。</w:t>
      </w:r>
    </w:p>
    <w:p>
      <w:pPr>
        <w:spacing w:line="440" w:lineRule="exact"/>
        <w:ind w:firstLine="645"/>
        <w:rPr>
          <w:rFonts w:ascii="黑体" w:hAnsi="Times New Roman" w:eastAsia="黑体" w:cs="黑体"/>
          <w:color w:val="000000"/>
          <w:sz w:val="32"/>
          <w:szCs w:val="32"/>
        </w:rPr>
      </w:pPr>
    </w:p>
    <w:sectPr>
      <w:footerReference r:id="rId3" w:type="default"/>
      <w:footerReference r:id="rId4"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881F0B"/>
    <w:rsid w:val="0004504B"/>
    <w:rsid w:val="00046671"/>
    <w:rsid w:val="00053BB5"/>
    <w:rsid w:val="00053EFE"/>
    <w:rsid w:val="00062042"/>
    <w:rsid w:val="00064128"/>
    <w:rsid w:val="000651D8"/>
    <w:rsid w:val="0007060F"/>
    <w:rsid w:val="0007101E"/>
    <w:rsid w:val="00072BCA"/>
    <w:rsid w:val="00072F12"/>
    <w:rsid w:val="000766CC"/>
    <w:rsid w:val="000B06C9"/>
    <w:rsid w:val="000C73D1"/>
    <w:rsid w:val="000E188B"/>
    <w:rsid w:val="000E18A3"/>
    <w:rsid w:val="000F6A4F"/>
    <w:rsid w:val="00100F88"/>
    <w:rsid w:val="001016A7"/>
    <w:rsid w:val="00120C66"/>
    <w:rsid w:val="00120CDC"/>
    <w:rsid w:val="00126BD4"/>
    <w:rsid w:val="00176822"/>
    <w:rsid w:val="001811AA"/>
    <w:rsid w:val="0018273E"/>
    <w:rsid w:val="00184183"/>
    <w:rsid w:val="001902D7"/>
    <w:rsid w:val="00190775"/>
    <w:rsid w:val="001920D4"/>
    <w:rsid w:val="00192FAE"/>
    <w:rsid w:val="00193FB5"/>
    <w:rsid w:val="001A2286"/>
    <w:rsid w:val="001A45E9"/>
    <w:rsid w:val="001C39C7"/>
    <w:rsid w:val="001D5629"/>
    <w:rsid w:val="001E17E8"/>
    <w:rsid w:val="001E74C5"/>
    <w:rsid w:val="001F271C"/>
    <w:rsid w:val="001F527C"/>
    <w:rsid w:val="001F5B02"/>
    <w:rsid w:val="00207B27"/>
    <w:rsid w:val="00214241"/>
    <w:rsid w:val="002162F7"/>
    <w:rsid w:val="00221B85"/>
    <w:rsid w:val="00235879"/>
    <w:rsid w:val="0024350D"/>
    <w:rsid w:val="00250207"/>
    <w:rsid w:val="00251872"/>
    <w:rsid w:val="00256C16"/>
    <w:rsid w:val="00257A58"/>
    <w:rsid w:val="00272223"/>
    <w:rsid w:val="002738A3"/>
    <w:rsid w:val="002746F1"/>
    <w:rsid w:val="00276750"/>
    <w:rsid w:val="00282B23"/>
    <w:rsid w:val="00294E07"/>
    <w:rsid w:val="00295463"/>
    <w:rsid w:val="002A7BA1"/>
    <w:rsid w:val="002D17A7"/>
    <w:rsid w:val="002D6A30"/>
    <w:rsid w:val="002E00D5"/>
    <w:rsid w:val="002E43A9"/>
    <w:rsid w:val="002F5A95"/>
    <w:rsid w:val="003044D2"/>
    <w:rsid w:val="0030451A"/>
    <w:rsid w:val="0031551D"/>
    <w:rsid w:val="00327825"/>
    <w:rsid w:val="00330A19"/>
    <w:rsid w:val="00342CD2"/>
    <w:rsid w:val="0034434F"/>
    <w:rsid w:val="00344F29"/>
    <w:rsid w:val="00344F37"/>
    <w:rsid w:val="00346899"/>
    <w:rsid w:val="0034725A"/>
    <w:rsid w:val="00361F65"/>
    <w:rsid w:val="0036636F"/>
    <w:rsid w:val="00371925"/>
    <w:rsid w:val="00373442"/>
    <w:rsid w:val="003775A0"/>
    <w:rsid w:val="00384E93"/>
    <w:rsid w:val="0038512D"/>
    <w:rsid w:val="00386388"/>
    <w:rsid w:val="0038715C"/>
    <w:rsid w:val="003A4B20"/>
    <w:rsid w:val="003A6FA2"/>
    <w:rsid w:val="003B0DD8"/>
    <w:rsid w:val="003B1368"/>
    <w:rsid w:val="003C4F54"/>
    <w:rsid w:val="003D31D7"/>
    <w:rsid w:val="003D5271"/>
    <w:rsid w:val="003E0B35"/>
    <w:rsid w:val="003E6F76"/>
    <w:rsid w:val="003F53B9"/>
    <w:rsid w:val="004044EE"/>
    <w:rsid w:val="00417507"/>
    <w:rsid w:val="00420D41"/>
    <w:rsid w:val="00424E54"/>
    <w:rsid w:val="00426459"/>
    <w:rsid w:val="004274BE"/>
    <w:rsid w:val="0043385E"/>
    <w:rsid w:val="004443C9"/>
    <w:rsid w:val="00450656"/>
    <w:rsid w:val="00450FEA"/>
    <w:rsid w:val="004614FB"/>
    <w:rsid w:val="00480D4E"/>
    <w:rsid w:val="00482F4B"/>
    <w:rsid w:val="00492845"/>
    <w:rsid w:val="00493E30"/>
    <w:rsid w:val="004A0F53"/>
    <w:rsid w:val="004C62D1"/>
    <w:rsid w:val="004D09A8"/>
    <w:rsid w:val="004E0E8D"/>
    <w:rsid w:val="004F1790"/>
    <w:rsid w:val="004F2CCF"/>
    <w:rsid w:val="004F54CB"/>
    <w:rsid w:val="00514AEC"/>
    <w:rsid w:val="00515175"/>
    <w:rsid w:val="00516246"/>
    <w:rsid w:val="005174AB"/>
    <w:rsid w:val="0052799D"/>
    <w:rsid w:val="005326F6"/>
    <w:rsid w:val="00571A2E"/>
    <w:rsid w:val="00576CA2"/>
    <w:rsid w:val="00586939"/>
    <w:rsid w:val="00595EAD"/>
    <w:rsid w:val="005A1EB3"/>
    <w:rsid w:val="005B180D"/>
    <w:rsid w:val="005B1CD6"/>
    <w:rsid w:val="005B602D"/>
    <w:rsid w:val="005C0205"/>
    <w:rsid w:val="005C30BA"/>
    <w:rsid w:val="005E3140"/>
    <w:rsid w:val="006048A5"/>
    <w:rsid w:val="00604C57"/>
    <w:rsid w:val="006050CB"/>
    <w:rsid w:val="0061194C"/>
    <w:rsid w:val="0061672A"/>
    <w:rsid w:val="006267B8"/>
    <w:rsid w:val="00632156"/>
    <w:rsid w:val="006405C2"/>
    <w:rsid w:val="0067208A"/>
    <w:rsid w:val="00672EE2"/>
    <w:rsid w:val="006771E0"/>
    <w:rsid w:val="00685EAF"/>
    <w:rsid w:val="0069448C"/>
    <w:rsid w:val="0069528E"/>
    <w:rsid w:val="006970D0"/>
    <w:rsid w:val="006B078C"/>
    <w:rsid w:val="006C34A6"/>
    <w:rsid w:val="006C527F"/>
    <w:rsid w:val="006C6F35"/>
    <w:rsid w:val="006D6A2F"/>
    <w:rsid w:val="007013D3"/>
    <w:rsid w:val="007033AA"/>
    <w:rsid w:val="007079F8"/>
    <w:rsid w:val="007375CD"/>
    <w:rsid w:val="00741024"/>
    <w:rsid w:val="00741108"/>
    <w:rsid w:val="00741B55"/>
    <w:rsid w:val="00746CBE"/>
    <w:rsid w:val="00761B9C"/>
    <w:rsid w:val="007637CD"/>
    <w:rsid w:val="00764A4E"/>
    <w:rsid w:val="00765C83"/>
    <w:rsid w:val="00780470"/>
    <w:rsid w:val="00794BF7"/>
    <w:rsid w:val="00794E42"/>
    <w:rsid w:val="007B0FA4"/>
    <w:rsid w:val="007B33DE"/>
    <w:rsid w:val="007B3679"/>
    <w:rsid w:val="007C44E9"/>
    <w:rsid w:val="007D348B"/>
    <w:rsid w:val="007E200C"/>
    <w:rsid w:val="007E255A"/>
    <w:rsid w:val="007E6CDF"/>
    <w:rsid w:val="008033E0"/>
    <w:rsid w:val="008223CC"/>
    <w:rsid w:val="00822CEF"/>
    <w:rsid w:val="0083085C"/>
    <w:rsid w:val="008346BD"/>
    <w:rsid w:val="00854686"/>
    <w:rsid w:val="008808F0"/>
    <w:rsid w:val="00881F0B"/>
    <w:rsid w:val="00886526"/>
    <w:rsid w:val="00887089"/>
    <w:rsid w:val="00893EDB"/>
    <w:rsid w:val="00896765"/>
    <w:rsid w:val="008C2CF4"/>
    <w:rsid w:val="008D17A0"/>
    <w:rsid w:val="008D48F1"/>
    <w:rsid w:val="008E54B4"/>
    <w:rsid w:val="008F0E3E"/>
    <w:rsid w:val="008F1E0E"/>
    <w:rsid w:val="0090349E"/>
    <w:rsid w:val="009125B1"/>
    <w:rsid w:val="00923634"/>
    <w:rsid w:val="00931ABD"/>
    <w:rsid w:val="00941F4B"/>
    <w:rsid w:val="00951A76"/>
    <w:rsid w:val="00954DB4"/>
    <w:rsid w:val="0097416C"/>
    <w:rsid w:val="0097677D"/>
    <w:rsid w:val="009803AF"/>
    <w:rsid w:val="009809AE"/>
    <w:rsid w:val="00982B21"/>
    <w:rsid w:val="009845D7"/>
    <w:rsid w:val="00990DDE"/>
    <w:rsid w:val="00997B30"/>
    <w:rsid w:val="009A37C6"/>
    <w:rsid w:val="009B570B"/>
    <w:rsid w:val="009B781D"/>
    <w:rsid w:val="009C36D5"/>
    <w:rsid w:val="009C7E7E"/>
    <w:rsid w:val="009D180F"/>
    <w:rsid w:val="009D1C93"/>
    <w:rsid w:val="009F33E5"/>
    <w:rsid w:val="00A0740C"/>
    <w:rsid w:val="00A229F3"/>
    <w:rsid w:val="00A23B37"/>
    <w:rsid w:val="00A309C1"/>
    <w:rsid w:val="00A34BA9"/>
    <w:rsid w:val="00A37289"/>
    <w:rsid w:val="00A71495"/>
    <w:rsid w:val="00A71EB2"/>
    <w:rsid w:val="00A746B8"/>
    <w:rsid w:val="00A76977"/>
    <w:rsid w:val="00A828DF"/>
    <w:rsid w:val="00A91F86"/>
    <w:rsid w:val="00AA03BD"/>
    <w:rsid w:val="00AC012E"/>
    <w:rsid w:val="00AC03C2"/>
    <w:rsid w:val="00AE5329"/>
    <w:rsid w:val="00AE71C8"/>
    <w:rsid w:val="00AF106F"/>
    <w:rsid w:val="00AF2F79"/>
    <w:rsid w:val="00AF77F1"/>
    <w:rsid w:val="00B00BE4"/>
    <w:rsid w:val="00B141CC"/>
    <w:rsid w:val="00B20412"/>
    <w:rsid w:val="00B5679A"/>
    <w:rsid w:val="00B93A85"/>
    <w:rsid w:val="00B94A6F"/>
    <w:rsid w:val="00BB1A58"/>
    <w:rsid w:val="00BB4E1E"/>
    <w:rsid w:val="00BC3CE6"/>
    <w:rsid w:val="00BC6167"/>
    <w:rsid w:val="00BD7FAC"/>
    <w:rsid w:val="00BF143F"/>
    <w:rsid w:val="00BF6CE9"/>
    <w:rsid w:val="00BF7B7E"/>
    <w:rsid w:val="00C03C0A"/>
    <w:rsid w:val="00C31791"/>
    <w:rsid w:val="00C33E6D"/>
    <w:rsid w:val="00C362CE"/>
    <w:rsid w:val="00C403F3"/>
    <w:rsid w:val="00C408FA"/>
    <w:rsid w:val="00C413D9"/>
    <w:rsid w:val="00C450CC"/>
    <w:rsid w:val="00C519C9"/>
    <w:rsid w:val="00C5682A"/>
    <w:rsid w:val="00C57720"/>
    <w:rsid w:val="00C70543"/>
    <w:rsid w:val="00C73840"/>
    <w:rsid w:val="00C80187"/>
    <w:rsid w:val="00C81C6E"/>
    <w:rsid w:val="00C85CCC"/>
    <w:rsid w:val="00CA1E85"/>
    <w:rsid w:val="00CD14BA"/>
    <w:rsid w:val="00CD3F92"/>
    <w:rsid w:val="00CD70CB"/>
    <w:rsid w:val="00CE47C0"/>
    <w:rsid w:val="00CE4D3C"/>
    <w:rsid w:val="00CE622C"/>
    <w:rsid w:val="00D10E35"/>
    <w:rsid w:val="00D275C8"/>
    <w:rsid w:val="00D3206B"/>
    <w:rsid w:val="00D35F0B"/>
    <w:rsid w:val="00D366CD"/>
    <w:rsid w:val="00D41B69"/>
    <w:rsid w:val="00D54C56"/>
    <w:rsid w:val="00D61851"/>
    <w:rsid w:val="00D67023"/>
    <w:rsid w:val="00D70031"/>
    <w:rsid w:val="00D81005"/>
    <w:rsid w:val="00D813CB"/>
    <w:rsid w:val="00D82028"/>
    <w:rsid w:val="00D82442"/>
    <w:rsid w:val="00D826D8"/>
    <w:rsid w:val="00D878BC"/>
    <w:rsid w:val="00D91495"/>
    <w:rsid w:val="00D914B2"/>
    <w:rsid w:val="00D95E1E"/>
    <w:rsid w:val="00DA34CE"/>
    <w:rsid w:val="00DA64A4"/>
    <w:rsid w:val="00DB2A15"/>
    <w:rsid w:val="00DD3267"/>
    <w:rsid w:val="00DD55A4"/>
    <w:rsid w:val="00DE1E92"/>
    <w:rsid w:val="00DE4BF0"/>
    <w:rsid w:val="00DF03E0"/>
    <w:rsid w:val="00DF0867"/>
    <w:rsid w:val="00DF4F09"/>
    <w:rsid w:val="00E0018C"/>
    <w:rsid w:val="00E00CCC"/>
    <w:rsid w:val="00E11F7A"/>
    <w:rsid w:val="00E135EA"/>
    <w:rsid w:val="00E149A9"/>
    <w:rsid w:val="00E178F2"/>
    <w:rsid w:val="00E23053"/>
    <w:rsid w:val="00E2537A"/>
    <w:rsid w:val="00E2537B"/>
    <w:rsid w:val="00E3509E"/>
    <w:rsid w:val="00E41A2A"/>
    <w:rsid w:val="00E61EFE"/>
    <w:rsid w:val="00E71FA7"/>
    <w:rsid w:val="00E72A06"/>
    <w:rsid w:val="00EA0D73"/>
    <w:rsid w:val="00EA41D6"/>
    <w:rsid w:val="00EB6701"/>
    <w:rsid w:val="00EB7242"/>
    <w:rsid w:val="00EF3F12"/>
    <w:rsid w:val="00F20479"/>
    <w:rsid w:val="00F20E78"/>
    <w:rsid w:val="00F24B75"/>
    <w:rsid w:val="00F30F2B"/>
    <w:rsid w:val="00F40462"/>
    <w:rsid w:val="00F5411C"/>
    <w:rsid w:val="00F55C85"/>
    <w:rsid w:val="00F770F2"/>
    <w:rsid w:val="00F96E70"/>
    <w:rsid w:val="00F97ACF"/>
    <w:rsid w:val="00F97C0C"/>
    <w:rsid w:val="00FA2314"/>
    <w:rsid w:val="00FB2A8A"/>
    <w:rsid w:val="00FB6DE5"/>
    <w:rsid w:val="00FB7D78"/>
    <w:rsid w:val="00FC7092"/>
    <w:rsid w:val="00FC74BF"/>
    <w:rsid w:val="00FD4D65"/>
    <w:rsid w:val="00FE70C4"/>
    <w:rsid w:val="00FF3C3B"/>
    <w:rsid w:val="134357CC"/>
    <w:rsid w:val="19B264A2"/>
    <w:rsid w:val="32EE16AC"/>
    <w:rsid w:val="33284845"/>
    <w:rsid w:val="3FE21E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rPr>
      <w:rFonts w:ascii="宋体" w:hAnsi="Courier New" w:cs="Courier New"/>
      <w:szCs w:val="21"/>
    </w:rPr>
  </w:style>
  <w:style w:type="paragraph" w:styleId="3">
    <w:name w:val="Balloon Text"/>
    <w:basedOn w:val="1"/>
    <w:link w:val="11"/>
    <w:semiHidden/>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Balloon Text Char"/>
    <w:basedOn w:val="7"/>
    <w:link w:val="3"/>
    <w:semiHidden/>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Plain Text Char"/>
    <w:basedOn w:val="7"/>
    <w:link w:val="2"/>
    <w:semiHidden/>
    <w:qFormat/>
    <w:locked/>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wzcs</Company>
  <Pages>24</Pages>
  <Words>11624</Words>
  <Characters>17012</Characters>
  <Lines>0</Lines>
  <Paragraphs>0</Paragraphs>
  <TotalTime>2245</TotalTime>
  <ScaleCrop>false</ScaleCrop>
  <LinksUpToDate>false</LinksUpToDate>
  <CharactersWithSpaces>17582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2017-09-05T01:57:00Z</dcterms:created>
  <dc:creator>张静</dc:creator>
  <cp:lastModifiedBy>轩</cp:lastModifiedBy>
  <cp:lastPrinted>2017-09-08T04:03:00Z</cp:lastPrinted>
  <dcterms:modified xsi:type="dcterms:W3CDTF">2023-10-10T06:56:59Z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0FC79345C51D485984686C380815D32E</vt:lpwstr>
  </property>
</Properties>
</file>