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0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2017年度政府信息公开工作年度报告</w:t>
      </w:r>
    </w:p>
    <w:p>
      <w:pPr>
        <w:spacing w:line="700" w:lineRule="exact"/>
        <w:rPr>
          <w:rFonts w:ascii="方正小标宋简体" w:hAnsi="宋体" w:eastAsia="方正小标宋简体"/>
          <w:sz w:val="44"/>
          <w:szCs w:val="44"/>
        </w:rPr>
      </w:pPr>
    </w:p>
    <w:p>
      <w:pPr>
        <w:pStyle w:val="4"/>
        <w:widowControl w:val="0"/>
        <w:spacing w:before="0" w:beforeAutospacing="0" w:after="0" w:afterAutospacing="0" w:line="576" w:lineRule="exact"/>
        <w:ind w:firstLine="632" w:firstLineChars="200"/>
        <w:rPr>
          <w:rFonts w:hint="eastAsia" w:ascii="仿宋_GB2312" w:hAnsi="ˎ̥" w:eastAsia="仿宋_GB2312"/>
          <w:sz w:val="32"/>
          <w:szCs w:val="32"/>
        </w:rPr>
      </w:pPr>
      <w:r>
        <w:rPr>
          <w:rFonts w:hint="eastAsia" w:ascii="仿宋_GB2312" w:hAnsi="ˎ̥" w:eastAsia="仿宋_GB2312"/>
          <w:sz w:val="32"/>
          <w:szCs w:val="32"/>
        </w:rPr>
        <w:t>本年度报告根据《中华人民共和国政府信息公开条例》（以下简称《条例》）的规定，由温州市瓯海区政务公开领导小组办公室编制而成。全文包括工作概况、主动公开政府信息情况、依申请公开政府信息情况、收费及减免情况、政府信息公开类复议和诉讼情况、存在的主要问题和2018年工作思路等部分组成，并附相关统计图表等，报告中所列数据的统计期限从2017年1月1日到12月31日止。报告的电子版可在瓯海区政府信息公开栏目下载（http://xxgk.ouhai.gov.cn/）。如对报告内容有疑问，请与温州市瓯海区政务公开领导小组办公室联系（电话：0577-88539697）。</w:t>
      </w:r>
    </w:p>
    <w:p>
      <w:pPr>
        <w:pStyle w:val="4"/>
        <w:widowControl w:val="0"/>
        <w:spacing w:before="0" w:beforeAutospacing="0" w:after="0" w:afterAutospacing="0" w:line="576" w:lineRule="exact"/>
        <w:ind w:left="634"/>
        <w:rPr>
          <w:rFonts w:hint="eastAsia" w:ascii="黑体" w:hAnsi="ˎ̥" w:eastAsia="黑体"/>
          <w:sz w:val="32"/>
          <w:szCs w:val="32"/>
        </w:rPr>
      </w:pPr>
      <w:r>
        <w:rPr>
          <w:rFonts w:hint="eastAsia" w:ascii="黑体" w:hAnsi="ˎ̥" w:eastAsia="黑体"/>
          <w:sz w:val="32"/>
          <w:szCs w:val="32"/>
        </w:rPr>
        <w:t>一、工作概况</w:t>
      </w:r>
    </w:p>
    <w:p>
      <w:pPr>
        <w:pStyle w:val="4"/>
        <w:widowControl w:val="0"/>
        <w:spacing w:before="0" w:beforeAutospacing="0" w:after="0" w:afterAutospacing="0" w:line="576" w:lineRule="exact"/>
        <w:ind w:firstLine="632" w:firstLineChars="200"/>
        <w:rPr>
          <w:rFonts w:hint="eastAsia" w:ascii="仿宋_GB2312" w:hAnsi="ˎ̥" w:eastAsia="仿宋_GB2312"/>
          <w:sz w:val="32"/>
          <w:szCs w:val="32"/>
        </w:rPr>
      </w:pPr>
      <w:r>
        <w:rPr>
          <w:rFonts w:hint="eastAsia" w:ascii="仿宋_GB2312" w:hAnsi="ˎ̥" w:eastAsia="仿宋_GB2312"/>
          <w:sz w:val="32"/>
          <w:szCs w:val="32"/>
        </w:rPr>
        <w:t>2017年，我区政府紧紧围绕党和政府中心工作以及公众关切，贯彻落实《国务院办公厅关于印发2017年政务公开工作要点的通知》（国办发〔2017〕24号）、《浙江省人民政府办公厅关于印发2017年浙江省政务公开工作</w:t>
      </w:r>
      <w:bookmarkStart w:id="0" w:name="_GoBack"/>
      <w:bookmarkEnd w:id="0"/>
      <w:r>
        <w:rPr>
          <w:rFonts w:hint="eastAsia" w:ascii="仿宋_GB2312" w:hAnsi="ˎ̥" w:eastAsia="仿宋_GB2312"/>
          <w:sz w:val="32"/>
          <w:szCs w:val="32"/>
        </w:rPr>
        <w:t>要点的通知》（浙政办发〔2017〕36号）等有关文件要求，进一步推进重点领域信息公开，</w:t>
      </w:r>
      <w:r>
        <w:rPr>
          <w:rFonts w:ascii="仿宋_GB2312" w:hAnsi="ˎ̥" w:eastAsia="仿宋_GB2312"/>
          <w:bCs/>
          <w:sz w:val="32"/>
          <w:szCs w:val="32"/>
        </w:rPr>
        <w:t>全面加强主动公开工作</w:t>
      </w:r>
      <w:r>
        <w:rPr>
          <w:rFonts w:hint="eastAsia" w:ascii="仿宋_GB2312" w:hAnsi="ˎ̥" w:eastAsia="仿宋_GB2312"/>
          <w:bCs/>
          <w:sz w:val="32"/>
          <w:szCs w:val="32"/>
        </w:rPr>
        <w:t>，</w:t>
      </w:r>
      <w:r>
        <w:rPr>
          <w:rFonts w:ascii="仿宋_GB2312" w:hAnsi="ˎ̥" w:eastAsia="仿宋_GB2312"/>
          <w:bCs/>
          <w:sz w:val="32"/>
          <w:szCs w:val="32"/>
        </w:rPr>
        <w:t>强化依申请公开管理和服务</w:t>
      </w:r>
      <w:r>
        <w:rPr>
          <w:rFonts w:hint="eastAsia" w:ascii="仿宋_GB2312" w:hAnsi="ˎ̥" w:eastAsia="仿宋_GB2312"/>
          <w:bCs/>
          <w:sz w:val="32"/>
          <w:szCs w:val="32"/>
        </w:rPr>
        <w:t>，</w:t>
      </w:r>
      <w:r>
        <w:rPr>
          <w:rFonts w:ascii="仿宋_GB2312" w:hAnsi="ˎ̥" w:eastAsia="仿宋_GB2312"/>
          <w:bCs/>
          <w:sz w:val="32"/>
          <w:szCs w:val="32"/>
        </w:rPr>
        <w:t>建立健全制度机制</w:t>
      </w:r>
      <w:r>
        <w:rPr>
          <w:rFonts w:hint="eastAsia" w:ascii="仿宋_GB2312" w:hAnsi="ˎ̥" w:eastAsia="仿宋_GB2312"/>
          <w:bCs/>
          <w:sz w:val="32"/>
          <w:szCs w:val="32"/>
        </w:rPr>
        <w:t>，</w:t>
      </w:r>
      <w:r>
        <w:rPr>
          <w:rFonts w:hint="eastAsia" w:ascii="仿宋_GB2312" w:hAnsi="ˎ̥" w:eastAsia="仿宋_GB2312"/>
          <w:sz w:val="32"/>
          <w:szCs w:val="32"/>
        </w:rPr>
        <w:t>提升政府公信力，保障群众的知情权和监督权，进一步促进法治政府建设。同时，我区依据《国务院办公厅关于印发开展基层政务公开标准化规范化试点工作方案的通知》（国办发〔2017〕42号）精神，在九大领域开展基层政务公开标准化规范化试点工作。2017年总体工作情况总结如下：</w:t>
      </w:r>
    </w:p>
    <w:p>
      <w:pPr>
        <w:numPr>
          <w:ilvl w:val="0"/>
          <w:numId w:val="1"/>
        </w:numPr>
        <w:spacing w:line="576" w:lineRule="exact"/>
        <w:ind w:firstLine="632" w:firstLineChars="200"/>
        <w:rPr>
          <w:rFonts w:ascii="仿宋_GB2312" w:eastAsia="仿宋_GB2312"/>
        </w:rPr>
      </w:pPr>
      <w:r>
        <w:rPr>
          <w:rFonts w:hint="eastAsia" w:ascii="楷体_GB2312" w:eastAsia="楷体_GB2312"/>
        </w:rPr>
        <w:t>以试点为契机，推进政务公开标准化规范化建设。</w:t>
      </w:r>
      <w:r>
        <w:rPr>
          <w:rFonts w:hint="eastAsia" w:ascii="仿宋_GB2312" w:eastAsia="仿宋_GB2312"/>
        </w:rPr>
        <w:t>2017年5月，我区被确定为全国</w:t>
      </w:r>
      <w:r>
        <w:rPr>
          <w:rFonts w:ascii="仿宋_GB2312" w:eastAsia="仿宋_GB2312"/>
        </w:rPr>
        <w:t>100</w:t>
      </w:r>
      <w:r>
        <w:rPr>
          <w:rFonts w:hint="eastAsia" w:ascii="仿宋_GB2312" w:eastAsia="仿宋_GB2312"/>
        </w:rPr>
        <w:t>个基层政务公开标准化规范化工作试点县</w:t>
      </w:r>
      <w:r>
        <w:rPr>
          <w:rFonts w:hint="eastAsia" w:ascii="仿宋_GB2312" w:eastAsia="仿宋_GB2312" w:cs="仿宋_GB2312"/>
        </w:rPr>
        <w:t>（市、区）之一，</w:t>
      </w:r>
      <w:r>
        <w:rPr>
          <w:rFonts w:hint="eastAsia" w:ascii="仿宋_GB2312" w:eastAsia="仿宋_GB2312"/>
        </w:rPr>
        <w:t>承担征地补偿、拆迁安置、保障性住房、农村危房改造、扶贫救灾、市政服务、公共资源交易、义务教育等八大领域改革试点，试点为期一年。我区结合民生实事项目人大代表票决制工作，将“民生实事项目”政务公开一并列入试点范围。截至2017年12月，已完成九大试点领域425个事项549条政府信息梳理，完成标准初稿编制，进入审核发布阶段，12月1日率先发布全国首个“民生实事项目”政务公开标准。2018年1月11日，我区作为全国仅5个县级单位、全省唯一一家受邀参会的基层政务公开标准化规范化试点县，在全国基层政务公开标准化规范化试点工作推进会上作典型发言。</w:t>
      </w:r>
    </w:p>
    <w:p>
      <w:pPr>
        <w:jc w:val="center"/>
        <w:rPr>
          <w:rFonts w:ascii="仿宋_GB2312" w:eastAsia="仿宋_GB2312"/>
        </w:rPr>
      </w:pPr>
      <w:r>
        <w:rPr>
          <w:rFonts w:ascii="仿宋_GB2312" w:eastAsia="仿宋_GB2312"/>
        </w:rPr>
        <w:drawing>
          <wp:inline distT="0" distB="0" distL="0" distR="0">
            <wp:extent cx="5615940" cy="3738245"/>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5940" cy="3738245"/>
                    </a:xfrm>
                    <a:prstGeom prst="rect">
                      <a:avLst/>
                    </a:prstGeom>
                  </pic:spPr>
                </pic:pic>
              </a:graphicData>
            </a:graphic>
          </wp:inline>
        </w:drawing>
      </w:r>
    </w:p>
    <w:p>
      <w:pPr>
        <w:jc w:val="center"/>
        <w:rPr>
          <w:rFonts w:ascii="仿宋_GB2312" w:eastAsia="仿宋_GB2312"/>
          <w:sz w:val="24"/>
        </w:rPr>
      </w:pPr>
      <w:r>
        <w:rPr>
          <w:rFonts w:hint="eastAsia" w:ascii="仿宋_GB2312" w:eastAsia="仿宋_GB2312"/>
          <w:sz w:val="24"/>
        </w:rPr>
        <w:t>2018年1月瓯海区在全国基层政务公开标准化规范化试点工作推进会上做典型发言</w:t>
      </w:r>
    </w:p>
    <w:p>
      <w:pPr>
        <w:spacing w:line="580" w:lineRule="exact"/>
        <w:ind w:firstLine="640"/>
        <w:rPr>
          <w:rFonts w:ascii="仿宋_GB2312" w:eastAsia="仿宋_GB2312"/>
        </w:rPr>
      </w:pPr>
      <w:r>
        <w:rPr>
          <w:rFonts w:hint="eastAsia" w:ascii="楷体_GB2312" w:eastAsia="楷体_GB2312"/>
        </w:rPr>
        <w:t>（二）</w:t>
      </w:r>
      <w:r>
        <w:rPr>
          <w:rStyle w:val="13"/>
          <w:rFonts w:hint="eastAsia"/>
        </w:rPr>
        <w:t>强化组织领导，夯实政务公开基础。</w:t>
      </w:r>
      <w:r>
        <w:rPr>
          <w:rFonts w:hint="eastAsia" w:ascii="仿宋_GB2312" w:eastAsia="仿宋_GB2312"/>
        </w:rPr>
        <w:t>区政府成立政务公开领导小组，由区长担任组长，常务副区长和分管副区长担任副组长。全区确立</w:t>
      </w:r>
      <w:r>
        <w:rPr>
          <w:rFonts w:ascii="仿宋_GB2312" w:eastAsia="仿宋_GB2312"/>
        </w:rPr>
        <w:t>63</w:t>
      </w:r>
      <w:r>
        <w:rPr>
          <w:rFonts w:hint="eastAsia" w:ascii="仿宋_GB2312" w:eastAsia="仿宋_GB2312"/>
        </w:rPr>
        <w:t>个政府信息公开责任单位（包括政府组成部门、直属部门和各镇街），每个单位均明确分管领导、主动公开负责人和依申请公开负责人。制定《2017年度政务公开工作考核办法》，将政务公开的基础性工作、主动公开和重点领域公开工作、依申请公开、平台建设、政策解读和回应社会关切等六方面纳入考绩范围。每季度开展一次考核、抽查、通报，全区各单位召开政府信息公开工作会议或专题会议数119次，举办各类政务公开培训班54次，接受培训人数达2330人次。</w:t>
      </w:r>
    </w:p>
    <w:p>
      <w:pPr>
        <w:pStyle w:val="12"/>
        <w:spacing w:line="580" w:lineRule="exact"/>
        <w:ind w:firstLine="632"/>
        <w:rPr>
          <w:rFonts w:ascii="仿宋_GB2312" w:eastAsia="仿宋_GB2312" w:cs="仿宋_GB2312"/>
        </w:rPr>
      </w:pPr>
      <w:r>
        <w:rPr>
          <w:rStyle w:val="13"/>
          <w:rFonts w:hint="eastAsia"/>
        </w:rPr>
        <w:t>（三）抓基础强平台，完善政务公开方式。</w:t>
      </w:r>
      <w:r>
        <w:rPr>
          <w:rFonts w:hint="eastAsia" w:ascii="仿宋_GB2312" w:eastAsia="仿宋_GB2312" w:cs="仿宋_GB2312"/>
        </w:rPr>
        <w:t>借着“互联网</w:t>
      </w:r>
      <w:r>
        <w:rPr>
          <w:rFonts w:ascii="仿宋_GB2312" w:eastAsia="仿宋_GB2312" w:cs="仿宋_GB2312"/>
        </w:rPr>
        <w:t>+</w:t>
      </w:r>
      <w:r>
        <w:rPr>
          <w:rFonts w:hint="eastAsia" w:ascii="仿宋_GB2312" w:eastAsia="仿宋_GB2312" w:cs="仿宋_GB2312"/>
        </w:rPr>
        <w:t>政务服务”工作基础扎实的优势，重点打造“一网、一号、多点”的政务公开平台格局。其中“一网”是指政府门户网站“中国·瓯海”，“一号”是指“瓯海发布”微信公众号，“多点”是指在区行政审批中心、图书馆、档案馆及各镇街、社区公共服务场所建立多个政府信息公开查阅点。全年依托“中国·瓯海”</w:t>
      </w:r>
      <w:r>
        <w:rPr>
          <w:rFonts w:hint="eastAsia" w:ascii="仿宋_GB2312" w:eastAsia="仿宋_GB2312" w:cs="仿宋_GB2312"/>
          <w:lang w:eastAsia="zh-CN"/>
        </w:rPr>
        <w:t>等政府</w:t>
      </w:r>
      <w:r>
        <w:rPr>
          <w:rFonts w:hint="eastAsia" w:ascii="仿宋_GB2312" w:eastAsia="仿宋_GB2312" w:cs="仿宋_GB2312"/>
        </w:rPr>
        <w:t>网站发布信息3.3万条，</w:t>
      </w:r>
      <w:r>
        <w:rPr>
          <w:rFonts w:hint="eastAsia" w:ascii="仿宋_GB2312" w:eastAsia="仿宋_GB2312" w:cs="仿宋_GB2312"/>
          <w:color w:val="auto"/>
        </w:rPr>
        <w:t>“瓯海发布”微信公众号发布信息1000多条，日点击率达</w:t>
      </w:r>
      <w:r>
        <w:rPr>
          <w:rFonts w:ascii="仿宋_GB2312" w:eastAsia="仿宋_GB2312" w:cs="仿宋_GB2312"/>
          <w:color w:val="auto"/>
        </w:rPr>
        <w:t>1</w:t>
      </w:r>
      <w:r>
        <w:rPr>
          <w:rFonts w:hint="eastAsia" w:ascii="仿宋_GB2312" w:eastAsia="仿宋_GB2312" w:cs="仿宋_GB2312"/>
          <w:color w:val="auto"/>
        </w:rPr>
        <w:t>多万次。</w:t>
      </w:r>
      <w:r>
        <w:rPr>
          <w:rFonts w:hint="eastAsia" w:ascii="仿宋_GB2312" w:eastAsia="仿宋_GB2312" w:cs="仿宋_GB2312"/>
        </w:rPr>
        <w:t>同时，结合全国基层政务公开标准化规范化试点工作，创新公开方式，率先编发全省第一份区县级政府公报共公布政府信息42条，启动一站式网上虚拟政府建设，完成市民参政智囊团、政府开放日等制度建设，启动17个政府信息公开查阅点规范化建设，首次邀请公众列席政府会议，进一步打通政务公开“最后一公里”。</w:t>
      </w:r>
    </w:p>
    <w:p>
      <w:pPr>
        <w:pStyle w:val="12"/>
        <w:ind w:firstLine="0" w:firstLineChars="0"/>
        <w:jc w:val="center"/>
        <w:rPr>
          <w:rFonts w:ascii="仿宋_GB2312" w:eastAsia="仿宋_GB2312" w:cs="仿宋_GB2312"/>
        </w:rPr>
      </w:pPr>
      <w:r>
        <w:rPr>
          <w:rFonts w:hint="eastAsia" w:ascii="仿宋_GB2312" w:eastAsia="仿宋_GB2312" w:cs="仿宋_GB2312"/>
        </w:rPr>
        <w:drawing>
          <wp:inline distT="0" distB="0" distL="114300" distR="114300">
            <wp:extent cx="4877435" cy="3309620"/>
            <wp:effectExtent l="0" t="0" r="18415" b="5080"/>
            <wp:docPr id="3" name="图片 3" descr="中国瓯海门户网站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中国瓯海门户网站首页"/>
                    <pic:cNvPicPr>
                      <a:picLocks noChangeAspect="1"/>
                    </pic:cNvPicPr>
                  </pic:nvPicPr>
                  <pic:blipFill>
                    <a:blip r:embed="rId7"/>
                    <a:stretch>
                      <a:fillRect/>
                    </a:stretch>
                  </pic:blipFill>
                  <pic:spPr>
                    <a:xfrm>
                      <a:off x="0" y="0"/>
                      <a:ext cx="4877435" cy="3309620"/>
                    </a:xfrm>
                    <a:prstGeom prst="rect">
                      <a:avLst/>
                    </a:prstGeom>
                  </pic:spPr>
                </pic:pic>
              </a:graphicData>
            </a:graphic>
          </wp:inline>
        </w:drawing>
      </w:r>
    </w:p>
    <w:p>
      <w:pPr>
        <w:pStyle w:val="12"/>
        <w:ind w:firstLine="0" w:firstLineChars="0"/>
        <w:jc w:val="center"/>
        <w:rPr>
          <w:rFonts w:ascii="仿宋_GB2312" w:eastAsia="仿宋_GB2312" w:cs="仿宋_GB2312"/>
          <w:sz w:val="24"/>
          <w:szCs w:val="24"/>
        </w:rPr>
      </w:pPr>
      <w:r>
        <w:rPr>
          <w:rFonts w:hint="eastAsia" w:ascii="仿宋_GB2312" w:eastAsia="仿宋_GB2312" w:cs="仿宋_GB2312"/>
          <w:sz w:val="24"/>
          <w:szCs w:val="24"/>
        </w:rPr>
        <w:t>“中国·瓯海”门户网站首页</w:t>
      </w:r>
    </w:p>
    <w:p>
      <w:pPr>
        <w:pStyle w:val="12"/>
        <w:ind w:firstLine="0" w:firstLineChars="0"/>
        <w:jc w:val="center"/>
        <w:rPr>
          <w:rFonts w:ascii="仿宋_GB2312" w:eastAsia="仿宋_GB2312" w:cs="仿宋_GB2312"/>
          <w:sz w:val="24"/>
          <w:szCs w:val="24"/>
        </w:rPr>
      </w:pPr>
      <w:r>
        <w:rPr>
          <w:rFonts w:hint="eastAsia" w:ascii="仿宋_GB2312" w:eastAsia="仿宋_GB2312" w:cs="仿宋_GB2312"/>
          <w:sz w:val="24"/>
          <w:szCs w:val="24"/>
        </w:rPr>
        <w:drawing>
          <wp:inline distT="0" distB="0" distL="114300" distR="114300">
            <wp:extent cx="4635500" cy="3354705"/>
            <wp:effectExtent l="0" t="0" r="12700" b="17145"/>
            <wp:docPr id="5" name="图片 5" descr="信息公开网站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信息公开网站截图"/>
                    <pic:cNvPicPr>
                      <a:picLocks noChangeAspect="1"/>
                    </pic:cNvPicPr>
                  </pic:nvPicPr>
                  <pic:blipFill>
                    <a:blip r:embed="rId8"/>
                    <a:stretch>
                      <a:fillRect/>
                    </a:stretch>
                  </pic:blipFill>
                  <pic:spPr>
                    <a:xfrm>
                      <a:off x="0" y="0"/>
                      <a:ext cx="4635500" cy="3354705"/>
                    </a:xfrm>
                    <a:prstGeom prst="rect">
                      <a:avLst/>
                    </a:prstGeom>
                  </pic:spPr>
                </pic:pic>
              </a:graphicData>
            </a:graphic>
          </wp:inline>
        </w:drawing>
      </w:r>
    </w:p>
    <w:p>
      <w:pPr>
        <w:pStyle w:val="12"/>
        <w:ind w:firstLine="0" w:firstLineChars="0"/>
        <w:jc w:val="center"/>
        <w:rPr>
          <w:rFonts w:ascii="仿宋_GB2312" w:eastAsia="仿宋_GB2312" w:cs="仿宋_GB2312"/>
          <w:sz w:val="24"/>
          <w:szCs w:val="24"/>
        </w:rPr>
      </w:pPr>
      <w:r>
        <w:rPr>
          <w:rFonts w:hint="eastAsia" w:ascii="仿宋_GB2312" w:eastAsia="仿宋_GB2312" w:cs="仿宋_GB2312"/>
          <w:sz w:val="24"/>
          <w:szCs w:val="24"/>
        </w:rPr>
        <w:t>“瓯海区政府信息公开”栏目页面</w:t>
      </w:r>
    </w:p>
    <w:p>
      <w:pPr>
        <w:pStyle w:val="12"/>
        <w:ind w:firstLine="0" w:firstLineChars="0"/>
        <w:jc w:val="center"/>
        <w:rPr>
          <w:rFonts w:ascii="仿宋_GB2312" w:eastAsia="仿宋_GB2312" w:cs="仿宋_GB2312"/>
          <w:sz w:val="24"/>
          <w:szCs w:val="24"/>
        </w:rPr>
      </w:pPr>
    </w:p>
    <w:p>
      <w:pPr>
        <w:pStyle w:val="12"/>
        <w:ind w:firstLine="0" w:firstLineChars="0"/>
        <w:jc w:val="center"/>
        <w:rPr>
          <w:rFonts w:ascii="仿宋_GB2312" w:eastAsia="仿宋_GB2312" w:cs="仿宋_GB2312"/>
          <w:sz w:val="24"/>
          <w:szCs w:val="24"/>
        </w:rPr>
      </w:pPr>
      <w:r>
        <w:rPr>
          <w:rFonts w:hint="eastAsia" w:ascii="仿宋_GB2312" w:eastAsia="仿宋_GB2312" w:cs="仿宋_GB2312"/>
          <w:sz w:val="24"/>
          <w:szCs w:val="24"/>
        </w:rPr>
        <w:drawing>
          <wp:inline distT="0" distB="0" distL="114300" distR="114300">
            <wp:extent cx="2394585" cy="4257040"/>
            <wp:effectExtent l="0" t="0" r="5715" b="10160"/>
            <wp:docPr id="4" name="图片 4" descr="微信图片_2018011511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80115111947"/>
                    <pic:cNvPicPr>
                      <a:picLocks noChangeAspect="1"/>
                    </pic:cNvPicPr>
                  </pic:nvPicPr>
                  <pic:blipFill>
                    <a:blip r:embed="rId9"/>
                    <a:stretch>
                      <a:fillRect/>
                    </a:stretch>
                  </pic:blipFill>
                  <pic:spPr>
                    <a:xfrm>
                      <a:off x="0" y="0"/>
                      <a:ext cx="2394585" cy="4257040"/>
                    </a:xfrm>
                    <a:prstGeom prst="rect">
                      <a:avLst/>
                    </a:prstGeom>
                  </pic:spPr>
                </pic:pic>
              </a:graphicData>
            </a:graphic>
          </wp:inline>
        </w:drawing>
      </w:r>
    </w:p>
    <w:p>
      <w:pPr>
        <w:pStyle w:val="12"/>
        <w:ind w:firstLine="0" w:firstLineChars="0"/>
        <w:jc w:val="center"/>
        <w:rPr>
          <w:rFonts w:ascii="仿宋_GB2312" w:eastAsia="仿宋_GB2312" w:cs="仿宋_GB2312"/>
          <w:sz w:val="24"/>
          <w:szCs w:val="24"/>
        </w:rPr>
      </w:pPr>
      <w:r>
        <w:rPr>
          <w:rFonts w:hint="eastAsia" w:ascii="仿宋_GB2312" w:eastAsia="仿宋_GB2312" w:cs="仿宋_GB2312"/>
          <w:sz w:val="24"/>
          <w:szCs w:val="24"/>
        </w:rPr>
        <w:t>“瓯海发布”微信截图</w:t>
      </w:r>
    </w:p>
    <w:p>
      <w:pPr>
        <w:pStyle w:val="12"/>
        <w:ind w:firstLine="0" w:firstLineChars="0"/>
        <w:jc w:val="center"/>
        <w:rPr>
          <w:rFonts w:ascii="仿宋_GB2312" w:eastAsia="仿宋_GB2312" w:cs="仿宋_GB2312"/>
          <w:sz w:val="24"/>
          <w:szCs w:val="24"/>
        </w:rPr>
      </w:pPr>
    </w:p>
    <w:p>
      <w:pPr>
        <w:pStyle w:val="4"/>
        <w:widowControl w:val="0"/>
        <w:spacing w:before="0" w:beforeAutospacing="0" w:after="0" w:afterAutospacing="0" w:line="576" w:lineRule="exact"/>
        <w:ind w:left="634"/>
        <w:rPr>
          <w:rFonts w:hint="eastAsia" w:ascii="黑体" w:hAnsi="ˎ̥" w:eastAsia="黑体"/>
          <w:sz w:val="32"/>
          <w:szCs w:val="32"/>
        </w:rPr>
      </w:pPr>
      <w:r>
        <w:rPr>
          <w:rFonts w:hint="eastAsia" w:ascii="黑体" w:hAnsi="ˎ̥" w:eastAsia="黑体"/>
          <w:sz w:val="32"/>
          <w:szCs w:val="32"/>
        </w:rPr>
        <w:t>二、主动公开政府信息情况</w:t>
      </w:r>
    </w:p>
    <w:p>
      <w:pPr>
        <w:spacing w:line="576" w:lineRule="exact"/>
        <w:ind w:firstLine="632" w:firstLineChars="200"/>
        <w:rPr>
          <w:rFonts w:ascii="仿宋_GB2312" w:hAnsi="仿宋" w:eastAsia="仿宋_GB2312"/>
          <w:szCs w:val="32"/>
        </w:rPr>
      </w:pPr>
      <w:r>
        <w:rPr>
          <w:rFonts w:hint="eastAsia" w:ascii="仿宋_GB2312" w:eastAsia="仿宋_GB2312"/>
          <w:szCs w:val="32"/>
        </w:rPr>
        <w:t>2017年，全区63个政府信息公开责任单位通过</w:t>
      </w:r>
      <w:r>
        <w:rPr>
          <w:rFonts w:hint="eastAsia" w:ascii="仿宋_GB2312" w:eastAsia="仿宋_GB2312"/>
          <w:szCs w:val="32"/>
          <w:lang w:eastAsia="zh-CN"/>
        </w:rPr>
        <w:t>不同渠道和方式主动公开政府信息</w:t>
      </w:r>
      <w:r>
        <w:rPr>
          <w:rFonts w:hint="eastAsia" w:ascii="仿宋_GB2312" w:eastAsia="仿宋_GB2312"/>
          <w:szCs w:val="32"/>
          <w:lang w:val="en-US" w:eastAsia="zh-CN"/>
        </w:rPr>
        <w:t>3.7万多条。其中，发布</w:t>
      </w:r>
      <w:r>
        <w:rPr>
          <w:rFonts w:hint="eastAsia" w:ascii="仿宋_GB2312" w:eastAsia="仿宋_GB2312"/>
          <w:szCs w:val="32"/>
        </w:rPr>
        <w:t>重点领域政府信息3298条，包括财政预决算和“三公”经费、环境保护、政府采购、义务教育、市场监管、社会救助等；</w:t>
      </w:r>
      <w:r>
        <w:rPr>
          <w:rFonts w:hint="eastAsia" w:ascii="仿宋_GB2312" w:hAnsi="仿宋" w:eastAsia="仿宋_GB2312"/>
          <w:szCs w:val="32"/>
        </w:rPr>
        <w:t>依托“中国瓯海”门户网站发布各类政务动态信息有16696条，干部任免信息1</w:t>
      </w:r>
      <w:r>
        <w:rPr>
          <w:rFonts w:ascii="仿宋_GB2312" w:hAnsi="仿宋" w:eastAsia="仿宋_GB2312"/>
          <w:szCs w:val="32"/>
        </w:rPr>
        <w:t>3</w:t>
      </w:r>
      <w:r>
        <w:rPr>
          <w:rFonts w:hint="eastAsia" w:ascii="仿宋_GB2312" w:hAnsi="仿宋" w:eastAsia="仿宋_GB2312"/>
          <w:szCs w:val="32"/>
          <w:lang w:val="en-US" w:eastAsia="zh-CN"/>
        </w:rPr>
        <w:t>2</w:t>
      </w:r>
      <w:r>
        <w:rPr>
          <w:rFonts w:hint="eastAsia" w:ascii="仿宋_GB2312" w:hAnsi="仿宋" w:eastAsia="仿宋_GB2312"/>
          <w:szCs w:val="32"/>
        </w:rPr>
        <w:t>条，</w:t>
      </w:r>
      <w:r>
        <w:rPr>
          <w:rFonts w:hint="eastAsia" w:ascii="仿宋_GB2312" w:hAnsi="仿宋" w:eastAsia="仿宋_GB2312"/>
          <w:color w:val="auto"/>
          <w:szCs w:val="32"/>
        </w:rPr>
        <w:t>招考录用信息有2</w:t>
      </w:r>
      <w:r>
        <w:rPr>
          <w:rFonts w:hint="eastAsia" w:ascii="仿宋_GB2312" w:hAnsi="仿宋" w:eastAsia="仿宋_GB2312"/>
          <w:color w:val="auto"/>
          <w:szCs w:val="32"/>
          <w:lang w:val="en-US" w:eastAsia="zh-CN"/>
        </w:rPr>
        <w:t>0</w:t>
      </w:r>
      <w:r>
        <w:rPr>
          <w:rFonts w:hint="eastAsia" w:ascii="仿宋_GB2312" w:hAnsi="仿宋" w:eastAsia="仿宋_GB2312"/>
          <w:color w:val="auto"/>
          <w:szCs w:val="32"/>
        </w:rPr>
        <w:t>条，主动公开各类招投标信息有1283条；依托政务服务网公开13个镇街服务事项</w:t>
      </w:r>
      <w:r>
        <w:rPr>
          <w:rFonts w:hint="eastAsia" w:ascii="仿宋_GB2312" w:hAnsi="仿宋" w:eastAsia="仿宋_GB2312"/>
          <w:color w:val="auto"/>
          <w:szCs w:val="32"/>
          <w:lang w:val="en-US" w:eastAsia="zh-CN"/>
        </w:rPr>
        <w:t>2001</w:t>
      </w:r>
      <w:r>
        <w:rPr>
          <w:rFonts w:hint="eastAsia" w:ascii="仿宋_GB2312" w:hAnsi="仿宋" w:eastAsia="仿宋_GB2312"/>
          <w:color w:val="auto"/>
          <w:szCs w:val="32"/>
        </w:rPr>
        <w:t>项，社区服务事项</w:t>
      </w:r>
      <w:r>
        <w:rPr>
          <w:rFonts w:hint="eastAsia" w:ascii="仿宋_GB2312" w:hAnsi="仿宋" w:eastAsia="仿宋_GB2312"/>
          <w:color w:val="auto"/>
          <w:szCs w:val="32"/>
          <w:lang w:val="en-US" w:eastAsia="zh-CN"/>
        </w:rPr>
        <w:t>524</w:t>
      </w:r>
      <w:r>
        <w:rPr>
          <w:rFonts w:hint="eastAsia" w:ascii="仿宋_GB2312" w:hAnsi="仿宋" w:eastAsia="仿宋_GB2312"/>
          <w:color w:val="auto"/>
          <w:szCs w:val="32"/>
        </w:rPr>
        <w:t>项，行政处罚单位主动公开各类处罚案件结果信息2.</w:t>
      </w:r>
      <w:r>
        <w:rPr>
          <w:rFonts w:hint="eastAsia" w:ascii="仿宋_GB2312" w:hAnsi="仿宋" w:eastAsia="仿宋_GB2312"/>
          <w:color w:val="auto"/>
          <w:szCs w:val="32"/>
          <w:lang w:val="en-US" w:eastAsia="zh-CN"/>
        </w:rPr>
        <w:t>2</w:t>
      </w:r>
      <w:r>
        <w:rPr>
          <w:rFonts w:hint="eastAsia" w:ascii="仿宋_GB2312" w:hAnsi="仿宋" w:eastAsia="仿宋_GB2312"/>
          <w:color w:val="auto"/>
          <w:szCs w:val="32"/>
        </w:rPr>
        <w:t>万</w:t>
      </w:r>
      <w:r>
        <w:rPr>
          <w:rFonts w:hint="eastAsia" w:ascii="仿宋_GB2312" w:hAnsi="仿宋" w:eastAsia="仿宋_GB2312"/>
          <w:color w:val="auto"/>
          <w:szCs w:val="32"/>
          <w:lang w:eastAsia="zh-CN"/>
        </w:rPr>
        <w:t>多</w:t>
      </w:r>
      <w:r>
        <w:rPr>
          <w:rFonts w:hint="eastAsia" w:ascii="仿宋_GB2312" w:hAnsi="仿宋" w:eastAsia="仿宋_GB2312"/>
          <w:color w:val="auto"/>
          <w:szCs w:val="32"/>
        </w:rPr>
        <w:t>条，</w:t>
      </w:r>
      <w:r>
        <w:rPr>
          <w:rFonts w:hint="eastAsia" w:ascii="仿宋_GB2312" w:hAnsi="仿宋" w:eastAsia="仿宋_GB2312"/>
          <w:szCs w:val="32"/>
        </w:rPr>
        <w:t>“最多跑一次”事项办事指南1131条。</w:t>
      </w:r>
    </w:p>
    <w:p>
      <w:pPr>
        <w:pStyle w:val="4"/>
        <w:widowControl w:val="0"/>
        <w:spacing w:before="0" w:beforeAutospacing="0" w:after="0" w:afterAutospacing="0" w:line="576" w:lineRule="exact"/>
        <w:ind w:firstLine="645"/>
        <w:rPr>
          <w:rFonts w:hint="eastAsia" w:ascii="黑体" w:hAnsi="ˎ̥" w:eastAsia="黑体"/>
          <w:sz w:val="32"/>
          <w:szCs w:val="32"/>
        </w:rPr>
      </w:pPr>
      <w:r>
        <w:rPr>
          <w:rFonts w:hint="eastAsia" w:ascii="黑体" w:hAnsi="ˎ̥" w:eastAsia="黑体"/>
          <w:sz w:val="32"/>
          <w:szCs w:val="32"/>
        </w:rPr>
        <w:t>三、</w:t>
      </w:r>
      <w:r>
        <w:rPr>
          <w:rFonts w:ascii="黑体" w:hAnsi="ˎ̥" w:eastAsia="黑体"/>
          <w:sz w:val="32"/>
          <w:szCs w:val="32"/>
        </w:rPr>
        <w:t>依申请公开政府信息情况</w:t>
      </w:r>
    </w:p>
    <w:p>
      <w:pPr>
        <w:pStyle w:val="4"/>
        <w:widowControl w:val="0"/>
        <w:spacing w:before="0" w:beforeAutospacing="0" w:after="0" w:afterAutospacing="0" w:line="576" w:lineRule="exact"/>
        <w:ind w:firstLine="632" w:firstLineChars="200"/>
        <w:rPr>
          <w:rFonts w:ascii="仿宋_GB2312" w:eastAsia="仿宋_GB2312" w:cs="仿宋_GB2312"/>
          <w:sz w:val="32"/>
          <w:szCs w:val="32"/>
        </w:rPr>
      </w:pPr>
      <w:r>
        <w:rPr>
          <w:rFonts w:hint="eastAsia" w:ascii="仿宋_GB2312" w:hAnsi="ˎ̥" w:eastAsia="仿宋_GB2312"/>
          <w:sz w:val="32"/>
          <w:szCs w:val="32"/>
        </w:rPr>
        <w:t>2017年，全区各有关单位共受理政府信息依申请公开24</w:t>
      </w:r>
      <w:r>
        <w:rPr>
          <w:rFonts w:hint="eastAsia" w:ascii="仿宋_GB2312" w:hAnsi="ˎ̥" w:eastAsia="仿宋_GB2312"/>
          <w:sz w:val="32"/>
          <w:szCs w:val="32"/>
          <w:lang w:val="en-US" w:eastAsia="zh-CN"/>
        </w:rPr>
        <w:t>4</w:t>
      </w:r>
      <w:r>
        <w:rPr>
          <w:rFonts w:hint="eastAsia" w:ascii="仿宋_GB2312" w:hAnsi="ˎ̥" w:eastAsia="仿宋_GB2312"/>
          <w:sz w:val="32"/>
          <w:szCs w:val="32"/>
        </w:rPr>
        <w:t>件，其中，</w:t>
      </w:r>
      <w:r>
        <w:rPr>
          <w:rFonts w:hint="eastAsia" w:ascii="仿宋_GB2312" w:eastAsia="仿宋_GB2312" w:cs="仿宋_GB2312"/>
          <w:sz w:val="32"/>
          <w:szCs w:val="32"/>
        </w:rPr>
        <w:t>区政府受理62件，各部门及镇街受理18</w:t>
      </w:r>
      <w:r>
        <w:rPr>
          <w:rFonts w:hint="eastAsia" w:ascii="仿宋_GB2312" w:eastAsia="仿宋_GB2312" w:cs="仿宋_GB2312"/>
          <w:sz w:val="32"/>
          <w:szCs w:val="32"/>
          <w:lang w:val="en-US" w:eastAsia="zh-CN"/>
        </w:rPr>
        <w:t>2</w:t>
      </w:r>
      <w:r>
        <w:rPr>
          <w:rFonts w:hint="eastAsia" w:ascii="仿宋_GB2312" w:eastAsia="仿宋_GB2312" w:cs="仿宋_GB2312"/>
          <w:sz w:val="32"/>
          <w:szCs w:val="32"/>
        </w:rPr>
        <w:t>件。申请内容涉及住房、征地、规划等领域。申请渠道方面，当面申请138件，信函申请9</w:t>
      </w:r>
      <w:r>
        <w:rPr>
          <w:rFonts w:hint="eastAsia" w:ascii="仿宋_GB2312" w:eastAsia="仿宋_GB2312" w:cs="仿宋_GB2312"/>
          <w:sz w:val="32"/>
          <w:szCs w:val="32"/>
          <w:lang w:val="en-US" w:eastAsia="zh-CN"/>
        </w:rPr>
        <w:t>5</w:t>
      </w:r>
      <w:r>
        <w:rPr>
          <w:rFonts w:hint="eastAsia" w:ascii="仿宋_GB2312" w:eastAsia="仿宋_GB2312" w:cs="仿宋_GB2312"/>
          <w:sz w:val="32"/>
          <w:szCs w:val="32"/>
        </w:rPr>
        <w:t>件，网络申请</w:t>
      </w:r>
      <w:r>
        <w:rPr>
          <w:rFonts w:hint="eastAsia" w:ascii="仿宋_GB2312" w:eastAsia="仿宋_GB2312" w:cs="仿宋_GB2312"/>
          <w:sz w:val="32"/>
          <w:szCs w:val="32"/>
          <w:lang w:val="en-US" w:eastAsia="zh-CN"/>
        </w:rPr>
        <w:t>11</w:t>
      </w:r>
      <w:r>
        <w:rPr>
          <w:rFonts w:hint="eastAsia" w:ascii="仿宋_GB2312" w:eastAsia="仿宋_GB2312" w:cs="仿宋_GB2312"/>
          <w:sz w:val="32"/>
          <w:szCs w:val="32"/>
        </w:rPr>
        <w:t>件，传真申请0件。</w:t>
      </w:r>
    </w:p>
    <w:p>
      <w:pPr>
        <w:pStyle w:val="4"/>
        <w:widowControl w:val="0"/>
        <w:spacing w:before="0" w:beforeAutospacing="0" w:after="0" w:afterAutospacing="0" w:line="576" w:lineRule="exact"/>
        <w:ind w:firstLine="632" w:firstLineChars="200"/>
        <w:rPr>
          <w:rFonts w:ascii="仿宋_GB2312" w:eastAsia="仿宋_GB2312" w:cs="仿宋_GB2312"/>
          <w:sz w:val="32"/>
          <w:szCs w:val="32"/>
        </w:rPr>
      </w:pPr>
      <w:r>
        <w:rPr>
          <w:rFonts w:hint="eastAsia" w:ascii="仿宋_GB2312" w:eastAsia="仿宋_GB2312" w:cs="仿宋_GB2312"/>
          <w:sz w:val="32"/>
          <w:szCs w:val="32"/>
        </w:rPr>
        <w:drawing>
          <wp:anchor distT="0" distB="0" distL="114300" distR="114300" simplePos="0" relativeHeight="251658240" behindDoc="0" locked="0" layoutInCell="1" allowOverlap="1">
            <wp:simplePos x="0" y="0"/>
            <wp:positionH relativeFrom="column">
              <wp:posOffset>428625</wp:posOffset>
            </wp:positionH>
            <wp:positionV relativeFrom="paragraph">
              <wp:posOffset>61595</wp:posOffset>
            </wp:positionV>
            <wp:extent cx="4198620" cy="2667000"/>
            <wp:effectExtent l="4445" t="4445" r="6985" b="14605"/>
            <wp:wrapTopAndBottom/>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pStyle w:val="4"/>
        <w:widowControl w:val="0"/>
        <w:spacing w:before="0" w:beforeAutospacing="0" w:after="0" w:afterAutospacing="0" w:line="576" w:lineRule="exact"/>
        <w:ind w:firstLine="632" w:firstLineChars="200"/>
        <w:rPr>
          <w:rFonts w:hint="eastAsia" w:ascii="仿宋_GB2312" w:hAnsi="ˎ̥" w:eastAsia="仿宋_GB2312"/>
          <w:sz w:val="32"/>
          <w:szCs w:val="32"/>
        </w:rPr>
      </w:pPr>
      <w:r>
        <w:rPr>
          <w:rFonts w:hint="eastAsia" w:ascii="仿宋_GB2312" w:eastAsia="仿宋_GB2312" w:cs="仿宋_GB2312"/>
          <w:sz w:val="32"/>
          <w:szCs w:val="32"/>
          <w:lang w:eastAsia="zh-CN"/>
        </w:rPr>
        <w:t>政府信息依申请公开已办结</w:t>
      </w:r>
      <w:r>
        <w:rPr>
          <w:rFonts w:hint="eastAsia" w:ascii="仿宋_GB2312" w:eastAsia="仿宋_GB2312" w:cs="仿宋_GB2312"/>
          <w:sz w:val="32"/>
          <w:szCs w:val="32"/>
        </w:rPr>
        <w:t>24</w:t>
      </w:r>
      <w:r>
        <w:rPr>
          <w:rFonts w:hint="eastAsia" w:ascii="仿宋_GB2312" w:eastAsia="仿宋_GB2312" w:cs="仿宋_GB2312"/>
          <w:sz w:val="32"/>
          <w:szCs w:val="32"/>
          <w:lang w:val="en-US" w:eastAsia="zh-CN"/>
        </w:rPr>
        <w:t>4</w:t>
      </w:r>
      <w:r>
        <w:rPr>
          <w:rFonts w:hint="eastAsia" w:ascii="仿宋_GB2312" w:eastAsia="仿宋_GB2312" w:cs="仿宋_GB2312"/>
          <w:sz w:val="32"/>
          <w:szCs w:val="32"/>
        </w:rPr>
        <w:t>件</w:t>
      </w:r>
      <w:r>
        <w:rPr>
          <w:rFonts w:hint="eastAsia" w:ascii="仿宋_GB2312" w:eastAsia="仿宋_GB2312" w:cs="仿宋_GB2312"/>
          <w:sz w:val="32"/>
          <w:szCs w:val="32"/>
          <w:lang w:eastAsia="zh-CN"/>
        </w:rPr>
        <w:t>，答复率</w:t>
      </w:r>
      <w:r>
        <w:rPr>
          <w:rFonts w:hint="eastAsia" w:ascii="仿宋_GB2312" w:eastAsia="仿宋_GB2312" w:cs="仿宋_GB2312"/>
          <w:sz w:val="32"/>
          <w:szCs w:val="32"/>
          <w:lang w:val="en-US" w:eastAsia="zh-CN"/>
        </w:rPr>
        <w:t>100%</w:t>
      </w:r>
      <w:r>
        <w:rPr>
          <w:rFonts w:hint="eastAsia" w:ascii="仿宋_GB2312" w:eastAsia="仿宋_GB2312" w:cs="仿宋_GB2312"/>
          <w:sz w:val="32"/>
          <w:szCs w:val="32"/>
        </w:rPr>
        <w:t>。其中，</w:t>
      </w:r>
      <w:r>
        <w:rPr>
          <w:rFonts w:hint="eastAsia" w:ascii="仿宋_GB2312" w:hAnsi="ˎ̥" w:eastAsia="仿宋_GB2312"/>
          <w:sz w:val="32"/>
          <w:szCs w:val="32"/>
        </w:rPr>
        <w:t>属于已主动公开的7件；</w:t>
      </w:r>
      <w:r>
        <w:rPr>
          <w:rFonts w:ascii="仿宋_GB2312" w:hAnsi="ˎ̥" w:eastAsia="仿宋_GB2312"/>
          <w:sz w:val="32"/>
          <w:szCs w:val="32"/>
        </w:rPr>
        <w:t>答复</w:t>
      </w:r>
      <w:r>
        <w:rPr>
          <w:rFonts w:hint="eastAsia" w:ascii="仿宋_GB2312" w:hAnsi="ˎ̥" w:eastAsia="仿宋_GB2312"/>
          <w:sz w:val="32"/>
          <w:szCs w:val="32"/>
        </w:rPr>
        <w:t>“</w:t>
      </w:r>
      <w:r>
        <w:rPr>
          <w:rFonts w:ascii="仿宋_GB2312" w:hAnsi="ˎ̥" w:eastAsia="仿宋_GB2312"/>
          <w:sz w:val="32"/>
          <w:szCs w:val="32"/>
        </w:rPr>
        <w:t>同意公开</w:t>
      </w:r>
      <w:r>
        <w:rPr>
          <w:rFonts w:hint="eastAsia" w:ascii="仿宋_GB2312" w:hAnsi="ˎ̥" w:eastAsia="仿宋_GB2312"/>
          <w:sz w:val="32"/>
          <w:szCs w:val="32"/>
        </w:rPr>
        <w:t>”</w:t>
      </w:r>
      <w:r>
        <w:rPr>
          <w:rFonts w:ascii="仿宋_GB2312" w:hAnsi="ˎ̥" w:eastAsia="仿宋_GB2312"/>
          <w:sz w:val="32"/>
          <w:szCs w:val="32"/>
        </w:rPr>
        <w:t>或</w:t>
      </w:r>
      <w:r>
        <w:rPr>
          <w:rFonts w:hint="eastAsia" w:ascii="仿宋_GB2312" w:hAnsi="ˎ̥" w:eastAsia="仿宋_GB2312"/>
          <w:sz w:val="32"/>
          <w:szCs w:val="32"/>
        </w:rPr>
        <w:t>“</w:t>
      </w:r>
      <w:r>
        <w:rPr>
          <w:rFonts w:ascii="仿宋_GB2312" w:hAnsi="ˎ̥" w:eastAsia="仿宋_GB2312"/>
          <w:sz w:val="32"/>
          <w:szCs w:val="32"/>
        </w:rPr>
        <w:t>部分公开</w:t>
      </w:r>
      <w:r>
        <w:rPr>
          <w:rFonts w:hint="eastAsia" w:ascii="仿宋_GB2312" w:hAnsi="ˎ̥" w:eastAsia="仿宋_GB2312"/>
          <w:sz w:val="32"/>
          <w:szCs w:val="32"/>
        </w:rPr>
        <w:t>”</w:t>
      </w:r>
      <w:r>
        <w:rPr>
          <w:rFonts w:ascii="仿宋_GB2312" w:hAnsi="ˎ̥" w:eastAsia="仿宋_GB2312"/>
          <w:sz w:val="32"/>
          <w:szCs w:val="32"/>
        </w:rPr>
        <w:t>的</w:t>
      </w:r>
      <w:r>
        <w:rPr>
          <w:rFonts w:hint="eastAsia" w:ascii="仿宋_GB2312" w:hAnsi="ˎ̥" w:eastAsia="仿宋_GB2312"/>
          <w:sz w:val="32"/>
          <w:szCs w:val="32"/>
          <w:lang w:val="en-US" w:eastAsia="zh-CN"/>
        </w:rPr>
        <w:t>152</w:t>
      </w:r>
      <w:r>
        <w:rPr>
          <w:rFonts w:ascii="仿宋_GB2312" w:hAnsi="ˎ̥" w:eastAsia="仿宋_GB2312"/>
          <w:sz w:val="32"/>
          <w:szCs w:val="32"/>
        </w:rPr>
        <w:t>件；明确</w:t>
      </w:r>
      <w:r>
        <w:rPr>
          <w:rFonts w:hint="eastAsia" w:ascii="仿宋_GB2312" w:hAnsi="ˎ̥" w:eastAsia="仿宋_GB2312"/>
          <w:sz w:val="32"/>
          <w:szCs w:val="32"/>
        </w:rPr>
        <w:t>“</w:t>
      </w:r>
      <w:r>
        <w:rPr>
          <w:rFonts w:ascii="仿宋_GB2312" w:hAnsi="ˎ̥" w:eastAsia="仿宋_GB2312"/>
          <w:sz w:val="32"/>
          <w:szCs w:val="32"/>
        </w:rPr>
        <w:t>不予公开</w:t>
      </w:r>
      <w:r>
        <w:rPr>
          <w:rFonts w:hint="eastAsia" w:ascii="仿宋_GB2312" w:hAnsi="ˎ̥" w:eastAsia="仿宋_GB2312"/>
          <w:sz w:val="32"/>
          <w:szCs w:val="32"/>
        </w:rPr>
        <w:t>”</w:t>
      </w:r>
      <w:r>
        <w:rPr>
          <w:rFonts w:ascii="仿宋_GB2312" w:hAnsi="ˎ̥" w:eastAsia="仿宋_GB2312"/>
          <w:sz w:val="32"/>
          <w:szCs w:val="32"/>
        </w:rPr>
        <w:t>的</w:t>
      </w:r>
      <w:r>
        <w:rPr>
          <w:rFonts w:hint="eastAsia" w:ascii="仿宋_GB2312" w:hAnsi="ˎ̥" w:eastAsia="仿宋_GB2312"/>
          <w:sz w:val="32"/>
          <w:szCs w:val="32"/>
        </w:rPr>
        <w:t>19</w:t>
      </w:r>
      <w:r>
        <w:rPr>
          <w:rFonts w:ascii="仿宋_GB2312" w:hAnsi="ˎ̥" w:eastAsia="仿宋_GB2312"/>
          <w:sz w:val="32"/>
          <w:szCs w:val="32"/>
        </w:rPr>
        <w:t>件（不是条例所指政府信息</w:t>
      </w:r>
      <w:r>
        <w:rPr>
          <w:rFonts w:hint="eastAsia" w:ascii="仿宋_GB2312" w:hAnsi="ˎ̥" w:eastAsia="仿宋_GB2312"/>
          <w:sz w:val="32"/>
          <w:szCs w:val="32"/>
        </w:rPr>
        <w:t xml:space="preserve">14件，法律法规规定的其他情形5件 </w:t>
      </w:r>
      <w:r>
        <w:rPr>
          <w:rFonts w:ascii="仿宋_GB2312" w:hAnsi="ˎ̥" w:eastAsia="仿宋_GB2312"/>
          <w:sz w:val="32"/>
          <w:szCs w:val="32"/>
        </w:rPr>
        <w:t>），其他情况</w:t>
      </w:r>
      <w:r>
        <w:rPr>
          <w:rFonts w:hint="eastAsia" w:ascii="仿宋_GB2312" w:hAnsi="ˎ̥" w:eastAsia="仿宋_GB2312"/>
          <w:sz w:val="32"/>
          <w:szCs w:val="32"/>
        </w:rPr>
        <w:t>66</w:t>
      </w:r>
      <w:r>
        <w:rPr>
          <w:rFonts w:ascii="仿宋_GB2312" w:hAnsi="ˎ̥" w:eastAsia="仿宋_GB2312"/>
          <w:sz w:val="32"/>
          <w:szCs w:val="32"/>
        </w:rPr>
        <w:t>件（包括</w:t>
      </w:r>
      <w:r>
        <w:rPr>
          <w:rFonts w:hint="eastAsia" w:ascii="仿宋_GB2312" w:hAnsi="ˎ̥" w:eastAsia="仿宋_GB2312"/>
          <w:sz w:val="32"/>
          <w:szCs w:val="32"/>
        </w:rPr>
        <w:t>“不属于本机关公开”</w:t>
      </w:r>
      <w:r>
        <w:rPr>
          <w:rFonts w:hint="eastAsia" w:ascii="仿宋_GB2312" w:hAnsi="ˎ̥" w:eastAsia="仿宋_GB2312"/>
          <w:sz w:val="32"/>
          <w:szCs w:val="32"/>
          <w:lang w:eastAsia="zh-CN"/>
        </w:rPr>
        <w:t>、</w:t>
      </w:r>
      <w:r>
        <w:rPr>
          <w:rFonts w:hint="eastAsia" w:ascii="仿宋_GB2312" w:hAnsi="ˎ̥" w:eastAsia="仿宋_GB2312"/>
          <w:sz w:val="32"/>
          <w:szCs w:val="32"/>
        </w:rPr>
        <w:t>“申请</w:t>
      </w:r>
      <w:r>
        <w:rPr>
          <w:rFonts w:ascii="仿宋_GB2312" w:hAnsi="ˎ̥" w:eastAsia="仿宋_GB2312"/>
          <w:sz w:val="32"/>
          <w:szCs w:val="32"/>
        </w:rPr>
        <w:t>信息不存在</w:t>
      </w:r>
      <w:r>
        <w:rPr>
          <w:rFonts w:hint="eastAsia" w:ascii="仿宋_GB2312" w:hAnsi="ˎ̥" w:eastAsia="仿宋_GB2312"/>
          <w:sz w:val="32"/>
          <w:szCs w:val="32"/>
        </w:rPr>
        <w:t>”</w:t>
      </w:r>
      <w:r>
        <w:rPr>
          <w:rFonts w:ascii="仿宋_GB2312" w:hAnsi="ˎ̥" w:eastAsia="仿宋_GB2312"/>
          <w:sz w:val="32"/>
          <w:szCs w:val="32"/>
        </w:rPr>
        <w:t>、</w:t>
      </w:r>
      <w:r>
        <w:rPr>
          <w:rFonts w:hint="eastAsia" w:ascii="仿宋_GB2312" w:hAnsi="ˎ̥" w:eastAsia="仿宋_GB2312"/>
          <w:sz w:val="32"/>
          <w:szCs w:val="32"/>
        </w:rPr>
        <w:t>“</w:t>
      </w:r>
      <w:r>
        <w:rPr>
          <w:rFonts w:hint="eastAsia" w:ascii="仿宋_GB2312" w:eastAsia="仿宋_GB2312" w:cs="方正仿宋_GBK"/>
          <w:sz w:val="28"/>
          <w:szCs w:val="28"/>
        </w:rPr>
        <w:t xml:space="preserve"> </w:t>
      </w:r>
      <w:r>
        <w:rPr>
          <w:rFonts w:hint="eastAsia" w:ascii="仿宋_GB2312" w:hAnsi="ˎ̥" w:eastAsia="仿宋_GB2312"/>
          <w:sz w:val="32"/>
          <w:szCs w:val="32"/>
        </w:rPr>
        <w:t>告知作出更改补充数”</w:t>
      </w:r>
      <w:r>
        <w:rPr>
          <w:rFonts w:hint="eastAsia" w:ascii="仿宋_GB2312" w:hAnsi="ˎ̥" w:eastAsia="仿宋_GB2312"/>
          <w:sz w:val="32"/>
          <w:szCs w:val="32"/>
          <w:lang w:eastAsia="zh-CN"/>
        </w:rPr>
        <w:t>、</w:t>
      </w:r>
      <w:r>
        <w:rPr>
          <w:rFonts w:hint="eastAsia" w:ascii="仿宋_GB2312" w:hAnsi="ˎ̥" w:eastAsia="仿宋_GB2312"/>
          <w:sz w:val="32"/>
          <w:szCs w:val="32"/>
        </w:rPr>
        <w:t>“告知其他途径办理”</w:t>
      </w:r>
      <w:r>
        <w:rPr>
          <w:rFonts w:ascii="仿宋_GB2312" w:hAnsi="ˎ̥" w:eastAsia="仿宋_GB2312"/>
          <w:sz w:val="32"/>
          <w:szCs w:val="32"/>
        </w:rPr>
        <w:t>等）。</w:t>
      </w:r>
    </w:p>
    <w:p>
      <w:pPr>
        <w:pStyle w:val="4"/>
        <w:widowControl w:val="0"/>
        <w:spacing w:before="0" w:beforeAutospacing="0" w:after="0" w:afterAutospacing="0" w:line="576" w:lineRule="exact"/>
        <w:ind w:left="634"/>
        <w:rPr>
          <w:rFonts w:hint="eastAsia" w:ascii="黑体" w:hAnsi="ˎ̥" w:eastAsia="黑体"/>
          <w:sz w:val="32"/>
          <w:szCs w:val="32"/>
        </w:rPr>
      </w:pPr>
      <w:r>
        <w:rPr>
          <w:rFonts w:hint="eastAsia" w:ascii="黑体" w:hAnsi="ˎ̥" w:eastAsia="黑体"/>
          <w:sz w:val="32"/>
          <w:szCs w:val="32"/>
        </w:rPr>
        <w:t>四、收费及减免情况</w:t>
      </w:r>
    </w:p>
    <w:p>
      <w:pPr>
        <w:pStyle w:val="4"/>
        <w:widowControl w:val="0"/>
        <w:spacing w:before="0" w:beforeAutospacing="0" w:after="0" w:afterAutospacing="0" w:line="576" w:lineRule="exact"/>
        <w:ind w:firstLine="632" w:firstLineChars="200"/>
        <w:rPr>
          <w:rFonts w:hint="eastAsia" w:ascii="仿宋_GB2312" w:hAnsi="ˎ̥" w:eastAsia="仿宋_GB2312"/>
          <w:b/>
          <w:sz w:val="32"/>
          <w:szCs w:val="32"/>
        </w:rPr>
      </w:pPr>
      <w:r>
        <w:rPr>
          <w:rFonts w:hint="eastAsia" w:ascii="仿宋_GB2312" w:hAnsi="ˎ̥" w:eastAsia="仿宋_GB2312"/>
          <w:sz w:val="32"/>
          <w:szCs w:val="32"/>
        </w:rPr>
        <w:t>全年政府信息公开工作</w:t>
      </w:r>
      <w:r>
        <w:rPr>
          <w:rFonts w:ascii="仿宋_GB2312" w:hAnsi="ˎ̥" w:eastAsia="仿宋_GB2312"/>
          <w:sz w:val="32"/>
          <w:szCs w:val="32"/>
        </w:rPr>
        <w:t>未收取</w:t>
      </w:r>
      <w:r>
        <w:rPr>
          <w:rFonts w:hint="eastAsia" w:ascii="仿宋_GB2312" w:hAnsi="ˎ̥" w:eastAsia="仿宋_GB2312"/>
          <w:sz w:val="32"/>
          <w:szCs w:val="32"/>
        </w:rPr>
        <w:t>任何</w:t>
      </w:r>
      <w:r>
        <w:rPr>
          <w:rFonts w:ascii="仿宋_GB2312" w:hAnsi="ˎ̥" w:eastAsia="仿宋_GB2312"/>
          <w:sz w:val="32"/>
          <w:szCs w:val="32"/>
        </w:rPr>
        <w:t>费用。</w:t>
      </w:r>
    </w:p>
    <w:p>
      <w:pPr>
        <w:pStyle w:val="4"/>
        <w:widowControl w:val="0"/>
        <w:spacing w:before="0" w:beforeAutospacing="0" w:after="0" w:afterAutospacing="0" w:line="576" w:lineRule="exact"/>
        <w:ind w:left="634"/>
        <w:rPr>
          <w:rFonts w:hint="eastAsia" w:ascii="黑体" w:hAnsi="ˎ̥" w:eastAsia="黑体"/>
          <w:sz w:val="32"/>
          <w:szCs w:val="32"/>
        </w:rPr>
      </w:pPr>
      <w:r>
        <w:rPr>
          <w:rFonts w:hint="eastAsia" w:ascii="黑体" w:hAnsi="ˎ̥" w:eastAsia="黑体"/>
          <w:sz w:val="32"/>
          <w:szCs w:val="32"/>
        </w:rPr>
        <w:t>五、</w:t>
      </w:r>
      <w:r>
        <w:rPr>
          <w:rFonts w:ascii="黑体" w:hAnsi="ˎ̥" w:eastAsia="黑体"/>
          <w:sz w:val="32"/>
          <w:szCs w:val="32"/>
        </w:rPr>
        <w:t>复议和诉讼情况</w:t>
      </w:r>
    </w:p>
    <w:p>
      <w:pPr>
        <w:pStyle w:val="4"/>
        <w:widowControl w:val="0"/>
        <w:spacing w:before="0" w:beforeAutospacing="0" w:after="0" w:afterAutospacing="0" w:line="576" w:lineRule="exact"/>
        <w:ind w:firstLine="632" w:firstLineChars="200"/>
        <w:rPr>
          <w:rFonts w:hint="eastAsia" w:ascii="仿宋_GB2312" w:hAnsi="ˎ̥" w:eastAsia="仿宋_GB2312"/>
          <w:sz w:val="32"/>
          <w:szCs w:val="32"/>
        </w:rPr>
      </w:pPr>
      <w:r>
        <w:rPr>
          <w:rFonts w:hint="eastAsia" w:ascii="仿宋_GB2312" w:hAnsi="ˎ̥" w:eastAsia="仿宋_GB2312"/>
          <w:sz w:val="32"/>
          <w:szCs w:val="32"/>
        </w:rPr>
        <w:t>2017年全区政府信息公开类行政复议4件，其中，被纠错2件，其他情况2件；政府信息公开类的诉讼0起。</w:t>
      </w:r>
    </w:p>
    <w:p>
      <w:pPr>
        <w:pStyle w:val="4"/>
        <w:widowControl w:val="0"/>
        <w:spacing w:before="0" w:beforeAutospacing="0" w:after="0" w:afterAutospacing="0" w:line="576" w:lineRule="exact"/>
        <w:rPr>
          <w:rFonts w:hint="eastAsia" w:ascii="黑体" w:hAnsi="ˎ̥" w:eastAsia="黑体"/>
          <w:sz w:val="32"/>
          <w:szCs w:val="32"/>
        </w:rPr>
      </w:pPr>
      <w:r>
        <w:rPr>
          <w:rFonts w:ascii="黑体" w:hAnsi="ˎ̥" w:eastAsia="黑体"/>
          <w:sz w:val="32"/>
          <w:szCs w:val="32"/>
        </w:rPr>
        <w:t xml:space="preserve">    </w:t>
      </w:r>
      <w:r>
        <w:rPr>
          <w:rFonts w:hint="eastAsia" w:ascii="黑体" w:hAnsi="ˎ̥" w:eastAsia="黑体"/>
          <w:sz w:val="32"/>
          <w:szCs w:val="32"/>
        </w:rPr>
        <w:t>六、</w:t>
      </w:r>
      <w:r>
        <w:rPr>
          <w:rFonts w:ascii="黑体" w:hAnsi="ˎ̥" w:eastAsia="黑体"/>
          <w:sz w:val="32"/>
          <w:szCs w:val="32"/>
        </w:rPr>
        <w:t>主要问题及改进措施</w:t>
      </w:r>
    </w:p>
    <w:p>
      <w:pPr>
        <w:pStyle w:val="4"/>
        <w:widowControl w:val="0"/>
        <w:spacing w:before="0" w:beforeAutospacing="0" w:after="0" w:afterAutospacing="0" w:line="576" w:lineRule="exact"/>
        <w:ind w:firstLine="632" w:firstLineChars="200"/>
        <w:rPr>
          <w:rFonts w:ascii="仿宋_GB2312" w:eastAsia="仿宋_GB2312" w:cs="仿宋_GB2312"/>
          <w:sz w:val="32"/>
          <w:szCs w:val="32"/>
        </w:rPr>
      </w:pPr>
      <w:r>
        <w:rPr>
          <w:rFonts w:hint="eastAsia" w:ascii="仿宋_GB2312" w:eastAsia="仿宋_GB2312"/>
          <w:sz w:val="32"/>
          <w:szCs w:val="32"/>
        </w:rPr>
        <w:t>目前，我区政府信息公开工作主要存在的问题有：</w:t>
      </w:r>
      <w:r>
        <w:rPr>
          <w:rFonts w:hint="eastAsia" w:ascii="仿宋_GB2312" w:eastAsia="仿宋_GB2312"/>
          <w:b/>
          <w:sz w:val="32"/>
          <w:szCs w:val="32"/>
        </w:rPr>
        <w:t>一是</w:t>
      </w:r>
      <w:r>
        <w:rPr>
          <w:rFonts w:hint="eastAsia" w:ascii="仿宋_GB2312" w:eastAsia="仿宋_GB2312"/>
          <w:sz w:val="32"/>
          <w:szCs w:val="32"/>
        </w:rPr>
        <w:t>个别部门“自我革命”的决心不坚定，影响公开力度，部分单位向群众亮明“底细”的勇气和决心还不够，直接影响了信息公开工作的推进力度。</w:t>
      </w:r>
      <w:r>
        <w:rPr>
          <w:rFonts w:hint="eastAsia" w:ascii="仿宋_GB2312" w:eastAsia="仿宋_GB2312"/>
          <w:b/>
          <w:sz w:val="32"/>
          <w:szCs w:val="32"/>
        </w:rPr>
        <w:t>二是</w:t>
      </w:r>
      <w:r>
        <w:rPr>
          <w:rFonts w:hint="eastAsia" w:ascii="仿宋_GB2312" w:eastAsia="仿宋_GB2312"/>
          <w:sz w:val="32"/>
          <w:szCs w:val="32"/>
        </w:rPr>
        <w:t>政务公开主动公开目录体系不完善，主动公开的长效机制尚未形成，影响总体工作成效。</w:t>
      </w:r>
      <w:r>
        <w:rPr>
          <w:rFonts w:hint="eastAsia" w:ascii="仿宋_GB2312" w:eastAsia="仿宋_GB2312"/>
          <w:b/>
          <w:sz w:val="32"/>
          <w:szCs w:val="32"/>
        </w:rPr>
        <w:t>三是</w:t>
      </w:r>
      <w:r>
        <w:rPr>
          <w:rFonts w:hint="eastAsia" w:ascii="仿宋_GB2312" w:eastAsia="仿宋_GB2312"/>
          <w:sz w:val="32"/>
          <w:szCs w:val="32"/>
        </w:rPr>
        <w:t>机构和队伍建设有待加强，部分责任单位也没有专职人员负责，人员变动较频繁，工作人员业务水平，也有待进一步提升，一定程度上影响了工作质量。</w:t>
      </w:r>
    </w:p>
    <w:p>
      <w:pPr>
        <w:pStyle w:val="4"/>
        <w:widowControl w:val="0"/>
        <w:spacing w:before="0" w:beforeAutospacing="0" w:after="0" w:afterAutospacing="0" w:line="576" w:lineRule="exact"/>
        <w:ind w:firstLine="632" w:firstLineChars="200"/>
        <w:rPr>
          <w:rFonts w:ascii="仿宋_GB2312" w:eastAsia="仿宋_GB2312"/>
          <w:sz w:val="32"/>
          <w:szCs w:val="32"/>
        </w:rPr>
      </w:pPr>
      <w:r>
        <w:rPr>
          <w:rFonts w:hint="eastAsia" w:ascii="仿宋_GB2312" w:eastAsia="仿宋_GB2312"/>
          <w:sz w:val="32"/>
          <w:szCs w:val="32"/>
        </w:rPr>
        <w:t>针对以上问题，2018年我区政府信息公开工作将继续深化政务公开的内容，探索创新公开形式，着重抓好四方面工作：一是继续推进政务公开全国试点后续工作和创新举措；二是完善政务公开制度，对各政府信息公开责任单位进行定期抽查通报，发现应公开未公开等问题</w:t>
      </w:r>
      <w:r>
        <w:rPr>
          <w:rFonts w:hint="eastAsia" w:ascii="仿宋_GB2312" w:eastAsia="仿宋_GB2312"/>
          <w:sz w:val="32"/>
          <w:szCs w:val="32"/>
          <w:lang w:eastAsia="zh-CN"/>
        </w:rPr>
        <w:t>并</w:t>
      </w:r>
      <w:r>
        <w:rPr>
          <w:rFonts w:hint="eastAsia" w:ascii="仿宋_GB2312" w:eastAsia="仿宋_GB2312"/>
          <w:sz w:val="32"/>
          <w:szCs w:val="32"/>
        </w:rPr>
        <w:t>及时整改；三是进一步规范依申请公开工作机制，建立与区法制办、司法部门、各单位法律顾问的工作沟通协调机制。四是加强队伍建设，制定专项业务培训计划，提升工作人员业务水平。</w:t>
      </w:r>
    </w:p>
    <w:p>
      <w:pPr>
        <w:pStyle w:val="4"/>
        <w:widowControl w:val="0"/>
        <w:spacing w:before="0" w:beforeAutospacing="0" w:after="0" w:afterAutospacing="0" w:line="576" w:lineRule="exact"/>
        <w:ind w:firstLine="632" w:firstLineChars="200"/>
        <w:rPr>
          <w:rFonts w:hint="eastAsia" w:ascii="仿宋_GB2312" w:eastAsia="仿宋_GB2312"/>
          <w:sz w:val="32"/>
          <w:szCs w:val="32"/>
        </w:rPr>
      </w:pPr>
    </w:p>
    <w:p>
      <w:pPr>
        <w:pStyle w:val="4"/>
        <w:widowControl w:val="0"/>
        <w:spacing w:before="0" w:beforeAutospacing="0" w:after="0" w:afterAutospacing="0" w:line="576" w:lineRule="exact"/>
        <w:ind w:firstLine="632" w:firstLineChars="200"/>
        <w:rPr>
          <w:rFonts w:ascii="仿宋_GB2312" w:eastAsia="仿宋_GB2312"/>
          <w:sz w:val="32"/>
          <w:szCs w:val="32"/>
        </w:rPr>
      </w:pPr>
    </w:p>
    <w:p>
      <w:pPr>
        <w:pStyle w:val="4"/>
        <w:widowControl w:val="0"/>
        <w:wordWrap w:val="0"/>
        <w:spacing w:before="0" w:beforeAutospacing="0" w:after="0" w:afterAutospacing="0" w:line="576" w:lineRule="exact"/>
        <w:ind w:firstLine="632" w:firstLineChars="200"/>
        <w:jc w:val="right"/>
        <w:rPr>
          <w:rFonts w:ascii="仿宋_GB2312" w:eastAsia="仿宋_GB2312"/>
          <w:sz w:val="32"/>
          <w:szCs w:val="32"/>
        </w:rPr>
      </w:pPr>
      <w:r>
        <w:rPr>
          <w:rFonts w:hint="eastAsia" w:ascii="仿宋_GB2312" w:eastAsia="仿宋_GB2312"/>
          <w:sz w:val="32"/>
          <w:szCs w:val="32"/>
        </w:rPr>
        <w:t>温州市瓯海区人民政府</w:t>
      </w:r>
    </w:p>
    <w:p>
      <w:pPr>
        <w:pStyle w:val="4"/>
        <w:widowControl w:val="0"/>
        <w:wordWrap w:val="0"/>
        <w:spacing w:before="0" w:beforeAutospacing="0" w:after="0" w:afterAutospacing="0" w:line="576" w:lineRule="exact"/>
        <w:ind w:firstLine="632" w:firstLineChars="200"/>
        <w:jc w:val="right"/>
        <w:rPr>
          <w:rFonts w:ascii="仿宋_GB2312" w:eastAsia="仿宋_GB2312"/>
          <w:sz w:val="32"/>
          <w:szCs w:val="32"/>
        </w:rPr>
      </w:pPr>
      <w:r>
        <w:rPr>
          <w:rFonts w:hint="eastAsia" w:ascii="仿宋_GB2312" w:eastAsia="仿宋_GB2312"/>
          <w:sz w:val="32"/>
          <w:szCs w:val="32"/>
        </w:rPr>
        <w:t xml:space="preserve">2018年1月12日   </w:t>
      </w:r>
    </w:p>
    <w:p>
      <w:pPr>
        <w:widowControl/>
        <w:jc w:val="right"/>
        <w:rPr>
          <w:rFonts w:ascii="黑体" w:hAnsi="宋体" w:eastAsia="黑体"/>
          <w:color w:val="000000"/>
          <w:kern w:val="0"/>
          <w:szCs w:val="32"/>
        </w:rPr>
      </w:pPr>
      <w:r>
        <w:br w:type="page"/>
      </w:r>
    </w:p>
    <w:p>
      <w:pPr>
        <w:widowControl/>
        <w:snapToGrid w:val="0"/>
        <w:spacing w:line="324" w:lineRule="auto"/>
        <w:jc w:val="center"/>
        <w:rPr>
          <w:rFonts w:ascii="宋体" w:hAnsi="宋体" w:cs="宋体"/>
          <w:color w:val="000000"/>
          <w:kern w:val="0"/>
          <w:sz w:val="24"/>
        </w:rPr>
      </w:pPr>
      <w:r>
        <w:rPr>
          <w:rFonts w:ascii="宋体" w:hAnsi="宋体" w:cs="宋体"/>
          <w:b/>
          <w:bCs/>
          <w:color w:val="000000"/>
          <w:kern w:val="0"/>
          <w:sz w:val="36"/>
        </w:rPr>
        <w:t>政府信息公开情况统计表</w:t>
      </w:r>
      <w:r>
        <w:rPr>
          <w:rFonts w:ascii="宋体" w:hAnsi="宋体" w:cs="宋体"/>
          <w:b/>
          <w:bCs/>
          <w:color w:val="000000"/>
          <w:kern w:val="0"/>
          <w:sz w:val="36"/>
          <w:szCs w:val="36"/>
        </w:rPr>
        <w:br w:type="textWrapping"/>
      </w:r>
      <w:r>
        <w:rPr>
          <w:rFonts w:ascii="宋体" w:hAnsi="宋体" w:cs="宋体"/>
          <w:color w:val="000000"/>
          <w:kern w:val="0"/>
          <w:sz w:val="24"/>
        </w:rPr>
        <w:t>（</w:t>
      </w:r>
      <w:r>
        <w:rPr>
          <w:rFonts w:hint="eastAsia" w:ascii="宋体" w:hAnsi="宋体" w:cs="宋体"/>
          <w:color w:val="000000"/>
          <w:kern w:val="0"/>
          <w:sz w:val="24"/>
        </w:rPr>
        <w:t>2017</w:t>
      </w:r>
      <w:r>
        <w:rPr>
          <w:rFonts w:ascii="宋体" w:hAnsi="宋体" w:cs="宋体"/>
          <w:color w:val="000000"/>
          <w:kern w:val="0"/>
          <w:sz w:val="24"/>
        </w:rPr>
        <w:t>年度）</w:t>
      </w:r>
    </w:p>
    <w:p>
      <w:pPr>
        <w:widowControl/>
        <w:snapToGrid w:val="0"/>
        <w:spacing w:line="324" w:lineRule="auto"/>
        <w:jc w:val="center"/>
        <w:rPr>
          <w:rFonts w:ascii="宋体" w:hAnsi="宋体" w:cs="宋体"/>
          <w:color w:val="000000"/>
          <w:kern w:val="0"/>
          <w:sz w:val="24"/>
        </w:rPr>
      </w:pPr>
    </w:p>
    <w:tbl>
      <w:tblPr>
        <w:tblStyle w:val="7"/>
        <w:tblW w:w="9450" w:type="dxa"/>
        <w:jc w:val="center"/>
        <w:tblInd w:w="0" w:type="dxa"/>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
      <w:tblGrid>
        <w:gridCol w:w="7275"/>
        <w:gridCol w:w="712"/>
        <w:gridCol w:w="1463"/>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b/>
                <w:bCs/>
                <w:kern w:val="0"/>
                <w:sz w:val="24"/>
              </w:rPr>
              <w:t>统　计　指　标</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b/>
                <w:bCs/>
                <w:kern w:val="0"/>
                <w:sz w:val="24"/>
              </w:rPr>
              <w:t>单位</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b/>
                <w:bCs/>
                <w:kern w:val="0"/>
                <w:sz w:val="24"/>
              </w:rPr>
              <w:t>统计数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一、主动公开情况</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w:t>
            </w:r>
          </w:p>
        </w:tc>
        <w:tc>
          <w:tcPr>
            <w:tcW w:w="1463" w:type="dxa"/>
            <w:tcBorders>
              <w:top w:val="outset" w:color="000000" w:sz="6" w:space="0"/>
              <w:left w:val="outset" w:color="000000" w:sz="6" w:space="0"/>
              <w:bottom w:val="outset" w:color="000000" w:sz="6" w:space="0"/>
              <w:right w:val="outset" w:color="000000" w:sz="6" w:space="0"/>
            </w:tcBorders>
            <w:vAlign w:val="center"/>
          </w:tcPr>
          <w:p>
            <w:pPr>
              <w:jc w:val="center"/>
              <w:rPr>
                <w:rFonts w:ascii="仿宋_GB2312" w:hAnsi="仿宋_GB2312" w:eastAsia="仿宋_GB2312" w:cs="仿宋_GB2312"/>
                <w:color w:val="FF0000"/>
                <w:kern w:val="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（一）主动公开政府信息数</w:t>
            </w:r>
            <w:r>
              <w:rPr>
                <w:rFonts w:hint="eastAsia" w:ascii="仿宋_GB2312" w:hAnsi="仿宋_GB2312" w:eastAsia="仿宋_GB2312" w:cs="仿宋_GB2312"/>
                <w:kern w:val="0"/>
                <w:sz w:val="24"/>
              </w:rPr>
              <w:br w:type="textWrapping"/>
            </w:r>
            <w:r>
              <w:rPr>
                <w:rFonts w:hint="eastAsia" w:ascii="仿宋_GB2312" w:hAnsi="仿宋_GB2312" w:eastAsia="仿宋_GB2312" w:cs="仿宋_GB2312"/>
                <w:kern w:val="0"/>
                <w:sz w:val="24"/>
              </w:rPr>
              <w:t>　　　　（不同渠道和方式公开相同信息计1条）</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条</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37353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其中：主动公开规范性文件数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条</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66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制发规范性文件总数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66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（二）通过不同渠道和方式公开政府信息的情况</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1.政府公报公开政府信息数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条</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42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2.政府网站公开政府信息数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条</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33196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ind w:firstLine="1180" w:firstLineChars="50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3.政务微博公开政府信息数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条</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13026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ind w:firstLine="1180" w:firstLineChars="50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4.政务微信公开政府信息数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条</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6194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5.其他方式公开政府信息数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条</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1250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600" w:hRule="atLeast"/>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二、回应解读情况</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w:t>
            </w:r>
          </w:p>
        </w:tc>
        <w:tc>
          <w:tcPr>
            <w:tcW w:w="1463" w:type="dxa"/>
            <w:tcBorders>
              <w:top w:val="single" w:color="auto" w:sz="0" w:space="0"/>
              <w:left w:val="single" w:color="auto" w:sz="0" w:space="0"/>
              <w:bottom w:val="single" w:color="auto" w:sz="0" w:space="0"/>
              <w:right w:val="single" w:color="auto" w:sz="0" w:space="0"/>
            </w:tcBorders>
            <w:vAlign w:val="center"/>
          </w:tcPr>
          <w:p>
            <w:pPr>
              <w:widowControl/>
              <w:jc w:val="center"/>
              <w:textAlignment w:val="center"/>
              <w:rPr>
                <w:rFonts w:ascii="仿宋_GB2312" w:hAnsi="仿宋_GB2312" w:eastAsia="仿宋_GB2312" w:cs="仿宋_GB2312"/>
                <w:color w:val="FF0000"/>
                <w:kern w:val="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1020" w:hRule="atLeast"/>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（一）回应公众关注热点或重大舆情数</w:t>
            </w:r>
            <w:r>
              <w:rPr>
                <w:rFonts w:hint="eastAsia" w:ascii="仿宋_GB2312" w:hAnsi="仿宋_GB2312" w:eastAsia="仿宋_GB2312" w:cs="仿宋_GB2312"/>
                <w:kern w:val="0"/>
                <w:sz w:val="24"/>
              </w:rPr>
              <w:br w:type="textWrapping"/>
            </w:r>
            <w:r>
              <w:rPr>
                <w:rFonts w:hint="eastAsia" w:ascii="仿宋_GB2312" w:hAnsi="仿宋_GB2312" w:eastAsia="仿宋_GB2312" w:cs="仿宋_GB2312"/>
                <w:kern w:val="0"/>
                <w:sz w:val="24"/>
              </w:rPr>
              <w:t>　　　　 （不同方式回应同一热点或舆情计1次）</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次</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219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（二）通过不同渠道和方式回应解读的情况</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1.参加或举办新闻发布会总次数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次</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29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其中：主要负责同志参加新闻发布会次数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次</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11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2.政府网站在线访谈次数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次</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其中：主要负责同志参加政府网站在线访谈次数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次</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3.政策解读稿件发布数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篇</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86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4.微博微信回应事件数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次</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342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5.其他方式回应事件数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次</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623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三、依申请公开情况</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w:t>
            </w:r>
          </w:p>
        </w:tc>
        <w:tc>
          <w:tcPr>
            <w:tcW w:w="1463" w:type="dxa"/>
            <w:tcBorders>
              <w:top w:val="single" w:color="auto" w:sz="0" w:space="0"/>
              <w:left w:val="single" w:color="auto" w:sz="0" w:space="0"/>
              <w:bottom w:val="single" w:color="auto" w:sz="0" w:space="0"/>
              <w:right w:val="single" w:color="auto" w:sz="0" w:space="0"/>
            </w:tcBorders>
            <w:shd w:val="clear" w:color="auto" w:fill="auto"/>
            <w:vAlign w:val="center"/>
          </w:tcPr>
          <w:p>
            <w:pPr>
              <w:widowControl/>
              <w:jc w:val="center"/>
              <w:textAlignment w:val="center"/>
              <w:rPr>
                <w:rFonts w:hint="eastAsia" w:ascii="宋体" w:hAnsi="宋体" w:cs="宋体"/>
                <w:color w:val="auto"/>
                <w:kern w:val="0"/>
                <w:sz w:val="22"/>
                <w:szCs w:val="22"/>
                <w:lang w:bidi="ar"/>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（一）收到申请数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shd w:val="clear" w:color="auto" w:fill="auto"/>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244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1.当面申请数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138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2.传真申请数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3.网络申请数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11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4.信函申请数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95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（二）申请办结数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shd w:val="clear" w:color="auto" w:fill="auto"/>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244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1.按时办结数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243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2.延期办结数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（三）申请答复数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shd w:val="clear" w:color="auto" w:fill="auto"/>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244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1.属于已主动公开范围数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2.同意公开答复数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128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3.同意部分公开答复数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24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4.不同意公开答复数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19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其中：涉及国家秘密</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涉及商业秘密</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涉及个人隐私</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危及国家安全、公共安全、经济安全和社会稳定</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不是《条例》所指政府信息</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14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20" w:hRule="atLeast"/>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法律法规规定的其他情形</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20" w:hRule="atLeast"/>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5.不属于本行政机关公开数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6.申请信息不存在数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55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7.告知作出更改补充数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8.告知通过其他途径办理数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四、行政复议数量</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（一）维持具体行政行为数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1"/>
                <w:szCs w:val="21"/>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（二）被依法纠错数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1"/>
                <w:szCs w:val="21"/>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（三）其他情形数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1"/>
                <w:szCs w:val="21"/>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五、行政诉讼数量</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（一）维持具体行政行为或者驳回原告诉讼请求数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（二）被依法纠错数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（三）其他情形数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六、举报投诉数量</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件</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七、依申请公开信息收取的费用</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八、机构建设和保障经费情况</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（一）政府信息公开工作专门机构数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个</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63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（二）设置政府信息公开查阅点数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个</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17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（三）从事政府信息公开工作人员数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184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1.专职人员数（不包括政府公报及政府网站工作人员数）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40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2.兼职人员数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144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（四）政府信息公开专项经费（不包括用于政府公报编辑管理及政府网站建设维护等方面的经费）</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85.4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九、政府信息公开会议和培训情况</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54" w:hRule="atLeast"/>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（一）召开政府信息公开工作会议或专题会议数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次</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119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（二）举办各类培训班数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次</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54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7275"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　　（三）接受培训人员数</w:t>
            </w:r>
          </w:p>
        </w:tc>
        <w:tc>
          <w:tcPr>
            <w:tcW w:w="712" w:type="dxa"/>
            <w:tcBorders>
              <w:top w:val="outset" w:color="000000" w:sz="6" w:space="0"/>
              <w:left w:val="outset" w:color="000000" w:sz="6" w:space="0"/>
              <w:bottom w:val="outset" w:color="000000" w:sz="6" w:space="0"/>
              <w:right w:val="outset" w:color="000000" w:sz="6" w:space="0"/>
            </w:tcBorders>
            <w:vAlign w:val="center"/>
          </w:tcPr>
          <w:p>
            <w:pPr>
              <w:widowControl/>
              <w:snapToGrid w:val="0"/>
              <w:spacing w:line="324" w:lineRule="auto"/>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人次</w:t>
            </w:r>
          </w:p>
        </w:tc>
        <w:tc>
          <w:tcPr>
            <w:tcW w:w="1463" w:type="dxa"/>
            <w:tcBorders>
              <w:top w:val="outset" w:color="000000" w:sz="6" w:space="0"/>
              <w:left w:val="outset" w:color="000000" w:sz="6" w:space="0"/>
              <w:bottom w:val="outset" w:color="000000" w:sz="6" w:space="0"/>
              <w:right w:val="outset" w:color="000000" w:sz="6" w:space="0"/>
            </w:tcBorders>
            <w:vAlign w:val="center"/>
          </w:tcPr>
          <w:p>
            <w:pPr>
              <w:widowControl/>
              <w:jc w:val="center"/>
              <w:textAlignment w:val="center"/>
              <w:rPr>
                <w:rFonts w:ascii="仿宋_GB2312" w:hAnsi="仿宋_GB2312" w:eastAsia="仿宋_GB2312" w:cs="仿宋_GB2312"/>
                <w:color w:val="FF0000"/>
                <w:kern w:val="0"/>
                <w:sz w:val="24"/>
              </w:rPr>
            </w:pPr>
            <w:r>
              <w:rPr>
                <w:rFonts w:hint="eastAsia" w:ascii="宋体" w:hAnsi="宋体" w:cs="宋体"/>
                <w:color w:val="000000"/>
                <w:kern w:val="0"/>
                <w:sz w:val="22"/>
                <w:szCs w:val="22"/>
                <w:lang w:bidi="ar"/>
              </w:rPr>
              <w:t>2330</w:t>
            </w:r>
          </w:p>
        </w:tc>
      </w:tr>
    </w:tbl>
    <w:p>
      <w:pPr>
        <w:widowControl/>
        <w:snapToGrid w:val="0"/>
        <w:spacing w:line="324" w:lineRule="auto"/>
        <w:ind w:firstLine="432" w:firstLineChars="200"/>
        <w:jc w:val="left"/>
        <w:rPr>
          <w:rFonts w:ascii="仿宋_GB2312" w:hAnsi="仿宋_GB2312" w:eastAsia="仿宋_GB2312" w:cs="仿宋_GB2312"/>
          <w:color w:val="000000"/>
          <w:kern w:val="0"/>
          <w:sz w:val="22"/>
          <w:szCs w:val="22"/>
        </w:rPr>
      </w:pPr>
    </w:p>
    <w:p>
      <w:pPr>
        <w:widowControl/>
        <w:snapToGrid w:val="0"/>
        <w:spacing w:line="324" w:lineRule="auto"/>
        <w:ind w:firstLine="432" w:firstLineChars="200"/>
        <w:jc w:val="left"/>
        <w:rPr>
          <w:rFonts w:ascii="仿宋_GB2312" w:hAnsi="仿宋_GB2312" w:eastAsia="仿宋_GB2312" w:cs="仿宋_GB2312"/>
          <w:color w:val="000000"/>
          <w:kern w:val="0"/>
          <w:sz w:val="22"/>
          <w:szCs w:val="22"/>
        </w:rPr>
      </w:pPr>
    </w:p>
    <w:p>
      <w:pPr>
        <w:widowControl/>
        <w:snapToGrid w:val="0"/>
        <w:spacing w:line="324" w:lineRule="auto"/>
        <w:ind w:firstLine="392" w:firstLineChars="200"/>
        <w:jc w:val="left"/>
        <w:rPr>
          <w:rFonts w:ascii="宋体" w:hAnsi="宋体" w:cs="宋体"/>
          <w:color w:val="000000"/>
          <w:kern w:val="0"/>
          <w:sz w:val="20"/>
        </w:rPr>
      </w:pPr>
    </w:p>
    <w:p/>
    <w:sectPr>
      <w:footerReference r:id="rId3" w:type="default"/>
      <w:footerReference r:id="rId4" w:type="even"/>
      <w:pgSz w:w="11906" w:h="16838"/>
      <w:pgMar w:top="2098" w:right="1531" w:bottom="1985" w:left="1531" w:header="851" w:footer="1559" w:gutter="0"/>
      <w:cols w:space="425"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Arial"/>
    <w:panose1 w:val="02070309020205020404"/>
    <w:charset w:val="01"/>
    <w:family w:val="modern"/>
    <w:pitch w:val="default"/>
    <w:sig w:usb0="E0002AFF" w:usb1="C0007843" w:usb2="00000009" w:usb3="00000000" w:csb0="400001FF" w:csb1="FFFF0000"/>
  </w:font>
  <w:font w:name="Symbol">
    <w:altName w:val="Bookshelf Symbol 7"/>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Simplified Arabic Fixed">
    <w:panose1 w:val="02070309020205020404"/>
    <w:charset w:val="00"/>
    <w:family w:val="auto"/>
    <w:pitch w:val="default"/>
    <w:sig w:usb0="00002003" w:usb1="00000000" w:usb2="00000000" w:usb3="00000000" w:csb0="00000041" w:csb1="20080000"/>
  </w:font>
  <w:font w:name="Arial">
    <w:panose1 w:val="020B0604020202020204"/>
    <w:charset w:val="00"/>
    <w:family w:val="auto"/>
    <w:pitch w:val="default"/>
    <w:sig w:usb0="E0002AFF" w:usb1="C0007843" w:usb2="00000009" w:usb3="00000000" w:csb0="400001FF" w:csb1="FFFF0000"/>
  </w:font>
  <w:font w:name="Bookshelf Symbol 7">
    <w:panose1 w:val="05010101010101010101"/>
    <w:charset w:val="00"/>
    <w:family w:val="auto"/>
    <w:pitch w:val="default"/>
    <w:sig w:usb0="00000000" w:usb1="00000000" w:usb2="00000000" w:usb3="00000000" w:csb0="80000000" w:csb1="00000000"/>
  </w:font>
  <w:font w:name="Arial Rounded MT Bold">
    <w:panose1 w:val="020F0704030504030204"/>
    <w:charset w:val="00"/>
    <w:family w:val="auto"/>
    <w:pitch w:val="default"/>
    <w:sig w:usb0="00000003" w:usb1="00000000" w:usb2="00000000" w:usb3="00000000" w:csb0="20000001" w:csb1="00000000"/>
  </w:font>
  <w:font w:name="Verdana">
    <w:altName w:val="Microsoft JhengHei UI"/>
    <w:panose1 w:val="020B0604030504040204"/>
    <w:charset w:val="00"/>
    <w:family w:val="swiss"/>
    <w:pitch w:val="default"/>
    <w:sig w:usb0="00000000" w:usb1="00000000" w:usb2="00000010" w:usb3="00000000" w:csb0="0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ˎ̥">
    <w:altName w:val="Simplified Arabic Fixed"/>
    <w:panose1 w:val="00000000000000000000"/>
    <w:charset w:val="00"/>
    <w:family w:val="roman"/>
    <w:pitch w:val="default"/>
    <w:sig w:usb0="00000000" w:usb1="00000000" w:usb2="00000000" w:usb3="00000000" w:csb0="00000000" w:csb1="00000000"/>
  </w:font>
  <w:font w:name="方正仿宋_GBK">
    <w:altName w:val="微软雅黑"/>
    <w:panose1 w:val="00000000000000000000"/>
    <w:charset w:val="00"/>
    <w:family w:val="auto"/>
    <w:pitch w:val="default"/>
    <w:sig w:usb0="00000000" w:usb1="00000000" w:usb2="00000000" w:usb3="00000000" w:csb0="00040001" w:csb1="00000000"/>
  </w:font>
  <w:font w:name="Microsoft JhengHei UI">
    <w:panose1 w:val="020B0604030504040204"/>
    <w:charset w:val="88"/>
    <w:family w:val="auto"/>
    <w:pitch w:val="default"/>
    <w:sig w:usb0="00000087" w:usb1="28AF4000" w:usb2="00000016" w:usb3="00000000" w:csb0="00100009"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ind w:left="320" w:leftChars="100" w:right="320" w:rightChars="100"/>
      <w:rPr>
        <w:rStyle w:val="6"/>
        <w:rFonts w:ascii="仿宋_GB2312" w:eastAsia="仿宋_GB2312"/>
        <w:sz w:val="28"/>
        <w:szCs w:val="28"/>
      </w:rPr>
    </w:pPr>
    <w:r>
      <w:rPr>
        <w:rStyle w:val="6"/>
        <w:rFonts w:hint="eastAsia" w:ascii="仿宋_GB2312" w:eastAsia="仿宋_GB2312"/>
        <w:sz w:val="28"/>
        <w:szCs w:val="28"/>
      </w:rPr>
      <w:t xml:space="preserve">— </w:t>
    </w:r>
    <w:r>
      <w:rPr>
        <w:rStyle w:val="6"/>
        <w:rFonts w:hint="eastAsia" w:ascii="仿宋_GB2312" w:eastAsia="仿宋_GB2312"/>
        <w:sz w:val="28"/>
        <w:szCs w:val="28"/>
      </w:rPr>
      <w:fldChar w:fldCharType="begin"/>
    </w:r>
    <w:r>
      <w:rPr>
        <w:rStyle w:val="6"/>
        <w:rFonts w:hint="eastAsia" w:ascii="仿宋_GB2312" w:eastAsia="仿宋_GB2312"/>
        <w:sz w:val="28"/>
        <w:szCs w:val="28"/>
      </w:rPr>
      <w:instrText xml:space="preserve">PAGE  </w:instrText>
    </w:r>
    <w:r>
      <w:rPr>
        <w:rStyle w:val="6"/>
        <w:rFonts w:hint="eastAsia" w:ascii="仿宋_GB2312" w:eastAsia="仿宋_GB2312"/>
        <w:sz w:val="28"/>
        <w:szCs w:val="28"/>
      </w:rPr>
      <w:fldChar w:fldCharType="separate"/>
    </w:r>
    <w:r>
      <w:rPr>
        <w:rStyle w:val="6"/>
        <w:rFonts w:ascii="仿宋_GB2312" w:eastAsia="仿宋_GB2312"/>
        <w:sz w:val="28"/>
        <w:szCs w:val="28"/>
      </w:rPr>
      <w:t>7</w:t>
    </w:r>
    <w:r>
      <w:rPr>
        <w:rStyle w:val="6"/>
        <w:rFonts w:hint="eastAsia" w:ascii="仿宋_GB2312" w:eastAsia="仿宋_GB2312"/>
        <w:sz w:val="28"/>
        <w:szCs w:val="28"/>
      </w:rPr>
      <w:fldChar w:fldCharType="end"/>
    </w:r>
    <w:r>
      <w:rPr>
        <w:rStyle w:val="6"/>
        <w:rFonts w:hint="eastAsia" w:ascii="仿宋_GB2312" w:eastAsia="仿宋_GB2312"/>
        <w:sz w:val="28"/>
        <w:szCs w:val="28"/>
      </w:rPr>
      <w:t xml:space="preserve"> —</w:t>
    </w:r>
  </w:p>
  <w:p>
    <w:pPr>
      <w:pStyle w:val="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6"/>
      </w:rPr>
    </w:pPr>
    <w:r>
      <w:rPr>
        <w:rStyle w:val="6"/>
      </w:rPr>
      <w:fldChar w:fldCharType="begin"/>
    </w:r>
    <w:r>
      <w:rPr>
        <w:rStyle w:val="6"/>
      </w:rPr>
      <w:instrText xml:space="preserve">PAGE  </w:instrText>
    </w:r>
    <w:r>
      <w:rPr>
        <w:rStyle w:val="6"/>
      </w:rPr>
      <w:fldChar w:fldCharType="end"/>
    </w:r>
  </w:p>
  <w:p>
    <w:pPr>
      <w:pStyle w:val="2"/>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7F6B01"/>
    <w:multiLevelType w:val="singleLevel"/>
    <w:tmpl w:val="537F6B0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F08"/>
    <w:rsid w:val="00017113"/>
    <w:rsid w:val="00084144"/>
    <w:rsid w:val="000B5422"/>
    <w:rsid w:val="0012693D"/>
    <w:rsid w:val="001A4F2F"/>
    <w:rsid w:val="003268F2"/>
    <w:rsid w:val="00396ACA"/>
    <w:rsid w:val="00407B2C"/>
    <w:rsid w:val="004F6487"/>
    <w:rsid w:val="00500845"/>
    <w:rsid w:val="00551CEA"/>
    <w:rsid w:val="00555635"/>
    <w:rsid w:val="0058585F"/>
    <w:rsid w:val="005A39E6"/>
    <w:rsid w:val="00634E57"/>
    <w:rsid w:val="007618C1"/>
    <w:rsid w:val="00774E72"/>
    <w:rsid w:val="007D10D2"/>
    <w:rsid w:val="00853152"/>
    <w:rsid w:val="008C1BD8"/>
    <w:rsid w:val="008D3CEA"/>
    <w:rsid w:val="008F4625"/>
    <w:rsid w:val="00955977"/>
    <w:rsid w:val="009D4E67"/>
    <w:rsid w:val="00A67BAA"/>
    <w:rsid w:val="00AA3DD7"/>
    <w:rsid w:val="00B74F7C"/>
    <w:rsid w:val="00B82F08"/>
    <w:rsid w:val="00C67964"/>
    <w:rsid w:val="00C701E9"/>
    <w:rsid w:val="00C83DEF"/>
    <w:rsid w:val="00C97A2C"/>
    <w:rsid w:val="00D166A3"/>
    <w:rsid w:val="00D427BA"/>
    <w:rsid w:val="00E178F2"/>
    <w:rsid w:val="00E435F2"/>
    <w:rsid w:val="00E61FDD"/>
    <w:rsid w:val="00E96BBF"/>
    <w:rsid w:val="00EA3ACC"/>
    <w:rsid w:val="00F12259"/>
    <w:rsid w:val="00F67434"/>
    <w:rsid w:val="00F77B85"/>
    <w:rsid w:val="00FE2A2E"/>
    <w:rsid w:val="086C4E3D"/>
    <w:rsid w:val="1BC637E7"/>
    <w:rsid w:val="30E20599"/>
    <w:rsid w:val="443E6E6C"/>
    <w:rsid w:val="46B8431B"/>
    <w:rsid w:val="56556626"/>
    <w:rsid w:val="604127F4"/>
    <w:rsid w:val="6A256A65"/>
    <w:rsid w:val="6D1F3FAD"/>
    <w:rsid w:val="6DB7213C"/>
    <w:rsid w:val="6F0578E0"/>
    <w:rsid w:val="78A85260"/>
    <w:rsid w:val="78B74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32"/>
      <w:szCs w:val="24"/>
      <w:lang w:val="en-US" w:eastAsia="zh-CN" w:bidi="ar-SA"/>
    </w:rPr>
  </w:style>
  <w:style w:type="character" w:default="1" w:styleId="5">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6">
    <w:name w:val="page number"/>
    <w:basedOn w:val="5"/>
    <w:qFormat/>
    <w:uiPriority w:val="0"/>
  </w:style>
  <w:style w:type="character" w:customStyle="1" w:styleId="8">
    <w:name w:val="页脚 Char"/>
    <w:basedOn w:val="5"/>
    <w:link w:val="2"/>
    <w:qFormat/>
    <w:uiPriority w:val="0"/>
    <w:rPr>
      <w:rFonts w:ascii="Times New Roman" w:hAnsi="Times New Roman" w:eastAsia="宋体" w:cs="Times New Roman"/>
      <w:sz w:val="18"/>
      <w:szCs w:val="18"/>
    </w:rPr>
  </w:style>
  <w:style w:type="paragraph" w:customStyle="1" w:styleId="9">
    <w:name w:val="Char Char"/>
    <w:basedOn w:val="1"/>
    <w:qFormat/>
    <w:uiPriority w:val="0"/>
    <w:pPr>
      <w:widowControl/>
      <w:spacing w:after="160" w:line="240" w:lineRule="exact"/>
      <w:jc w:val="left"/>
    </w:pPr>
    <w:rPr>
      <w:rFonts w:ascii="Verdana" w:hAnsi="Verdana" w:eastAsia="仿宋_GB2312" w:cs="Verdana"/>
      <w:kern w:val="0"/>
      <w:sz w:val="24"/>
      <w:lang w:eastAsia="en-US"/>
    </w:rPr>
  </w:style>
  <w:style w:type="paragraph" w:customStyle="1" w:styleId="10">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11">
    <w:name w:val="页眉 Char"/>
    <w:basedOn w:val="5"/>
    <w:link w:val="3"/>
    <w:qFormat/>
    <w:uiPriority w:val="99"/>
    <w:rPr>
      <w:rFonts w:ascii="Times New Roman" w:hAnsi="Times New Roman" w:eastAsia="宋体" w:cs="Times New Roman"/>
      <w:sz w:val="18"/>
      <w:szCs w:val="18"/>
    </w:rPr>
  </w:style>
  <w:style w:type="paragraph" w:customStyle="1" w:styleId="12">
    <w:name w:val="二级标题"/>
    <w:basedOn w:val="1"/>
    <w:link w:val="13"/>
    <w:qFormat/>
    <w:uiPriority w:val="99"/>
    <w:pPr>
      <w:ind w:firstLine="200" w:firstLineChars="200"/>
    </w:pPr>
    <w:rPr>
      <w:rFonts w:ascii="楷体_GB2312" w:hAnsi="仿宋" w:eastAsia="楷体_GB2312" w:cs="楷体_GB2312"/>
      <w:szCs w:val="32"/>
    </w:rPr>
  </w:style>
  <w:style w:type="character" w:customStyle="1" w:styleId="13">
    <w:name w:val="二级标题 Char"/>
    <w:link w:val="12"/>
    <w:qFormat/>
    <w:locked/>
    <w:uiPriority w:val="99"/>
    <w:rPr>
      <w:rFonts w:ascii="楷体_GB2312" w:hAnsi="仿宋" w:eastAsia="楷体_GB2312" w:cs="楷体_GB231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0"/>
              <c:layout>
                <c:manualLayout>
                  <c:x val="0.0028735632183908"/>
                  <c:y val="-0.0938095238095238"/>
                </c:manualLayout>
              </c:layout>
              <c:dLblPos val="in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892857142857143"/>
                </c:manualLayout>
              </c:layout>
              <c:dLblPos val="in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49047619047619"/>
                </c:manualLayout>
              </c:layout>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50000"/>
                        <a:lumOff val="50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当面申请数</c:v>
                </c:pt>
                <c:pt idx="1">
                  <c:v>信函申请数</c:v>
                </c:pt>
                <c:pt idx="2">
                  <c:v>网络申请数</c:v>
                </c:pt>
                <c:pt idx="3">
                  <c:v>传真申请数</c:v>
                </c:pt>
              </c:strCache>
            </c:strRef>
          </c:cat>
          <c:val>
            <c:numRef>
              <c:f>Sheet1!$B$2:$B$5</c:f>
              <c:numCache>
                <c:formatCode>General</c:formatCode>
                <c:ptCount val="4"/>
                <c:pt idx="0">
                  <c:v>138</c:v>
                </c:pt>
                <c:pt idx="1">
                  <c:v>95</c:v>
                </c:pt>
                <c:pt idx="2">
                  <c:v>11</c:v>
                </c:pt>
                <c:pt idx="3">
                  <c:v>0</c:v>
                </c:pt>
              </c:numCache>
            </c:numRef>
          </c:val>
        </c:ser>
        <c:dLbls>
          <c:showLegendKey val="0"/>
          <c:showVal val="1"/>
          <c:showCatName val="0"/>
          <c:showSerName val="0"/>
          <c:showPercent val="0"/>
          <c:showBubbleSize val="0"/>
        </c:dLbls>
        <c:gapWidth val="100"/>
        <c:overlap val="-24"/>
        <c:axId val="355987840"/>
        <c:axId val="355989376"/>
      </c:barChart>
      <c:catAx>
        <c:axId val="355987840"/>
        <c:scaling>
          <c:orientation val="minMax"/>
        </c:scaling>
        <c:delete val="0"/>
        <c:axPos val="b"/>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crossAx val="355989376"/>
        <c:crosses val="autoZero"/>
        <c:auto val="0"/>
        <c:lblAlgn val="ctr"/>
        <c:lblOffset val="100"/>
        <c:noMultiLvlLbl val="0"/>
      </c:catAx>
      <c:valAx>
        <c:axId val="35598937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crossAx val="355987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687</Words>
  <Characters>3918</Characters>
  <Lines>32</Lines>
  <Paragraphs>9</Paragraphs>
  <ScaleCrop>false</ScaleCrop>
  <LinksUpToDate>false</LinksUpToDate>
  <CharactersWithSpaces>4596</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2018-01-15T06:17:00Z</dcterms:created>
  <dc:creator>Microsoft 帐户</dc:creator>
  <cp:lastModifiedBy>小阿柑</cp:lastModifiedBy>
  <cp:lastPrinted>2018-01-15T06:54:00Z</cp:lastPrinted>
  <dcterms:modified xsi:type="dcterms:W3CDTF">2018-03-08T02:01:35Z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