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95" w:rsidRDefault="00595C9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595C95" w:rsidRPr="00257DE9" w:rsidRDefault="005D6CF8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257DE9">
        <w:rPr>
          <w:rFonts w:ascii="方正小标宋简体" w:eastAsia="方正小标宋简体" w:hAnsi="宋体" w:cs="宋体" w:hint="eastAsia"/>
          <w:bCs/>
          <w:sz w:val="44"/>
          <w:szCs w:val="44"/>
        </w:rPr>
        <w:t>温州市公立医院医疗服务价格市县统筹</w:t>
      </w:r>
    </w:p>
    <w:p w:rsidR="00595C95" w:rsidRPr="00257DE9" w:rsidRDefault="005D6CF8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257DE9">
        <w:rPr>
          <w:rFonts w:ascii="方正小标宋简体" w:eastAsia="方正小标宋简体" w:hAnsi="宋体" w:cs="宋体" w:hint="eastAsia"/>
          <w:bCs/>
          <w:sz w:val="44"/>
          <w:szCs w:val="44"/>
        </w:rPr>
        <w:t>联动调整方案</w:t>
      </w:r>
    </w:p>
    <w:p w:rsidR="00595C95" w:rsidRDefault="005D6CF8">
      <w:pPr>
        <w:spacing w:line="56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 w:rsidR="00C3607E">
        <w:rPr>
          <w:rFonts w:ascii="楷体" w:eastAsia="楷体" w:hAnsi="楷体" w:cs="楷体" w:hint="eastAsia"/>
          <w:sz w:val="32"/>
          <w:szCs w:val="32"/>
        </w:rPr>
        <w:t>征求意见稿</w:t>
      </w:r>
      <w:r>
        <w:rPr>
          <w:rFonts w:ascii="楷体" w:eastAsia="楷体" w:hAnsi="楷体" w:cs="楷体" w:hint="eastAsia"/>
          <w:sz w:val="32"/>
          <w:szCs w:val="32"/>
        </w:rPr>
        <w:t>）</w:t>
      </w:r>
    </w:p>
    <w:p w:rsidR="00595C95" w:rsidRDefault="00595C95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/>
          <w:sz w:val="21"/>
          <w:szCs w:val="21"/>
        </w:rPr>
      </w:pPr>
    </w:p>
    <w:p w:rsidR="00595C95" w:rsidRDefault="005D6C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24872284"/>
      <w:r>
        <w:rPr>
          <w:rFonts w:ascii="仿宋" w:eastAsia="仿宋" w:hAnsi="仿宋" w:hint="eastAsia"/>
          <w:sz w:val="32"/>
          <w:szCs w:val="32"/>
        </w:rPr>
        <w:t>为抓住开展药品耗材集中采购、取消医用耗材加成等改革窗口期，通过腾笼换鸟的方式，及时相应调整医疗服务价格，进一步推进“三医联动”“六医统筹”，根据国务院办公厅《关于印发治理高值医用耗材改革方案的通知》(国办发〔2019〕37号</w:t>
      </w:r>
      <w:bookmarkEnd w:id="0"/>
      <w:r>
        <w:rPr>
          <w:rFonts w:ascii="仿宋" w:eastAsia="仿宋" w:hAnsi="仿宋" w:hint="eastAsia"/>
          <w:sz w:val="32"/>
          <w:szCs w:val="32"/>
        </w:rPr>
        <w:t>)、国务院深化医药卫生体制改革领导小组《关于进一步推广福建省和三明市深化医药卫生体制改革经验的通知》(国医改发〔2019〕2号)和浙江省医疗保障局、浙江省卫生健康委《关于印发浙江省省级公立医院医疗服务价格改革方案的通知》（浙医保联发〔2019〕8号）等文件精神，结合我市实际，制定本方案。</w:t>
      </w:r>
    </w:p>
    <w:p w:rsidR="00595C95" w:rsidRPr="00257DE9" w:rsidRDefault="005D6CF8" w:rsidP="00257DE9">
      <w:pPr>
        <w:spacing w:line="560" w:lineRule="exact"/>
        <w:ind w:firstLineChars="200" w:firstLine="640"/>
        <w:rPr>
          <w:rFonts w:ascii="黑体" w:eastAsia="黑体" w:hAnsi="黑体"/>
          <w:b/>
          <w:color w:val="000000"/>
          <w:sz w:val="32"/>
          <w:szCs w:val="32"/>
        </w:rPr>
      </w:pPr>
      <w:r w:rsidRPr="00257DE9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一、主要目标</w:t>
      </w:r>
    </w:p>
    <w:p w:rsidR="00595C95" w:rsidRDefault="005D6C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本次医疗服务价格调整，进一步理顺省、市、县医疗服务价格关系，优化医院收入结构，降低药品、医用耗材和检查、检验收入占比，充分体现医务人员劳务价值。在2019年底前实现全部公立医疗机构医用耗材“零差率”销售，高值医用耗材销售价格按采购价格执行的同时，公立医疗机构因取消医用耗材加成而减少的合理收入，主要通过调整医疗服务价格、财政适当补助、做好同医保支付衔接等方式妥善解决。</w:t>
      </w:r>
    </w:p>
    <w:p w:rsidR="00595C95" w:rsidRPr="00257DE9" w:rsidRDefault="005D6CF8" w:rsidP="00257DE9">
      <w:pPr>
        <w:numPr>
          <w:ilvl w:val="0"/>
          <w:numId w:val="1"/>
        </w:numPr>
        <w:spacing w:line="560" w:lineRule="exact"/>
        <w:ind w:firstLineChars="200" w:firstLine="64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 w:rsidRPr="00257DE9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lastRenderedPageBreak/>
        <w:t>基本原则</w:t>
      </w:r>
    </w:p>
    <w:p w:rsidR="00595C95" w:rsidRDefault="005D6CF8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7"/>
          <w:rFonts w:ascii="仿宋" w:eastAsia="仿宋" w:hAnsi="仿宋" w:cs="宋体" w:hint="eastAsia"/>
          <w:color w:val="000000"/>
          <w:kern w:val="0"/>
          <w:sz w:val="32"/>
          <w:szCs w:val="32"/>
        </w:rPr>
        <w:t>（一）坚持总量控制。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省调整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938项</w:t>
      </w:r>
      <w:r>
        <w:rPr>
          <w:rFonts w:ascii="仿宋" w:eastAsia="仿宋" w:hAnsi="仿宋" w:hint="eastAsia"/>
          <w:sz w:val="32"/>
          <w:szCs w:val="32"/>
        </w:rPr>
        <w:t>医疗服务项目范围内，对有3个以上县（市、区）要求调整的项目进行价格调整，</w:t>
      </w:r>
      <w:r w:rsidRPr="008D5BEA">
        <w:rPr>
          <w:rFonts w:ascii="仿宋" w:eastAsia="仿宋" w:hAnsi="仿宋" w:hint="eastAsia"/>
          <w:sz w:val="32"/>
          <w:szCs w:val="32"/>
        </w:rPr>
        <w:t>调增调减</w:t>
      </w:r>
      <w:r>
        <w:rPr>
          <w:rFonts w:ascii="仿宋" w:eastAsia="仿宋" w:hAnsi="仿宋" w:hint="eastAsia"/>
          <w:sz w:val="32"/>
          <w:szCs w:val="32"/>
        </w:rPr>
        <w:t>项目合计为312项（含新增2项）。</w:t>
      </w:r>
    </w:p>
    <w:p w:rsidR="00595C95" w:rsidRDefault="005D6CF8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cs="宋体" w:hint="eastAsia"/>
          <w:color w:val="000000"/>
          <w:kern w:val="0"/>
          <w:sz w:val="32"/>
          <w:szCs w:val="32"/>
        </w:rPr>
        <w:t>（二）坚持结构调整。</w:t>
      </w:r>
      <w:r>
        <w:rPr>
          <w:rFonts w:ascii="仿宋" w:eastAsia="仿宋" w:hAnsi="仿宋" w:hint="eastAsia"/>
          <w:color w:val="000000"/>
          <w:sz w:val="32"/>
          <w:szCs w:val="32"/>
        </w:rPr>
        <w:t>执行医用耗材零差率，并</w:t>
      </w:r>
      <w:r>
        <w:rPr>
          <w:rFonts w:ascii="仿宋" w:eastAsia="仿宋" w:hAnsi="仿宋" w:hint="eastAsia"/>
          <w:sz w:val="32"/>
          <w:szCs w:val="32"/>
        </w:rPr>
        <w:t>建立资金池和考核机制，严格控制医药费用增长，确保医保基金可承</w:t>
      </w:r>
      <w:r>
        <w:rPr>
          <w:rFonts w:ascii="仿宋" w:eastAsia="仿宋" w:hAnsi="仿宋" w:hint="eastAsia"/>
          <w:color w:val="000000"/>
          <w:sz w:val="32"/>
          <w:szCs w:val="32"/>
        </w:rPr>
        <w:t>受、群众负担总体不增加。</w:t>
      </w:r>
    </w:p>
    <w:p w:rsidR="00595C95" w:rsidRDefault="005D6CF8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7"/>
          <w:rFonts w:ascii="仿宋" w:eastAsia="仿宋" w:hAnsi="仿宋" w:cs="宋体" w:hint="eastAsia"/>
          <w:color w:val="000000"/>
          <w:kern w:val="0"/>
          <w:sz w:val="32"/>
          <w:szCs w:val="32"/>
        </w:rPr>
        <w:t>（三）坚持有升有降。</w:t>
      </w:r>
      <w:r>
        <w:rPr>
          <w:rFonts w:ascii="仿宋" w:eastAsia="仿宋" w:hAnsi="仿宋" w:hint="eastAsia"/>
          <w:sz w:val="32"/>
          <w:szCs w:val="32"/>
        </w:rPr>
        <w:t>县（市）原项目价格高于市价格的，原则上将市、县（市）价格联动调整至省价格；县（市）原项目价格低于市价格的，统一调整至市价格；市、县（市）原项目价格高于省价格的原则上统一下调至省价格。</w:t>
      </w:r>
    </w:p>
    <w:p w:rsidR="00595C95" w:rsidRDefault="005D6CF8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cs="宋体" w:hint="eastAsia"/>
          <w:color w:val="000000"/>
          <w:kern w:val="0"/>
          <w:sz w:val="32"/>
          <w:szCs w:val="32"/>
        </w:rPr>
        <w:t>（四）坚持逐步到位。</w:t>
      </w:r>
      <w:r>
        <w:rPr>
          <w:rFonts w:ascii="仿宋" w:eastAsia="仿宋" w:hAnsi="仿宋" w:hint="eastAsia"/>
          <w:sz w:val="32"/>
          <w:szCs w:val="32"/>
        </w:rPr>
        <w:t>体现</w:t>
      </w:r>
      <w:r>
        <w:rPr>
          <w:rFonts w:ascii="仿宋" w:eastAsia="仿宋" w:hAnsi="仿宋" w:hint="eastAsia"/>
          <w:color w:val="000000"/>
          <w:sz w:val="32"/>
          <w:szCs w:val="32"/>
        </w:rPr>
        <w:t>循序渐进、分步实施、小步调整要求，通过本次联动调整，进一步理顺全市医疗服务比价关系。</w:t>
      </w:r>
    </w:p>
    <w:p w:rsidR="00595C95" w:rsidRPr="00257DE9" w:rsidRDefault="005D6CF8" w:rsidP="00257DE9">
      <w:pPr>
        <w:spacing w:line="560" w:lineRule="exact"/>
        <w:ind w:firstLineChars="200" w:firstLine="640"/>
        <w:rPr>
          <w:rFonts w:ascii="仿宋" w:eastAsia="仿宋" w:hAnsi="仿宋"/>
          <w:b/>
          <w:color w:val="FF0000"/>
          <w:sz w:val="32"/>
          <w:szCs w:val="32"/>
        </w:rPr>
      </w:pPr>
      <w:r w:rsidRPr="00257DE9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三、调整步骤和内容</w:t>
      </w:r>
    </w:p>
    <w:p w:rsidR="00595C95" w:rsidRDefault="005D6CF8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（一）腾出医疗服务价格空间。</w:t>
      </w:r>
      <w:r>
        <w:rPr>
          <w:rFonts w:ascii="仿宋" w:eastAsia="仿宋" w:hAnsi="仿宋" w:hint="eastAsia"/>
          <w:color w:val="000000"/>
          <w:sz w:val="32"/>
          <w:szCs w:val="32"/>
        </w:rPr>
        <w:t>执行取消可单独收费医用耗材加成政策，实行零差率销售；降低部分检验、检查项目价格；适当考虑药品和耗材使用环节空间。</w:t>
      </w:r>
    </w:p>
    <w:p w:rsidR="00595C95" w:rsidRDefault="005D6CF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（二）调整部分医疗服务项目价格。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市县统筹联动调整至浙江省公立医院价格的医疗服务项目共133项，分别是56项综合诊疗类、13项手术费、64项中医类；按照温州市人民政府办公室《关于转发市发改委等部门&lt;温州市公立医院首轮医疗服务价格调整方案&gt;的通知》（温政办〔2018〕106号）相关标准，县（市）调整至温州市公立医院价格的医疗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lastRenderedPageBreak/>
        <w:t>服务项目共98项，分别是9项综合诊疗类、89项手术费；市县统筹联动下调至浙江省公立医院价格的医疗服务项目共79项，分别是47项检查检验费、24项手术费、5项大型设备检查费、3个护理费；新增医疗服务收费项目2项（</w:t>
      </w:r>
      <w:r w:rsidR="00E3257A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详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见附</w:t>
      </w:r>
      <w:r w:rsidR="00E3257A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件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）。</w:t>
      </w:r>
    </w:p>
    <w:p w:rsidR="00595C95" w:rsidRDefault="005D6CF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（三）理顺儿童医疗服务项目价格。</w:t>
      </w:r>
      <w:r>
        <w:rPr>
          <w:rFonts w:ascii="仿宋" w:eastAsia="仿宋" w:hAnsi="仿宋" w:hint="eastAsia"/>
          <w:color w:val="000000"/>
          <w:sz w:val="32"/>
          <w:szCs w:val="32"/>
        </w:rPr>
        <w:t>落实《关于调整儿童医疗服务项目价格的通知》（</w:t>
      </w:r>
      <w:r w:rsidR="008D5BEA">
        <w:rPr>
          <w:rFonts w:ascii="仿宋" w:eastAsia="仿宋" w:hAnsi="仿宋" w:hint="eastAsia"/>
          <w:color w:val="000000"/>
          <w:sz w:val="32"/>
          <w:szCs w:val="32"/>
        </w:rPr>
        <w:t>温发改费</w:t>
      </w:r>
      <w:r>
        <w:rPr>
          <w:rFonts w:ascii="仿宋" w:eastAsia="仿宋" w:hAnsi="仿宋" w:hint="eastAsia"/>
          <w:color w:val="000000"/>
          <w:sz w:val="32"/>
          <w:szCs w:val="32"/>
        </w:rPr>
        <w:t>〔2017〕</w:t>
      </w:r>
      <w:r w:rsidR="008D5BEA">
        <w:rPr>
          <w:rFonts w:ascii="仿宋" w:eastAsia="仿宋" w:hAnsi="仿宋" w:hint="eastAsia"/>
          <w:color w:val="000000"/>
          <w:sz w:val="32"/>
          <w:szCs w:val="32"/>
        </w:rPr>
        <w:t>157</w:t>
      </w:r>
      <w:r>
        <w:rPr>
          <w:rFonts w:ascii="仿宋" w:eastAsia="仿宋" w:hAnsi="仿宋" w:hint="eastAsia"/>
          <w:color w:val="000000"/>
          <w:sz w:val="32"/>
          <w:szCs w:val="32"/>
        </w:rPr>
        <w:t>号）文件要求，医疗服务项目中涉及综合医疗服务类中的“一般检查治疗项目”、临床诊疗类中的“有创活检和探查项目”和“临床手术类项目”、“部分中医及民族医诊疗类项目”，对6周岁及以下儿童按在上述调整后的项目价格基础上加收30%执行。</w:t>
      </w:r>
    </w:p>
    <w:p w:rsidR="00595C95" w:rsidRPr="00257DE9" w:rsidRDefault="005D6CF8" w:rsidP="00257DE9">
      <w:pPr>
        <w:spacing w:line="560" w:lineRule="exact"/>
        <w:ind w:firstLineChars="200" w:firstLine="64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 w:rsidRPr="00257DE9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四、实施范围和时间</w:t>
      </w:r>
    </w:p>
    <w:p w:rsidR="00595C95" w:rsidRDefault="005D6CF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在温州市开展医疗服务的公立医院，从2019年12月30日起施行。</w:t>
      </w:r>
      <w:r w:rsidR="0046417E">
        <w:rPr>
          <w:rFonts w:ascii="仿宋" w:eastAsia="仿宋" w:hAnsi="仿宋" w:cs="仿宋_GB2312" w:hint="eastAsia"/>
          <w:color w:val="000000"/>
          <w:sz w:val="32"/>
          <w:szCs w:val="32"/>
        </w:rPr>
        <w:t>军</w:t>
      </w:r>
      <w:r w:rsidRPr="0018510C">
        <w:rPr>
          <w:rFonts w:ascii="仿宋" w:eastAsia="仿宋" w:hAnsi="仿宋" w:cs="仿宋_GB2312" w:hint="eastAsia"/>
          <w:color w:val="000000"/>
          <w:sz w:val="32"/>
          <w:szCs w:val="32"/>
        </w:rPr>
        <w:t>队医院</w:t>
      </w:r>
      <w:r w:rsidR="0018510C">
        <w:rPr>
          <w:rFonts w:ascii="仿宋" w:eastAsia="仿宋" w:hAnsi="仿宋" w:cs="仿宋_GB2312" w:hint="eastAsia"/>
          <w:color w:val="000000"/>
          <w:sz w:val="32"/>
          <w:szCs w:val="32"/>
        </w:rPr>
        <w:t>在执行与公立医院相同的药品、耗材采购和销售政策的基础上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18510C">
        <w:rPr>
          <w:rFonts w:ascii="仿宋" w:eastAsia="仿宋" w:hAnsi="仿宋" w:cs="仿宋_GB2312" w:hint="eastAsia"/>
          <w:color w:val="000000"/>
          <w:sz w:val="32"/>
          <w:szCs w:val="32"/>
        </w:rPr>
        <w:t>可同步执行所在地公立医院医疗服务价格和医保支付政策。</w:t>
      </w:r>
    </w:p>
    <w:p w:rsidR="00595C95" w:rsidRPr="00257DE9" w:rsidRDefault="005D6CF8" w:rsidP="00257DE9">
      <w:pPr>
        <w:spacing w:line="560" w:lineRule="exact"/>
        <w:ind w:firstLineChars="200" w:firstLine="64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 w:rsidRPr="00257DE9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五、保障措施</w:t>
      </w:r>
    </w:p>
    <w:p w:rsidR="00595C95" w:rsidRDefault="005D6CF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（一）加强组织领导。</w:t>
      </w:r>
      <w:r>
        <w:rPr>
          <w:rFonts w:ascii="仿宋" w:eastAsia="仿宋" w:hAnsi="仿宋" w:hint="eastAsia"/>
          <w:color w:val="000000"/>
          <w:sz w:val="32"/>
          <w:szCs w:val="32"/>
        </w:rPr>
        <w:t>医疗服务价格调整工作事关广大群众切身利益，涉及面广、影响面大。各相关部门单位要进一步提高政治站位，在当地党委、政府的领导下，加强统筹协调，积极稳妥推进，确保方案落地生效。</w:t>
      </w:r>
    </w:p>
    <w:p w:rsidR="00595C95" w:rsidRDefault="005D6CF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（二）细化责任分工。</w:t>
      </w:r>
      <w:r>
        <w:rPr>
          <w:rFonts w:ascii="仿宋" w:eastAsia="仿宋" w:hAnsi="仿宋" w:hint="eastAsia"/>
          <w:color w:val="000000"/>
          <w:sz w:val="32"/>
          <w:szCs w:val="32"/>
        </w:rPr>
        <w:t>各地医保部门要负责做好牵头工作，并按规定将调整后的医疗服务价格纳入医保支付范围。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财政部门要协同做好建立资金池等相关工作。卫生健康部门要切实加强对医疗行为监管和医疗费用监测等工作。各公立医院要认真落实价格调整的基础工作责任。</w:t>
      </w:r>
    </w:p>
    <w:p w:rsidR="00595C95" w:rsidRDefault="005D6CF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（三）加强全程监管。</w:t>
      </w:r>
      <w:r>
        <w:rPr>
          <w:rFonts w:ascii="仿宋" w:eastAsia="仿宋" w:hAnsi="仿宋" w:hint="eastAsia"/>
          <w:color w:val="000000"/>
          <w:sz w:val="32"/>
          <w:szCs w:val="32"/>
        </w:rPr>
        <w:t>按照“控总量、</w:t>
      </w:r>
      <w:r>
        <w:rPr>
          <w:rFonts w:ascii="仿宋" w:eastAsia="仿宋" w:hAnsi="仿宋" w:hint="eastAsia"/>
          <w:sz w:val="32"/>
          <w:szCs w:val="32"/>
        </w:rPr>
        <w:t>腾空间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调结构，保衔接</w:t>
      </w:r>
      <w:r>
        <w:rPr>
          <w:rFonts w:ascii="仿宋" w:eastAsia="仿宋" w:hAnsi="仿宋" w:hint="eastAsia"/>
          <w:color w:val="000000"/>
          <w:sz w:val="32"/>
          <w:szCs w:val="32"/>
        </w:rPr>
        <w:t>”的要求，落实事前、事中、事后监管措施。各地医疗保障、卫生健康部门应对调价效果实施动态监测预警和考核，适时开展调价效果评估, 并建立考核制度，综合运用经济手段和行政措施推进落实。</w:t>
      </w:r>
    </w:p>
    <w:p w:rsidR="00255380" w:rsidRDefault="005D6CF8" w:rsidP="00255380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（四）及时跟踪监测。</w:t>
      </w:r>
      <w:r>
        <w:rPr>
          <w:rFonts w:ascii="仿宋" w:eastAsia="仿宋" w:hAnsi="仿宋" w:hint="eastAsia"/>
          <w:color w:val="000000"/>
          <w:sz w:val="32"/>
          <w:szCs w:val="32"/>
        </w:rPr>
        <w:t>各地各单位要密切关注方案实施进展，及时反馈执行情况，配合做好政策解读和评估工作。各地相关部门对方案实施过程中出现的新情况，要及时研究分析，提出解决措施。要建立应急处置预案，第一时间研究处理社会反映强烈的问题。</w:t>
      </w:r>
    </w:p>
    <w:p w:rsidR="00255380" w:rsidRPr="00D139B9" w:rsidRDefault="00255380" w:rsidP="00255380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32"/>
          <w:szCs w:val="32"/>
        </w:rPr>
      </w:pPr>
    </w:p>
    <w:p w:rsidR="009B4078" w:rsidRPr="00D139B9" w:rsidRDefault="009B4078" w:rsidP="00255380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32"/>
          <w:szCs w:val="32"/>
        </w:rPr>
      </w:pPr>
      <w:r w:rsidRPr="00D139B9">
        <w:rPr>
          <w:rFonts w:ascii="仿宋" w:eastAsia="仿宋" w:hAnsi="仿宋" w:hint="eastAsia"/>
          <w:sz w:val="32"/>
          <w:szCs w:val="32"/>
        </w:rPr>
        <w:t>附件：温州市公立医院医疗服务价格市县统筹联动调整明细表</w:t>
      </w:r>
    </w:p>
    <w:p w:rsidR="00595C95" w:rsidRPr="00D139B9" w:rsidRDefault="009B4078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/>
          <w:sz w:val="32"/>
          <w:szCs w:val="32"/>
        </w:rPr>
      </w:pPr>
      <w:r w:rsidRPr="00D139B9">
        <w:rPr>
          <w:rFonts w:ascii="仿宋" w:eastAsia="仿宋" w:hAnsi="仿宋" w:hint="eastAsia"/>
          <w:sz w:val="32"/>
          <w:szCs w:val="32"/>
        </w:rPr>
        <w:t>温州市医疗保障局</w:t>
      </w:r>
    </w:p>
    <w:p w:rsidR="009B4078" w:rsidRPr="00D139B9" w:rsidRDefault="009B4078" w:rsidP="009B407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/>
          <w:sz w:val="32"/>
          <w:szCs w:val="32"/>
        </w:rPr>
      </w:pPr>
      <w:r w:rsidRPr="00D139B9">
        <w:rPr>
          <w:rFonts w:ascii="仿宋" w:eastAsia="仿宋" w:hAnsi="仿宋" w:hint="eastAsia"/>
          <w:sz w:val="32"/>
          <w:szCs w:val="32"/>
        </w:rPr>
        <w:t>温州市财政局</w:t>
      </w:r>
    </w:p>
    <w:p w:rsidR="009B4078" w:rsidRPr="00D139B9" w:rsidRDefault="009B4078" w:rsidP="009B4078">
      <w:pPr>
        <w:pStyle w:val="a6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/>
          <w:sz w:val="32"/>
          <w:szCs w:val="32"/>
        </w:rPr>
      </w:pPr>
      <w:r w:rsidRPr="00D139B9">
        <w:rPr>
          <w:rFonts w:ascii="仿宋" w:eastAsia="仿宋" w:hAnsi="仿宋" w:hint="eastAsia"/>
          <w:sz w:val="32"/>
          <w:szCs w:val="32"/>
        </w:rPr>
        <w:t>温州市卫生健康委员会</w:t>
      </w:r>
    </w:p>
    <w:p w:rsidR="00595C95" w:rsidRPr="00D139B9" w:rsidRDefault="009B4078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/>
          <w:sz w:val="32"/>
          <w:szCs w:val="32"/>
        </w:rPr>
      </w:pPr>
      <w:r w:rsidRPr="00D139B9">
        <w:rPr>
          <w:rFonts w:ascii="仿宋" w:eastAsia="仿宋" w:hAnsi="仿宋" w:hint="eastAsia"/>
          <w:sz w:val="32"/>
          <w:szCs w:val="32"/>
        </w:rPr>
        <w:t>2019年12月12日</w:t>
      </w:r>
    </w:p>
    <w:p w:rsidR="00595C95" w:rsidRPr="00D139B9" w:rsidRDefault="00595C95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480"/>
        <w:jc w:val="right"/>
        <w:rPr>
          <w:rFonts w:ascii="仿宋" w:eastAsia="仿宋" w:hAnsi="仿宋"/>
          <w:sz w:val="32"/>
          <w:szCs w:val="32"/>
        </w:rPr>
      </w:pPr>
    </w:p>
    <w:p w:rsidR="00595C95" w:rsidRDefault="00595C95">
      <w:pPr>
        <w:pStyle w:val="a6"/>
        <w:shd w:val="clear" w:color="auto" w:fill="FFFFFF"/>
        <w:wordWrap w:val="0"/>
        <w:spacing w:before="0" w:beforeAutospacing="0" w:after="0" w:afterAutospacing="0" w:line="720" w:lineRule="atLeast"/>
        <w:ind w:right="640" w:firstLine="480"/>
        <w:jc w:val="right"/>
        <w:rPr>
          <w:rFonts w:ascii="仿宋" w:eastAsia="仿宋" w:hAnsi="仿宋"/>
          <w:color w:val="FF0000"/>
          <w:sz w:val="32"/>
          <w:szCs w:val="32"/>
        </w:rPr>
      </w:pPr>
    </w:p>
    <w:p w:rsidR="00595C95" w:rsidRDefault="00595C95">
      <w:pPr>
        <w:pStyle w:val="a6"/>
        <w:shd w:val="clear" w:color="auto" w:fill="FFFFFF"/>
        <w:wordWrap w:val="0"/>
        <w:spacing w:before="0" w:beforeAutospacing="0" w:after="0" w:afterAutospacing="0" w:line="720" w:lineRule="atLeast"/>
        <w:ind w:right="640" w:firstLine="480"/>
        <w:jc w:val="right"/>
        <w:rPr>
          <w:rFonts w:ascii="仿宋" w:eastAsia="仿宋" w:hAnsi="仿宋"/>
          <w:color w:val="FF0000"/>
          <w:sz w:val="32"/>
          <w:szCs w:val="32"/>
        </w:rPr>
      </w:pPr>
    </w:p>
    <w:p w:rsidR="00595C95" w:rsidRDefault="00595C95">
      <w:pPr>
        <w:pStyle w:val="a6"/>
        <w:shd w:val="clear" w:color="auto" w:fill="FFFFFF"/>
        <w:wordWrap w:val="0"/>
        <w:spacing w:before="0" w:beforeAutospacing="0" w:after="0" w:afterAutospacing="0" w:line="720" w:lineRule="atLeast"/>
        <w:ind w:right="640" w:firstLine="480"/>
        <w:rPr>
          <w:rFonts w:ascii="仿宋" w:eastAsia="仿宋" w:hAnsi="仿宋"/>
          <w:color w:val="FF0000"/>
          <w:sz w:val="32"/>
          <w:szCs w:val="32"/>
        </w:rPr>
        <w:sectPr w:rsidR="00595C9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666"/>
        <w:gridCol w:w="2822"/>
        <w:gridCol w:w="2232"/>
        <w:gridCol w:w="1916"/>
        <w:gridCol w:w="1416"/>
        <w:gridCol w:w="810"/>
        <w:gridCol w:w="810"/>
        <w:gridCol w:w="647"/>
        <w:gridCol w:w="1516"/>
        <w:gridCol w:w="1294"/>
      </w:tblGrid>
      <w:tr w:rsidR="00255380" w:rsidRPr="00CE2BC8" w:rsidTr="00255380">
        <w:trPr>
          <w:trHeight w:val="480"/>
        </w:trPr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80" w:rsidRPr="00CE2BC8" w:rsidRDefault="00255380" w:rsidP="00B8237C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2B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附表1：</w:t>
            </w:r>
          </w:p>
        </w:tc>
        <w:tc>
          <w:tcPr>
            <w:tcW w:w="10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80" w:rsidRPr="00CE2BC8" w:rsidRDefault="00255380" w:rsidP="00B8237C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7C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温州市公立医院医疗服务价格市县统筹联动调整明细表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80" w:rsidRPr="00CE2BC8" w:rsidRDefault="00255380" w:rsidP="00B8237C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80" w:rsidRPr="00CE2BC8" w:rsidRDefault="00255380" w:rsidP="00B8237C">
            <w:pPr>
              <w:widowControl/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财务分类</w:t>
            </w:r>
          </w:p>
        </w:tc>
        <w:tc>
          <w:tcPr>
            <w:tcW w:w="1666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编  码</w:t>
            </w:r>
          </w:p>
        </w:tc>
        <w:tc>
          <w:tcPr>
            <w:tcW w:w="2822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 目 名 称</w:t>
            </w:r>
          </w:p>
        </w:tc>
        <w:tc>
          <w:tcPr>
            <w:tcW w:w="2232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 目 内 涵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除外内容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计价单位</w:t>
            </w:r>
          </w:p>
        </w:tc>
        <w:tc>
          <w:tcPr>
            <w:tcW w:w="2267" w:type="dxa"/>
            <w:gridSpan w:val="3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价格</w:t>
            </w:r>
          </w:p>
        </w:tc>
        <w:tc>
          <w:tcPr>
            <w:tcW w:w="1516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备  注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2822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三甲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三乙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二甲及以下</w:t>
            </w:r>
          </w:p>
        </w:tc>
        <w:tc>
          <w:tcPr>
            <w:tcW w:w="1516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11020000000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b/>
                <w:bCs/>
                <w:sz w:val="20"/>
              </w:rPr>
            </w:pPr>
            <w:r w:rsidRPr="00225C5F">
              <w:rPr>
                <w:rFonts w:ascii="仿宋_GB2312" w:eastAsia="仿宋_GB2312" w:hAnsi="等线" w:hint="eastAsia"/>
                <w:b/>
                <w:bCs/>
                <w:sz w:val="20"/>
              </w:rPr>
              <w:t>2．诊查费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指医护人员提供（技术劳务）的诊疗服务。含挂号费、药事服务成本等内容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门诊注射、换药、针灸、理疗、推拿、气功、血透、放射治疗疗程中不再收取诊查费。省级儿童医院、省级其他公立医疗机构儿科门诊诊查费加收10元/次、儿科病房住院诊查费加收10元/日，儿科门急诊留观诊查费加收10元/日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C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11020000104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专家门诊诊查费（副高）加收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</w:t>
            </w:r>
          </w:p>
        </w:tc>
        <w:tc>
          <w:tcPr>
            <w:tcW w:w="1516" w:type="dxa"/>
            <w:vMerge w:val="restart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C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11020000105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专家门诊诊查费（正高）加收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1516" w:type="dxa"/>
            <w:vMerge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C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11020000401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门急诊留观诊查费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C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11020000501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住院诊查费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当日住院当日出院的病人，按一天计收住院诊查费和护理费；产科新生儿不得收此费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B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11090000104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传染病房加收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天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11110090100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ICU单元治疗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420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420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420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11110090200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CCU单元治疗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等级护理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指原I级护理、Ⅱ级护理、Ⅲ级护理的总称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9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特殊疾病护理加收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指法定甲类传染病及气性坏疽、破伤风、艾滋病等按甲类传染病管理的疾病的护理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9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新生儿护理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含新生儿洗浴、脐部残端处理、口腔、眼部、皮肤及会阴护理、肛管排气、呼吸道清理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12010001000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气管切开护理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含吸痰护理、药物滴入、定时消毒、更换套管及其材料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人工鼻、一次性气切套管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12010001001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气管插管护理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含吸痰护理、药物滴入及其材料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人工鼻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12010001301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门诊病人PICC置管护理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含冲洗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敷贴、肝素帽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F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12010001400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一般专项护理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含造瘘（口）护理、口腔护理、褥疮护理、会阴冲洗、阴道冲洗、会阴消毒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造口袋、注射器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每人次最多按3次计价；6周岁及以下儿童在原价格基础上加收30%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12020000100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心肺复苏抢救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12020000200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大出血抢救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含抢救材料、仪器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特殊止血材料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9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12020000201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危重病人抢救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指因严重外伤、烧伤、中毒、窒息、休克、脏器衰竭等原因而引起呼吸或循环不稳定病人的抢救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肌肉注射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皮下注射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皮内注射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2.4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12040000104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皮试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指有专用皮试液的药物皮试，含皮试液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静脉注射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静脉采血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动脉采血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静脉输液（门诊/含输液器）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静脉输液（住院/含输液器）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床日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15.6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15.6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15.6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留置针输液（门诊）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指第二次起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微量泵或输液泵加收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12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12040000605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输血（住院）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指从核对、穿刺、滴注至拔针（留置针分离）结束的服务全过程，含输血器、注射器、过滤器等材料以及观察、操作等劳务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床日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12040000606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静脉输液（门诊/不含输液器）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不含DEHP成分的输液器、精密输液器、避光输液器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12040000607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静脉输液（住院/不含输液器）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不含DEHP成分的输液器、精密输液器、避光输液器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床日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12040000701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小儿静脉输液（住院/含输液器）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指从核对、化药、穿刺、滴注、中途接瓶（袋）至拔针（留置针分离）结束的服务全过程，含输液器、注射器、过滤器等材料以及观察、操作等劳务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床日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限6周岁以下儿童输液。对静脉输液病人不得收取动静脉置管护理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12040000702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小儿静脉输液（门诊/不含输液器）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不含DEHP成分的输液器、精密输液器、避光输液器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限6周岁以下儿童输液。对静脉输液病人不得收取动静脉置管护理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12040000703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小儿静脉输液（住院/不含输液器）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指从核对、化药、穿刺、滴注、中途接瓶（袋）至拔针（留置针分离）结束的服务全过程，含注射器、过滤器等材料以及观察、操作等劳务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不含DEHP成分的输液器、精密输液器、避光输液器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床日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18.7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18.7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18.7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限6周岁以下儿童输液。对静脉输液病人不得收取动静脉置管护理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12040000801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胃肠高营养治疗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指经胃肠置管、腹部造瘘置管，供给包括蛋白质、脂肪、碳水化合物等营养元素在内的复合营养液进行的营养治疗，含营养液配置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胃肠营养输注管路、营养袋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天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静脉穿刺置管术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12040001001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静脉置管冲洗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含注射器及固定用敷贴等材料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天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中心静脉穿刺置管术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含麻醉及首次静脉测压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深静脉穿刺置管术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含麻醉及首次静脉测压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动脉穿刺置管术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抗肿瘤化学药物配置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指在专用配置间配置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12040001301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抗肿瘤化学药物配置（≥2种）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指在专用配置间配置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9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12050000100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大清创（缝合）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7针及以上，或创面大于50cm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12050000101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大清创（不缝合）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创面大于50cm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基础上加收30%，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9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12050000200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中清创（缝合）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3-6针，或创面在30-50cm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12050000201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中清创（不缝合）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创面在30-50cm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9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12050000300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小清创（缝合）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2针及以下，或创面小于30cm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12050000301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小清创（不缝合）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创面小于30cm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12080000101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胃管置管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含抽胃液及注射器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一次性胃管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12080000102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置管后注食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12080000103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置管后注药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12090000100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胃肠置管减压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含插胃管、抽胃液、注射器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一次性胃管、一次性减压装置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12090000101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胃肠置管减压（置管次日起）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日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12090000102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更换胃肠减压装置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一次性减压装置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12100000100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洗胃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含插胃管、抽胃液、冲洗及注射器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一次性胃管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12140000100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引流管冲洗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引流装置、造瘘管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12140000105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更换引流装置（引流管）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引流装置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每天最多按2次计价；6周岁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12140000106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术后引流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含注射器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引流装置、造瘘管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10.4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12150000200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清洁灌肠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指经肛门清洁灌肠。含一次性灌肠器具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经口全消化道清洁洗肠不得收费；6周岁及以下儿童在原价格基础上加收30%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12160000100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导尿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指一次性导尿，含石蜡油、注射器、尿管、引流袋等材料；含会阴消毒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气囊导尿管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12160000101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留置导尿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含会阴消毒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天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12160000102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更换引流袋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指注射器、引流袋等材料；含会阴消毒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3.3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6周岁及以下儿童在原价格基础上加收30%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8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21020000108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MRI扫描增加各项功能加收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指增加磁共振脑功能成像、磁共振心脏功能检查、磁共振血管成像（MRA）、磁共振水成像（MRCP，MRM，MRU）、磁共振波谱分析（MRS）、磁共振波谱成像（MRSI）等各项功能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每人次最多按加收2项计价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23040000700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肿瘤全身断层显像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23040000800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肿瘤局部断层显像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两项及两项以上按肿瘤全身断层显像计价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23040000801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脑血流断层显像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23040000802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脑代谢断层显像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25020307101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全血粘度测定（高切）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25020307102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全血粘度测定（中切）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25020307103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全血粘度测定（低切）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25020307200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血浆粘度测定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25020308000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血栓弹力图试验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25030290200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糖化白蛋白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25030401301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铜测定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25030401303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锌测定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25030690201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B型纳尿肽定量测定（BNP）（急诊）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20分钟内出检验结果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25030690300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缺血修饰白蛋白测定（IMA）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25031000900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甲状旁腺激素测定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25031002600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血浆肾素活性测定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25031002700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血管紧张素Ⅰ测定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25031002800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血管紧张素Ⅱ测定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25031005400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降钙素原定量检测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适用于肺炎、浓血症检测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25031090300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抗缪勒氏管激素（AMH）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25040190200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免疫固定电泳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抗中性粒细胞胞浆抗体cANCA抗体测定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25040200501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抗中性粒细胞胞浆抗体pANCA抗体测定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25040200502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抗中性粒细胞胞浆抗体PR3-ANCA抗体测定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25040200503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抗中性粒细胞胞浆抗体MPO-ANCA抗体测定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25040200599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抗中性粒细胞胞浆抗体ANCA抗体测定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25040290200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抗内皮细胞抗体检测（AECA）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25040290300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抗突变型瓜氨酸波型蛋白（MCV）抗体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25040301100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乙肝病毒外膜蛋白前S1抗原测定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25040306600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人乳头瘤病毒（HPV）核酸检测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9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25040391300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丙肝 RNA 测定（低拷贝内标定量）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实际灵敏度小于100拷贝/ml，内标定量，限用于疗效监测和常规PCR阴性标本的复检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25040391400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结核感染T细胞检测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477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477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477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25040402600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甲胎蛋白异质体（AFP-L3）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25040490400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异常糖链糖蛋白检测（TAP）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25050103100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衣原体检查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25050103400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支原体培养及药敏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染色体检查（不分带）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指直接法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血细胞染色体检查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25070001201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各类病原体核糖核酸（RNA）检测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36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单基因遗传病基因突变检测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可检测线粒体基因、α地中海贫血基因、β地中海贫血基因、苯丙酮尿症基因等。样本类型：各种标本。样本采集、签收、处理（据标本类型不同进行相应的前处理），提取基因组DNA，与质控品、阴阳性对照和内参同时扩增，分析扩增产物或杂交或测序等，进行基因分析，判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断并审核结果，录入实验室信息系统或人工登记，发送报告；按规定处理废弃物；接受临床相关咨询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家系分析时，最多按3人次计收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36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25070001301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单基因遗传病基因突变检测（家系分析≥3人）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可检测线粒体基因、α地中海贫血基因、β地中海贫血基因、苯丙酮尿症基因等。样本类型：各种标本。样本采集、签收、处理（据标本类型不同进行相应的前处理），提取基因组DNA，与质控品、阴阳性对照和内参同时扩增，分析扩增产物或杂交或测序等，进行基因分析，判断并审核结果，录入实验室信息系统或人工登记，发送报告；按规定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处理废弃物；接受临床相关咨询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1539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1539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1539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家系分析时，最多按3人次计收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培养细胞染色体检查（显带分析）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含细胞培养制片和染色体分析；细胞培养7天以上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25070001401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培养细胞染色体检查培养少于7天（显带分析）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12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25070001700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白血病融合基因分型（包括：BCR-ABL、AML1-ETO/MTG8、PML-RARα、TEL-AML1、MLL-ENL、PBX-E2A等）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25070090500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母亲外周血胎儿游离DNA产前检测（NIPT）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1066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1066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1066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25070100100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乙型肝炎病毒脱氧核糖核酸扩增定量检测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最低检测限至少30IU/m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25070200100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人类EGFR基因突变检测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1892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1892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1892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25070200200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人类K-RAS基因突变检测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25070200300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人类EML4-ALK融合基因检测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2137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2137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2137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25070200400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人类B-RAF基因V600E突变检测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4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25070300100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化学药物用药指导的基因检测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样本采集、签收、处理（据标本类型不同进行相应的前处理），提取基因组DNA，与质控品、阴阳性对照和内参同时扩增，分析扩增产物或杂交或测序等，进行基因分析，判断并审核结果，录入实验室信息系统或人工登记，发送报告；按规定处理废弃物；接受临床相关咨询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每个基因位点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第二个基因位点开始每个加收183元。最高价格不超过2012元。基因位点数以最新临床指南为准。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4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25070300101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化学药物用药指导的基因检测（≥10基因位点）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样本采集、签收、处理（据标本类型不同进行相应的前处理），提取基因组DNA，与质控品、阴阳性对照和内参同时扩增，分析扩增产物或杂交或测序等，进行基因分析，判断并审核结果，录入实验室信息系统或人工登记，发送报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告；按规定处理废弃物；接受临床相关咨询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2012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2012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2012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26000002100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群体反应抗体（PRA）检测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27020000400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脱落细胞脱落细胞学检查与诊断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27030000100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穿刺组织活检检查与诊断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H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27030000200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内镜组织活检检查与诊断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31070100100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常规心电图检查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含多项信息鉴别诊断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31090200500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胃十二指肠镜检查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含活检、局部浸润麻醉及药物、材料，含幽门螺杆菌测定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D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31090300500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结肠镜检查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0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b/>
                <w:bCs/>
                <w:sz w:val="20"/>
              </w:rPr>
            </w:pPr>
            <w:r w:rsidRPr="00225C5F">
              <w:rPr>
                <w:rFonts w:ascii="仿宋_GB2312" w:eastAsia="仿宋_GB2312" w:hAnsi="等线" w:hint="eastAsia"/>
                <w:b/>
                <w:bCs/>
                <w:sz w:val="20"/>
              </w:rPr>
              <w:t>33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b/>
                <w:bCs/>
                <w:sz w:val="20"/>
              </w:rPr>
            </w:pPr>
            <w:r w:rsidRPr="00225C5F">
              <w:rPr>
                <w:rFonts w:ascii="仿宋_GB2312" w:eastAsia="仿宋_GB2312" w:hAnsi="等线" w:hint="eastAsia"/>
                <w:b/>
                <w:bCs/>
                <w:sz w:val="20"/>
              </w:rPr>
              <w:t>（三） 手术治疗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（编码33000000001、33000000002、33000000003、33000000004、33000000005、33000000006、33000000007、33000000008、33000000009、33000000011、33010090101、33010190201、33010190202、33010290400、33020090100、33020190100、33020190102、33030090100、33030090102、33070090102、33090002100、33100190100、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33100090102、33100590100、33100590102、33150090102、33160190100、33160190102、33160200401、33160200502、33160200602、33160200702、33010200605项目不加收）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联合或复合麻醉加收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神经阻滞麻醉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33010100202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神经阻滞麻醉（臂丛）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基础麻醉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含强化麻醉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33010100401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静脉麻醉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含强化麻醉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术后镇痛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含静脉麻醉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33010100703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术后镇痛泵持续给药镇痛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33010190201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麻醉中彩超引导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33010190202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麻醉中支气管镜引导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5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33010190300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麻醉恢复室监护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在麻醉恢复室内，监测仪连续血压、心电、血氧饱和度监测，经气管内导管或面罩吸氧，吸痰，拔除气管导管等呼吸道管理或呼吸机支持，静脉输液，麻醉作用拮抗等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例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02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33010200400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麻醉中监测（＜4小时）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心电图、脉搏氧饱和度、心率变异分析、ST段分析、无创血压、有创血压、中心静脉压、呼气末二氧化碳、氧浓度、呼吸频率、潮气量、分钟通气量、气道压、肺顺应性、呼气末麻醉药浓度、体温、肌松等各项监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02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33010200401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麻醉中监测（≥4小时）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含心电图、脉搏氧饱和度、心率变异分析、ST段分析、无创血压、有创血压、中心静脉压、呼气末二氧化碳、氧浓度、呼吸频率、潮气量、分钟通气量、气道压、肺顺应性、呼气末麻醉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药浓度、体温、肌松等各项监护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33010290400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术中血液加温治疗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33020102701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桥小脑角听神经瘤切除术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不含面神经吻合术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5500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4950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33020104100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颅底肿瘤切除术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指前、中颅窝颅内外沟通性肿瘤，前、中、后颅窝底肿瘤（鞍结节脑膜瘤、侵袭性垂体瘤、脊索瘤、神经鞘瘤）和颈静脉孔区肿瘤切除手术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6237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5613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4989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33020105100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脑脊液漏修补术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2963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2666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2370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33020200700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颅神经微血管减压术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3260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2934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2608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33020200701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三叉神经微血管减压术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3260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2934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2608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33020200702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面神经微血管减压术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3260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2934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2608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33020201100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面神经松解减压术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含腮腺浅叶切除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2296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2066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1836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33020400800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脊髓硬膜外病变切除术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不含硬脊膜下、脊髓内肿瘤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3204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2883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2563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33020400900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髓外硬脊膜下病变切除术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不含脊髓内肿瘤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4000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33020400901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髓外硬脊膜下肿瘤切除术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不含脊髓内肿瘤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4000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33020401700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腰骶部潜毛窦切除术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2113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1901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1690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甲状旁腺大部切除术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2368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2131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1894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甲状腺癌根治术（单侧）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2880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2560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33030001101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甲状腺癌根治术（双侧）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4320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甲状腺癌扩大根治术（单侧）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含甲状腺癌切除、同侧淋巴结清扫、所累及颈其它结构切除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3420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33030001201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甲状腺癌扩大根治术（双侧）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5700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5130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4560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33030002100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肾上腺切除术（单侧）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指全切或部分切除。含腺瘤、囊肿切除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2160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1920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33030002101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肾上腺切除术（双侧）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指全切或部分切除。含腺瘤、囊肿切除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3240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2880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33040700200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玻璃体切除术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含眼前段、眼后段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膨胀气体、硅油、重水、玻璃体切割头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1825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1622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33040700400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视网膜脱离修复术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1716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1544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1372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33040700500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复杂视网膜脱离修复术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指巨大裂孔、黄斑裂孔等修复，含硅油充填、球内注气、前膜剥膜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玻璃体切割头、硅胶、膨胀气体、重水、硅油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2426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2183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33040901900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眼眶壁骨折整复固定术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含外侧开眶钛钉、钛板固定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硅胶板、羟基磷灰石板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1559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1403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1247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33050200900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鼓室成形术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指Ⅰ—Ⅴ型成形术。含听骨链重建、鼓膜修补、病变探查手术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1620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33060201300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经鼻内镜鼻窦手术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含额窦、筛窦、蝶窦、上额窦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1080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864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33060502200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口咽部恶性肿物局部扩大切除术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含邻位瓣修复；不含口咽部大面积缺损游离皮瓣及带蒂皮瓣修复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2700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12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33060802700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上颌骨陈旧性骨折整复术（单颌）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指手术复位。含再骨折复位（Lefort 分型截骨或分块截骨复位）、颌间固定、骨间固定和邻位瓣修复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4110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3699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3288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12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33060802701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上颌骨陈旧性骨折整复术（双颌）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指手术复位。含再骨折复位（Lefort 分型截骨或分块截骨复位）、颌间固定、骨间固定和邻位瓣修复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8220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7398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6576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33060802900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上颌骨缺损带蒂骨移植术（单颌）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含颌间固定和邻位皮瓣修复，不含带蒂骨制取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2710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2439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2168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33060802901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上颌骨缺损带蒂骨移植术（双颌）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含颌间固定和邻位皮瓣修复，不含带蒂骨制取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5420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4878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4336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33070200200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肺癌根治术（单侧）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3742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3367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2993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33070200201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肺癌根治术（双侧）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5613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5051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4490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33070200900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肺大泡切除修补术（单侧）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含结扎、固化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2183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1964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1746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33070200901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肺大泡切除修补术（双侧）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含结扎、固化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3275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2947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2620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33070300900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胸廓成形术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不含分期手术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33070302600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纵隔肿物切除术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含血管成形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33080100300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二尖瓣替换术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指保留部分或全部二尖瓣装置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5544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4989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4435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33080100900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主动脉瓣置换术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5300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4770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4240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33080203000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升主动脉替换加主动脉瓣替换术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6120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5508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胸腹主动脉损伤修复术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2970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33080404400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上肢血管探查术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1247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33080404500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血管移植术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1744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1569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1395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33080405000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肢体动静脉修复术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指外伤所致的血管破裂、断裂吻合及补片成形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1503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1352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33080405400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动静脉人工内瘘成形术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含原部位动、静脉吻合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1247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33080405500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动静脉人工内瘘人工血管转流术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含加用其它部位血管做架桥或人工血管架桥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1744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1569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1395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33080405600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人工动静脉瘘切除重造术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1871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1683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33080407100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夹层动脉瘤腔内隔绝术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经髂动脉输入覆膜支架，放于破口处以隔绝主动脉夹层假腔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人工血管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3430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3087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2744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33090000300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颈淋巴结清扫术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1503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1352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33090000302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颈淋巴结清扫术（双侧）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2254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2028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1803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33090000400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腋窝淋巴结清扫术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1503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1352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1202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33090000600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经腹腔镜盆腔淋巴结清扫术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2079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1871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1663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33090001800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脾切除术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含修补术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1999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1799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1599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33090001900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脾切除自体脾移植术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2750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2475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33100101100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食管癌根治术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含胸内胃食管吻合（主动脉弓下，弓上胸顶部吻合）及颈部吻合术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4990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4491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3992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近端胃大部切除术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3275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2947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2620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远端胃大部切除术（BillrothI式）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1825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1622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33100200401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远端胃大部切除术（BillrothⅡ式）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1825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1622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33100200402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远端胃大部切除术（胃-空肠Roux-y型吻合）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2028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1825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1622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含保留胃近端与十二指肠或空肠吻合；不含联合其他脏器切除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3119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胃癌姑息切除术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3119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33100200800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全胃切除术（食道空肠吻合Roux-y型或袢式）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含区域淋巴结清扫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3430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3087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2744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33100301300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肠排列术（固定术）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1701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1530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1360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33100301800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全结肠切除吻合术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含回肠直肠吻合或回肠肛管吻合、拖出肠段切除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3090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2781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2472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33100302000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结肠癌根治术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含结肠切除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2608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2347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2086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33100302100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结肠癌扩大根治术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含结肠癌根治术联合其他侵及脏器切除术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3497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3147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33100401100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经腹会阴直肠癌根治术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含结肠造口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3150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33100401200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经腹直肠癌根治术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含保留肛门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3275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2947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2620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33100401300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直肠癌扩大根治术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含盆腔联合脏器切除术或拖出式直肠癌根治术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3587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3228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2869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33100500601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肝囊肿开窗切除术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不含肝包虫病手术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1871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1683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33100501300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肝部分切除术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含肝活检术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2339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2105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1871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33100501400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肝左外叶切除术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指肿瘤、结核、结石、萎缩等切除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2510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2259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2008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33100501501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左半肝切除术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3103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2792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2482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胆囊肠吻合术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含胆囊肠Roux-y肠吻合术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1588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1429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1270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高位胆管癌根治术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含肝部分切除、肝胆管—肠吻合术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4158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3742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3326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肝胆总管切开取石+空肠Roux-y吻合术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含空肠间置术、肝胆管、总胆管和空肠吻合术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3742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3367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2993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胆管修补成形术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2198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1978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1758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80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33100601000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先天性胆总管囊肿切除胆道成形术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含胆囊、胆总管囊肿切除、空肠R－Y吻合、空肠间置代胆道、矩形粘膜瓣、人工乳头防反流、胆道引流支架、腹腔引流、胰腺探查；不含胆道造影、肝活检、阑尾切除、其它畸形、美克尔憩室切除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2646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2381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2116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胆总管探查T管引流术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不含术中B超、术中胆道镜检查和术中胆道造影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1574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1259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33100602000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胆囊癌根治术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含淋巴清扫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3742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3367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2993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33100700600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胰十二指肠切除术（Whipple手术）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含各种胰管空肠吻合、胃空肠吻合术、胆管肠吻合术；不含脾切除术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4883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4394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3906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33100700700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胰体尾切除术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含主胰管外引流术；不含血管切除吻合术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3103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2792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2482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33100701100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胰管空肠吻合术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2600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2340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2080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33100801500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腹膜后肿瘤切除术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不含其它脏器切除术、血管切除吻合术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2526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33100802600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门体静脉断流术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含食管、胃底周围血管离断加脾切除术、经网膜静脉门静脉测压术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2296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2066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1836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33110100900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肾部分切除术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1999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1799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1599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33110101000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根治性肾切除术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含肾上腺切除、淋巴清扫；不含开胸手术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33110200100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肾盂癌根治术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含输尿管全长、部分膀胱切除；不含膀胱镜电切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2526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33110200200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肾盂成形肾盂输尿管再吻合术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1871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1683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33110300600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根治性膀胱全切除术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1996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33120100100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前列腺癌根治术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含淋巴结活检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3899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3509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3119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33130200200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显微外科输卵管吻合术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1092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982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873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33150104000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后路腰椎间盘镜椎间盘髓核摘除术（MED）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2526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33150104600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骨盆骨折切开复位内固定术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4069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3662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3255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33150105200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脊柱椎间融合器植入植骨融合术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含脊髓神经根松解、椎板切除减压、脊髓探查、骨折切开复位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4069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3662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3255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33150105602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经皮穿刺椎体成形术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含造影、超声定位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椎体成形器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每间盘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2863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2576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2290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33150200500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神经吻合术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2183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1964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1746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33150301901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坐骨结节囊肿切除术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1304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1173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1043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33150501200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髋臼骨折切开复位内固定术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2396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2156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1916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33150601200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膝关节前十字韧带重建术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2240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1792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33150700500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人工全髋关节置换术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2335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2076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33150700600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人工股骨头置换术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1782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1603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1425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33150700700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人工膝关节表面置换术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2335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2076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33150700800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人工膝关节置换术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2595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2335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2076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33150790100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人工关节翻修术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3742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3367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2993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13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33151901300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复合组织游离移植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指带有皮肤（皮下组织）、骨、肌、软骨等任何两种以上组织瓣的游离移植手术、带血管蒂肌瓣、肌皮瓣、骨、软骨组织移植术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每部位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3119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2807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2495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33151901400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带蒂复合组织瓣成形术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每部位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2339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2105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1871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33152102900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肌腱吻合术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每肌腱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780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702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624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33152103603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前臂尺神经探查吻合术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特殊缝线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1716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1544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1372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33160100500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乳腺癌根治术（单侧）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2041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1836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33160100501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乳腺癌根治术（双侧）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4082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3673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3265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33160100800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乳腺癌根治+乳房再造术（单侧）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含Ⅰ期乳房再造；不含带血管蒂的肌皮组织移植、Ⅱ期乳房再造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3899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3509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3119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67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33160100801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乳腺癌根治+乳房再造术（双侧）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含Ⅰ期乳房再造；不含带血管蒂的肌皮组织移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植、Ⅱ期乳房再造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7796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7016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6236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94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33160200504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脂肪血管瘤切除术（大）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指面积大于10cm</w:t>
            </w:r>
            <w:r w:rsidRPr="00225C5F">
              <w:rPr>
                <w:rFonts w:ascii="仿宋_GB2312" w:eastAsia="仿宋_GB2312" w:hAnsi="等线" w:hint="eastAsia"/>
                <w:sz w:val="20"/>
                <w:vertAlign w:val="superscript"/>
              </w:rPr>
              <w:t>2</w:t>
            </w:r>
            <w:r w:rsidRPr="00225C5F">
              <w:rPr>
                <w:rFonts w:ascii="仿宋_GB2312" w:eastAsia="仿宋_GB2312" w:hAnsi="等线" w:hint="eastAsia"/>
                <w:sz w:val="20"/>
              </w:rPr>
              <w:t>， 达到肢体一周及肢体1／4长度的瘤；不含皮瓣或组织移植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1247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G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33160303700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手背切削痂植皮术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每侧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1247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1122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41000000100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贴敷疗法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每创面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41000000300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中药涂擦治疗（10%体表面积）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41000000301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中药涂擦治疗（&gt;10%体表面积）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41000000600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中药熏洗治疗（局部）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41000000900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中药熏药治疗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42000000500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关节脱位手法整复术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65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42000001100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关节粘连传统松解术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240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240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240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普通针刺（体针）（≤20个穴位）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普通针刺（体针）（&gt;20个穴位）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普通针刺（快速针）（≤20个穴位）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普通针刺（快速针）（&gt;20个穴位）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普通针刺（磁针）（≤20个穴位）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43000000105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普通针刺（磁针）（&gt;20个穴位）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43000000106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普通针刺（金针）（≤20个穴位）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43000000107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普通针刺（金针）（&gt;20个穴位）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43000000108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普通针刺（姜针）（≤20个穴位）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43000000109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普通针刺（姜针）（&gt;20个穴位）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43000000111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普通针刺（药针）（&gt;20个穴位）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温针（≤20个穴位）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不含普通针刺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温针（&gt;20个穴位）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不含普通针刺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头皮针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耳针（耳穴压豆）（单耳）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耳针（耳穴压豆）（双耳）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43000001202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耳针（耳穴埋针）（单耳）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43000001203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耳针（耳穴埋针）（双耳）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43000001204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耳针（磁珠压耳穴）（单耳）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43000001205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耳针（磁珠压耳穴）（双耳）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23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电针（普通电针）（≤20个穴位）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43000001601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电针（电热针灸）（≤20个穴位）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43000001602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电针（电冷针）（≤20个穴位）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6.6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43000001603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电针（普通电针）（＞20个穴位）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43000002200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穴位注射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注射器</w:t>
            </w: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2穴位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16.8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</w:t>
            </w: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43000002300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穴位贴敷治疗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含药物、调配及纳米穴位敷贴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每穴位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8.4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8.4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8.4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灸法（艾柱灸）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44000000101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灸法（艾条灸）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44000000102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灸法（艾箱灸）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44000000103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灸法（天灸）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44000000202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隔物灸法（隔盐灸）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32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拔罐疗法（火罐）（3罐/次）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44000000401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拔罐疗法（电火罐）（3罐/次）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44000000402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拔罐疗法（闪罐）（3罐/次）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44000000403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拔罐疗法（着罐）（3罐/次）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44000000406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拔罐疗法（真空拔罐）（3罐/次）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19.2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44000000500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药物罐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单罐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13.2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13.2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13.2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lastRenderedPageBreak/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45000000100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落枕推拿治疗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颈椎病推拿治疗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45000000201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颈椎病正骨复位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45000000300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肩周疾病推拿治疗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网球肘推拿治疗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急性腰扭伤推拿治疗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45000000600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腰部疾病推拿治疗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45000000601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腰椎间盘突出正骨复位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45000000700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膝关节骨性关节炎推拿治疗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45000000800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内科慢性腹泻推拿治疗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45000000802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内科便秘推拿治疗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45000000803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慢性胃病推拿治疗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45000000804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内科失眠推拿治疗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45000000806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月经不调推拿治疗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45000000807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痛经推拿治疗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45000000900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其他推拿治疗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45000001000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小儿捏脊治疗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6周岁及以下儿童在原价格上加收30%</w:t>
            </w: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45000001200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脊柱小关节紊乱推拿治疗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含手法理筋治疗和手法调整关节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450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45000001400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环枢关节半脱位推拿治疗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含手法理筋治疗和手法调整关节</w:t>
            </w: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人次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97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  <w:tr w:rsidR="00255380" w:rsidRPr="00225C5F" w:rsidTr="00255380">
        <w:tblPrEx>
          <w:jc w:val="center"/>
        </w:tblPrEx>
        <w:trPr>
          <w:gridAfter w:val="1"/>
          <w:wAfter w:w="1294" w:type="dxa"/>
          <w:trHeight w:val="285"/>
          <w:jc w:val="center"/>
        </w:trPr>
        <w:tc>
          <w:tcPr>
            <w:tcW w:w="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E</w:t>
            </w:r>
          </w:p>
        </w:tc>
        <w:tc>
          <w:tcPr>
            <w:tcW w:w="166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47000000500</w:t>
            </w:r>
          </w:p>
        </w:tc>
        <w:tc>
          <w:tcPr>
            <w:tcW w:w="282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小针刀治疗</w:t>
            </w:r>
          </w:p>
        </w:tc>
        <w:tc>
          <w:tcPr>
            <w:tcW w:w="2232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9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每部位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82</w:t>
            </w:r>
          </w:p>
        </w:tc>
        <w:tc>
          <w:tcPr>
            <w:tcW w:w="810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82</w:t>
            </w:r>
          </w:p>
        </w:tc>
        <w:tc>
          <w:tcPr>
            <w:tcW w:w="647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  <w:r w:rsidRPr="00225C5F">
              <w:rPr>
                <w:rFonts w:ascii="仿宋_GB2312" w:eastAsia="仿宋_GB2312" w:hAnsi="等线" w:hint="eastAsia"/>
                <w:sz w:val="20"/>
              </w:rPr>
              <w:t>82</w:t>
            </w:r>
          </w:p>
        </w:tc>
        <w:tc>
          <w:tcPr>
            <w:tcW w:w="1516" w:type="dxa"/>
            <w:vAlign w:val="center"/>
            <w:hideMark/>
          </w:tcPr>
          <w:p w:rsidR="00255380" w:rsidRPr="00225C5F" w:rsidRDefault="00255380" w:rsidP="00B8237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仿宋_GB2312" w:eastAsia="仿宋_GB2312" w:hAnsi="等线"/>
                <w:sz w:val="20"/>
              </w:rPr>
            </w:pPr>
          </w:p>
        </w:tc>
      </w:tr>
    </w:tbl>
    <w:p w:rsidR="00595C95" w:rsidRDefault="00595C95" w:rsidP="00225C5F">
      <w:pPr>
        <w:pStyle w:val="a6"/>
        <w:shd w:val="clear" w:color="auto" w:fill="FFFFFF"/>
        <w:wordWrap w:val="0"/>
        <w:spacing w:before="0" w:beforeAutospacing="0" w:after="0" w:afterAutospacing="0" w:line="720" w:lineRule="atLeast"/>
        <w:ind w:right="640"/>
        <w:rPr>
          <w:rFonts w:ascii="仿宋" w:eastAsia="仿宋" w:hAnsi="仿宋"/>
          <w:color w:val="FF0000"/>
          <w:sz w:val="32"/>
          <w:szCs w:val="32"/>
        </w:rPr>
      </w:pPr>
    </w:p>
    <w:sectPr w:rsidR="00595C95" w:rsidSect="00595C9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6E" w:rsidRDefault="002E556E" w:rsidP="00595C95">
      <w:pPr>
        <w:spacing w:line="240" w:lineRule="auto"/>
      </w:pPr>
      <w:r>
        <w:separator/>
      </w:r>
    </w:p>
  </w:endnote>
  <w:endnote w:type="continuationSeparator" w:id="1">
    <w:p w:rsidR="002E556E" w:rsidRDefault="002E556E" w:rsidP="0059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763"/>
    </w:sdtPr>
    <w:sdtContent>
      <w:p w:rsidR="00E701AD" w:rsidRDefault="00025777">
        <w:pPr>
          <w:pStyle w:val="a4"/>
          <w:jc w:val="center"/>
        </w:pPr>
        <w:r w:rsidRPr="00025777">
          <w:fldChar w:fldCharType="begin"/>
        </w:r>
        <w:r w:rsidR="00E701AD">
          <w:instrText xml:space="preserve"> PAGE   \* MERGEFORMAT </w:instrText>
        </w:r>
        <w:r w:rsidRPr="00025777">
          <w:fldChar w:fldCharType="separate"/>
        </w:r>
        <w:r w:rsidR="00257DE9" w:rsidRPr="00257DE9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E701AD" w:rsidRDefault="00E701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6E" w:rsidRDefault="002E556E" w:rsidP="00595C95">
      <w:pPr>
        <w:spacing w:line="240" w:lineRule="auto"/>
      </w:pPr>
      <w:r>
        <w:separator/>
      </w:r>
    </w:p>
  </w:footnote>
  <w:footnote w:type="continuationSeparator" w:id="1">
    <w:p w:rsidR="002E556E" w:rsidRDefault="002E556E" w:rsidP="0059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CB33"/>
    <w:multiLevelType w:val="singleLevel"/>
    <w:tmpl w:val="74DCCB3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1BE"/>
    <w:rsid w:val="00025777"/>
    <w:rsid w:val="000451A5"/>
    <w:rsid w:val="00123240"/>
    <w:rsid w:val="00170617"/>
    <w:rsid w:val="0018510C"/>
    <w:rsid w:val="001A14EF"/>
    <w:rsid w:val="001A4DDC"/>
    <w:rsid w:val="001B492E"/>
    <w:rsid w:val="001E16AE"/>
    <w:rsid w:val="00206961"/>
    <w:rsid w:val="00213454"/>
    <w:rsid w:val="00225C5F"/>
    <w:rsid w:val="00227E02"/>
    <w:rsid w:val="002535E0"/>
    <w:rsid w:val="00254108"/>
    <w:rsid w:val="00255380"/>
    <w:rsid w:val="00257DE9"/>
    <w:rsid w:val="002E556E"/>
    <w:rsid w:val="00310029"/>
    <w:rsid w:val="003476F8"/>
    <w:rsid w:val="00355053"/>
    <w:rsid w:val="003840FD"/>
    <w:rsid w:val="003A5574"/>
    <w:rsid w:val="003A71E1"/>
    <w:rsid w:val="003E5BD7"/>
    <w:rsid w:val="00401C0C"/>
    <w:rsid w:val="00416E31"/>
    <w:rsid w:val="0045444A"/>
    <w:rsid w:val="0046417E"/>
    <w:rsid w:val="00485926"/>
    <w:rsid w:val="00574D53"/>
    <w:rsid w:val="00595C95"/>
    <w:rsid w:val="0059758F"/>
    <w:rsid w:val="005A3FFB"/>
    <w:rsid w:val="005B54F6"/>
    <w:rsid w:val="005D6CF8"/>
    <w:rsid w:val="005D712A"/>
    <w:rsid w:val="00640910"/>
    <w:rsid w:val="00640F3C"/>
    <w:rsid w:val="00643AA1"/>
    <w:rsid w:val="00670DFC"/>
    <w:rsid w:val="00691523"/>
    <w:rsid w:val="00695F68"/>
    <w:rsid w:val="006A5729"/>
    <w:rsid w:val="006B0D55"/>
    <w:rsid w:val="006D138D"/>
    <w:rsid w:val="006D1D41"/>
    <w:rsid w:val="006F2F64"/>
    <w:rsid w:val="007133BE"/>
    <w:rsid w:val="007547E3"/>
    <w:rsid w:val="00792FDB"/>
    <w:rsid w:val="007F159D"/>
    <w:rsid w:val="0080360C"/>
    <w:rsid w:val="00885BBC"/>
    <w:rsid w:val="008961BE"/>
    <w:rsid w:val="008D5BEA"/>
    <w:rsid w:val="008E029E"/>
    <w:rsid w:val="008E6476"/>
    <w:rsid w:val="008F2CFB"/>
    <w:rsid w:val="009755C2"/>
    <w:rsid w:val="009B4078"/>
    <w:rsid w:val="009C548C"/>
    <w:rsid w:val="009F72D3"/>
    <w:rsid w:val="00A21171"/>
    <w:rsid w:val="00A45161"/>
    <w:rsid w:val="00A6332F"/>
    <w:rsid w:val="00AC3A26"/>
    <w:rsid w:val="00AD552B"/>
    <w:rsid w:val="00AE6D7F"/>
    <w:rsid w:val="00AF40DD"/>
    <w:rsid w:val="00B207AD"/>
    <w:rsid w:val="00B54AA6"/>
    <w:rsid w:val="00B63464"/>
    <w:rsid w:val="00B7136C"/>
    <w:rsid w:val="00B77291"/>
    <w:rsid w:val="00BA01FE"/>
    <w:rsid w:val="00BB66F8"/>
    <w:rsid w:val="00BC61D0"/>
    <w:rsid w:val="00C225EC"/>
    <w:rsid w:val="00C3607E"/>
    <w:rsid w:val="00C776BA"/>
    <w:rsid w:val="00C95EB0"/>
    <w:rsid w:val="00C9609F"/>
    <w:rsid w:val="00CC5E12"/>
    <w:rsid w:val="00CD14C6"/>
    <w:rsid w:val="00CE2BC8"/>
    <w:rsid w:val="00D139B9"/>
    <w:rsid w:val="00D14B17"/>
    <w:rsid w:val="00D47BE2"/>
    <w:rsid w:val="00D6204A"/>
    <w:rsid w:val="00D638F6"/>
    <w:rsid w:val="00D943D9"/>
    <w:rsid w:val="00DD5F17"/>
    <w:rsid w:val="00E0184A"/>
    <w:rsid w:val="00E02FC0"/>
    <w:rsid w:val="00E105C6"/>
    <w:rsid w:val="00E153E4"/>
    <w:rsid w:val="00E3257A"/>
    <w:rsid w:val="00E37C3A"/>
    <w:rsid w:val="00E701AD"/>
    <w:rsid w:val="00E80935"/>
    <w:rsid w:val="00EA2C60"/>
    <w:rsid w:val="00EB0E60"/>
    <w:rsid w:val="00F03208"/>
    <w:rsid w:val="00F120BC"/>
    <w:rsid w:val="00F315F0"/>
    <w:rsid w:val="00F467E7"/>
    <w:rsid w:val="00F537C4"/>
    <w:rsid w:val="00F9170A"/>
    <w:rsid w:val="028521A6"/>
    <w:rsid w:val="056A0E1B"/>
    <w:rsid w:val="1D8A50EB"/>
    <w:rsid w:val="6A2215C6"/>
    <w:rsid w:val="76866936"/>
    <w:rsid w:val="7B66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95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95C9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595C95"/>
  </w:style>
  <w:style w:type="paragraph" w:styleId="a4">
    <w:name w:val="footer"/>
    <w:basedOn w:val="a"/>
    <w:link w:val="Char0"/>
    <w:uiPriority w:val="99"/>
    <w:unhideWhenUsed/>
    <w:qFormat/>
    <w:rsid w:val="00595C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5C9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95C95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95C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5C95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595C95"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qFormat/>
    <w:rsid w:val="00595C95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595C95"/>
    <w:pPr>
      <w:spacing w:line="240" w:lineRule="auto"/>
      <w:ind w:firstLineChars="200" w:firstLine="420"/>
    </w:pPr>
  </w:style>
  <w:style w:type="paragraph" w:customStyle="1" w:styleId="font5">
    <w:name w:val="font5"/>
    <w:basedOn w:val="a"/>
    <w:qFormat/>
    <w:rsid w:val="00595C95"/>
    <w:pPr>
      <w:widowControl/>
      <w:spacing w:before="100" w:beforeAutospacing="1" w:after="100" w:afterAutospacing="1" w:line="240" w:lineRule="auto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5C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595C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595C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595C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595C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595C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595C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595C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595C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b">
    <w:name w:val="Balloon Text"/>
    <w:basedOn w:val="a"/>
    <w:link w:val="Char2"/>
    <w:uiPriority w:val="99"/>
    <w:semiHidden/>
    <w:unhideWhenUsed/>
    <w:rsid w:val="005D6CF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D6CF8"/>
    <w:rPr>
      <w:kern w:val="2"/>
      <w:sz w:val="18"/>
      <w:szCs w:val="18"/>
    </w:rPr>
  </w:style>
  <w:style w:type="table" w:styleId="ac">
    <w:name w:val="Table Grid"/>
    <w:basedOn w:val="a1"/>
    <w:uiPriority w:val="59"/>
    <w:rsid w:val="002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39</Pages>
  <Words>3231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医疗保障局</cp:lastModifiedBy>
  <cp:revision>18</cp:revision>
  <cp:lastPrinted>2019-11-26T00:53:00Z</cp:lastPrinted>
  <dcterms:created xsi:type="dcterms:W3CDTF">2019-12-10T23:53:00Z</dcterms:created>
  <dcterms:modified xsi:type="dcterms:W3CDTF">2019-12-13T04:27:00Z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