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C9" w:rsidRDefault="005A077C">
      <w:pPr>
        <w:widowControl/>
        <w:adjustRightInd w:val="0"/>
        <w:snapToGrid w:val="0"/>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温州市食盐储备管理暂行办法</w:t>
      </w:r>
    </w:p>
    <w:p w:rsidR="00D96CC9" w:rsidRDefault="005A077C">
      <w:pPr>
        <w:widowControl/>
        <w:adjustRightInd w:val="0"/>
        <w:snapToGrid w:val="0"/>
        <w:spacing w:line="560" w:lineRule="exact"/>
        <w:jc w:val="center"/>
        <w:rPr>
          <w:rFonts w:ascii="楷体" w:eastAsia="楷体" w:hAnsi="楷体" w:cs="楷体"/>
          <w:kern w:val="0"/>
          <w:sz w:val="32"/>
          <w:szCs w:val="32"/>
        </w:rPr>
      </w:pPr>
      <w:r>
        <w:rPr>
          <w:rFonts w:ascii="楷体" w:eastAsia="楷体" w:hAnsi="楷体" w:cs="楷体" w:hint="eastAsia"/>
          <w:kern w:val="0"/>
          <w:sz w:val="32"/>
          <w:szCs w:val="32"/>
        </w:rPr>
        <w:t>（征求意见稿）</w:t>
      </w:r>
    </w:p>
    <w:p w:rsidR="00D96CC9" w:rsidRDefault="00D96CC9">
      <w:pPr>
        <w:pStyle w:val="1"/>
        <w:widowControl/>
        <w:snapToGrid w:val="0"/>
        <w:spacing w:line="560" w:lineRule="exact"/>
        <w:ind w:left="360" w:firstLineChars="900" w:firstLine="2891"/>
        <w:rPr>
          <w:rFonts w:ascii="Times New Roman" w:eastAsia="仿宋_GB2312" w:hAnsi="Times New Roman" w:cs="Times New Roman"/>
          <w:b/>
          <w:smallCaps/>
          <w:kern w:val="0"/>
          <w:sz w:val="32"/>
          <w:szCs w:val="32"/>
        </w:rPr>
      </w:pPr>
    </w:p>
    <w:p w:rsidR="00D96CC9" w:rsidRDefault="005A077C">
      <w:pPr>
        <w:widowControl/>
        <w:snapToGrid w:val="0"/>
        <w:spacing w:line="560" w:lineRule="exact"/>
        <w:jc w:val="center"/>
        <w:rPr>
          <w:rFonts w:ascii="Times New Roman" w:eastAsia="黑体" w:hAnsi="Times New Roman" w:cs="Times New Roman"/>
          <w:smallCaps/>
          <w:kern w:val="0"/>
          <w:sz w:val="32"/>
          <w:szCs w:val="32"/>
        </w:rPr>
      </w:pPr>
      <w:r>
        <w:rPr>
          <w:rFonts w:ascii="Times New Roman" w:eastAsia="黑体" w:hAnsi="Times New Roman" w:cs="Times New Roman"/>
          <w:smallCaps/>
          <w:kern w:val="0"/>
          <w:sz w:val="32"/>
          <w:szCs w:val="32"/>
        </w:rPr>
        <w:t>第一章</w:t>
      </w:r>
      <w:r>
        <w:rPr>
          <w:rFonts w:ascii="Times New Roman" w:eastAsia="黑体" w:hAnsi="Times New Roman" w:cs="Times New Roman"/>
          <w:smallCaps/>
          <w:kern w:val="0"/>
          <w:sz w:val="32"/>
          <w:szCs w:val="32"/>
        </w:rPr>
        <w:t xml:space="preserve"> </w:t>
      </w:r>
      <w:r>
        <w:rPr>
          <w:rFonts w:ascii="Times New Roman" w:eastAsia="黑体" w:hAnsi="Times New Roman" w:cs="Times New Roman"/>
          <w:smallCaps/>
          <w:kern w:val="0"/>
          <w:sz w:val="32"/>
          <w:szCs w:val="32"/>
        </w:rPr>
        <w:t>总则</w:t>
      </w:r>
    </w:p>
    <w:p w:rsidR="00D96CC9" w:rsidRDefault="005A077C">
      <w:pPr>
        <w:pStyle w:val="1"/>
        <w:widowControl/>
        <w:snapToGrid w:val="0"/>
        <w:spacing w:line="56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kern w:val="0"/>
          <w:sz w:val="32"/>
          <w:szCs w:val="32"/>
        </w:rPr>
        <w:t>第一条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为加强全市食盐储备管理，增强应对各类突发事件能力，维护食盐市场稳定，保障食盐供应安全，</w:t>
      </w:r>
      <w:r>
        <w:rPr>
          <w:rFonts w:ascii="Times New Roman" w:eastAsia="仿宋_GB2312" w:hAnsi="Times New Roman" w:cs="Times New Roman"/>
          <w:color w:val="000000"/>
          <w:kern w:val="0"/>
          <w:sz w:val="32"/>
          <w:szCs w:val="32"/>
        </w:rPr>
        <w:t>根据《浙江省食盐储备管理暂行办法》（浙政</w:t>
      </w:r>
      <w:r>
        <w:rPr>
          <w:rFonts w:ascii="Times New Roman" w:eastAsia="仿宋_GB2312" w:hAnsi="Times New Roman" w:cs="Times New Roman" w:hint="eastAsia"/>
          <w:color w:val="000000"/>
          <w:kern w:val="0"/>
          <w:sz w:val="32"/>
          <w:szCs w:val="32"/>
        </w:rPr>
        <w:t>办</w:t>
      </w:r>
      <w:r>
        <w:rPr>
          <w:rFonts w:ascii="Times New Roman" w:eastAsia="仿宋_GB2312" w:hAnsi="Times New Roman" w:cs="Times New Roman"/>
          <w:color w:val="000000"/>
          <w:kern w:val="0"/>
          <w:sz w:val="32"/>
          <w:szCs w:val="32"/>
        </w:rPr>
        <w:t>发〔</w:t>
      </w:r>
      <w:r>
        <w:rPr>
          <w:rFonts w:ascii="Times New Roman" w:eastAsia="仿宋_GB2312" w:hAnsi="Times New Roman" w:cs="Times New Roman"/>
          <w:color w:val="000000"/>
          <w:kern w:val="0"/>
          <w:sz w:val="32"/>
          <w:szCs w:val="32"/>
        </w:rPr>
        <w:t>2017</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62</w:t>
      </w:r>
      <w:r>
        <w:rPr>
          <w:rFonts w:ascii="Times New Roman" w:eastAsia="仿宋_GB2312" w:hAnsi="Times New Roman" w:cs="Times New Roman"/>
          <w:color w:val="000000"/>
          <w:kern w:val="0"/>
          <w:sz w:val="32"/>
          <w:szCs w:val="32"/>
        </w:rPr>
        <w:t>号）和《温州市盐业体制改革实施方案》（温政办〔</w:t>
      </w:r>
      <w:r>
        <w:rPr>
          <w:rFonts w:ascii="Times New Roman" w:eastAsia="仿宋_GB2312" w:hAnsi="Times New Roman" w:cs="Times New Roman"/>
          <w:color w:val="000000"/>
          <w:kern w:val="0"/>
          <w:sz w:val="32"/>
          <w:szCs w:val="32"/>
        </w:rPr>
        <w:t>2017</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63</w:t>
      </w:r>
      <w:r>
        <w:rPr>
          <w:rFonts w:ascii="Times New Roman" w:eastAsia="仿宋_GB2312" w:hAnsi="Times New Roman" w:cs="Times New Roman"/>
          <w:color w:val="000000"/>
          <w:kern w:val="0"/>
          <w:sz w:val="32"/>
          <w:szCs w:val="32"/>
        </w:rPr>
        <w:t>号）</w:t>
      </w:r>
      <w:r>
        <w:rPr>
          <w:rFonts w:ascii="Times New Roman" w:eastAsia="仿宋_GB2312" w:hAnsi="Times New Roman" w:cs="Times New Roman" w:hint="eastAsia"/>
          <w:color w:val="000000"/>
          <w:kern w:val="0"/>
          <w:sz w:val="32"/>
          <w:szCs w:val="32"/>
        </w:rPr>
        <w:t>等</w:t>
      </w:r>
      <w:r>
        <w:rPr>
          <w:rFonts w:ascii="Times New Roman" w:eastAsia="仿宋_GB2312" w:hAnsi="Times New Roman" w:cs="Times New Roman"/>
          <w:color w:val="000000"/>
          <w:kern w:val="0"/>
          <w:sz w:val="32"/>
          <w:szCs w:val="32"/>
        </w:rPr>
        <w:t>要求，结合本市实际，特制定本办法。</w:t>
      </w:r>
    </w:p>
    <w:p w:rsidR="00D96CC9" w:rsidRDefault="005A077C">
      <w:pPr>
        <w:pStyle w:val="p0"/>
        <w:autoSpaceDN w:val="0"/>
        <w:snapToGrid w:val="0"/>
        <w:spacing w:line="560" w:lineRule="exact"/>
        <w:ind w:firstLine="643"/>
        <w:jc w:val="both"/>
        <w:rPr>
          <w:rFonts w:eastAsia="仿宋_GB2312"/>
          <w:bCs/>
        </w:rPr>
      </w:pPr>
      <w:r>
        <w:rPr>
          <w:rFonts w:eastAsia="仿宋_GB2312"/>
          <w:bCs/>
        </w:rPr>
        <w:t>第二条</w:t>
      </w:r>
      <w:r>
        <w:rPr>
          <w:rFonts w:eastAsia="仿宋_GB2312"/>
          <w:bCs/>
        </w:rPr>
        <w:t xml:space="preserve">  </w:t>
      </w:r>
      <w:r>
        <w:rPr>
          <w:rFonts w:eastAsia="仿宋_GB2312"/>
          <w:bCs/>
        </w:rPr>
        <w:t>本办法所称食盐储备是指用于应对各类突发事件应急需要和调节食盐市场异常波动的成品食盐储备，由政府储备和企业储备组成。</w:t>
      </w:r>
    </w:p>
    <w:p w:rsidR="00D96CC9" w:rsidRDefault="005A077C">
      <w:pPr>
        <w:pStyle w:val="p0"/>
        <w:autoSpaceDN w:val="0"/>
        <w:snapToGrid w:val="0"/>
        <w:spacing w:line="560" w:lineRule="exact"/>
        <w:ind w:firstLine="643"/>
        <w:jc w:val="both"/>
        <w:rPr>
          <w:rFonts w:eastAsia="仿宋_GB2312"/>
          <w:bCs/>
        </w:rPr>
      </w:pPr>
      <w:r>
        <w:rPr>
          <w:rFonts w:eastAsia="仿宋_GB2312"/>
          <w:bCs/>
        </w:rPr>
        <w:t>政府食盐储备遵循企业承储、银行贷款、政府补贴、市场运作、自负盈亏的原则。</w:t>
      </w:r>
    </w:p>
    <w:p w:rsidR="00D96CC9" w:rsidRDefault="005A077C">
      <w:pPr>
        <w:widowControl/>
        <w:adjustRightInd w:val="0"/>
        <w:snapToGrid w:val="0"/>
        <w:spacing w:line="560" w:lineRule="exact"/>
        <w:ind w:leftChars="50" w:left="105" w:rightChars="50" w:right="105"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第三条</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sz w:val="32"/>
          <w:szCs w:val="32"/>
        </w:rPr>
        <w:t>市</w:t>
      </w:r>
      <w:r>
        <w:rPr>
          <w:rFonts w:ascii="Times New Roman" w:eastAsia="仿宋_GB2312" w:hAnsi="Times New Roman" w:cs="Times New Roman" w:hint="eastAsia"/>
          <w:color w:val="000000"/>
          <w:kern w:val="0"/>
          <w:sz w:val="32"/>
          <w:szCs w:val="32"/>
        </w:rPr>
        <w:t>经信委</w:t>
      </w:r>
      <w:r>
        <w:rPr>
          <w:rFonts w:ascii="Times New Roman" w:eastAsia="仿宋_GB2312" w:hAnsi="Times New Roman" w:cs="Times New Roman"/>
          <w:sz w:val="32"/>
          <w:szCs w:val="32"/>
        </w:rPr>
        <w:t>负责</w:t>
      </w:r>
      <w:r>
        <w:rPr>
          <w:rFonts w:ascii="Times New Roman" w:eastAsia="仿宋_GB2312" w:hAnsi="Times New Roman" w:cs="Times New Roman" w:hint="eastAsia"/>
          <w:sz w:val="32"/>
          <w:szCs w:val="32"/>
        </w:rPr>
        <w:t>市本级</w:t>
      </w:r>
      <w:r>
        <w:rPr>
          <w:rFonts w:ascii="Times New Roman" w:eastAsia="仿宋_GB2312" w:hAnsi="Times New Roman" w:cs="Times New Roman"/>
          <w:sz w:val="32"/>
          <w:szCs w:val="32"/>
        </w:rPr>
        <w:t>（不含洞头区</w:t>
      </w:r>
      <w:r>
        <w:rPr>
          <w:rFonts w:ascii="Times New Roman" w:eastAsia="仿宋_GB2312" w:hAnsi="Times New Roman" w:cs="Times New Roman" w:hint="eastAsia"/>
          <w:sz w:val="32"/>
          <w:szCs w:val="32"/>
        </w:rPr>
        <w:t>，以下简称市级</w:t>
      </w:r>
      <w:r>
        <w:rPr>
          <w:rFonts w:ascii="Times New Roman" w:eastAsia="仿宋_GB2312" w:hAnsi="Times New Roman" w:cs="Times New Roman"/>
          <w:sz w:val="32"/>
          <w:szCs w:val="32"/>
        </w:rPr>
        <w:t>）食盐储备</w:t>
      </w:r>
      <w:r>
        <w:rPr>
          <w:rFonts w:ascii="Times New Roman" w:eastAsia="仿宋_GB2312" w:hAnsi="Times New Roman" w:cs="Times New Roman" w:hint="eastAsia"/>
          <w:sz w:val="32"/>
          <w:szCs w:val="32"/>
        </w:rPr>
        <w:t>管理工作</w:t>
      </w: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包括编制</w:t>
      </w:r>
      <w:r>
        <w:rPr>
          <w:rFonts w:ascii="Times New Roman" w:eastAsia="仿宋_GB2312" w:hAnsi="Times New Roman" w:cs="Times New Roman"/>
          <w:color w:val="000000"/>
          <w:kern w:val="0"/>
          <w:sz w:val="32"/>
          <w:szCs w:val="32"/>
        </w:rPr>
        <w:t>年度</w:t>
      </w:r>
      <w:r>
        <w:rPr>
          <w:rFonts w:ascii="Times New Roman" w:eastAsia="仿宋_GB2312" w:hAnsi="Times New Roman" w:cs="Times New Roman" w:hint="eastAsia"/>
          <w:color w:val="000000"/>
          <w:kern w:val="0"/>
          <w:sz w:val="32"/>
          <w:szCs w:val="32"/>
        </w:rPr>
        <w:t>市级</w:t>
      </w:r>
      <w:r>
        <w:rPr>
          <w:rFonts w:ascii="Times New Roman" w:eastAsia="仿宋_GB2312" w:hAnsi="Times New Roman" w:cs="Times New Roman"/>
          <w:color w:val="000000"/>
          <w:kern w:val="0"/>
          <w:sz w:val="32"/>
          <w:szCs w:val="32"/>
        </w:rPr>
        <w:t>政府食盐储备计划</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会同</w:t>
      </w:r>
      <w:r>
        <w:rPr>
          <w:rFonts w:ascii="Times New Roman" w:eastAsia="仿宋_GB2312" w:hAnsi="Times New Roman" w:cs="Times New Roman" w:hint="eastAsia"/>
          <w:color w:val="000000"/>
          <w:kern w:val="0"/>
          <w:sz w:val="32"/>
          <w:szCs w:val="32"/>
        </w:rPr>
        <w:t>市</w:t>
      </w:r>
      <w:r>
        <w:rPr>
          <w:rFonts w:ascii="Times New Roman" w:eastAsia="仿宋_GB2312" w:hAnsi="Times New Roman" w:cs="Times New Roman"/>
          <w:color w:val="000000"/>
          <w:kern w:val="0"/>
          <w:sz w:val="32"/>
          <w:szCs w:val="32"/>
        </w:rPr>
        <w:t>财政</w:t>
      </w:r>
      <w:r>
        <w:rPr>
          <w:rFonts w:ascii="Times New Roman" w:eastAsia="仿宋_GB2312" w:hAnsi="Times New Roman" w:cs="Times New Roman" w:hint="eastAsia"/>
          <w:color w:val="000000"/>
          <w:kern w:val="0"/>
          <w:sz w:val="32"/>
          <w:szCs w:val="32"/>
        </w:rPr>
        <w:t>局</w:t>
      </w:r>
      <w:r>
        <w:rPr>
          <w:rFonts w:ascii="Times New Roman" w:eastAsia="仿宋_GB2312" w:hAnsi="Times New Roman" w:cs="Times New Roman"/>
          <w:color w:val="000000"/>
          <w:kern w:val="0"/>
          <w:sz w:val="32"/>
          <w:szCs w:val="32"/>
        </w:rPr>
        <w:t>下达并监督执行</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牵头协调</w:t>
      </w:r>
      <w:r>
        <w:rPr>
          <w:rFonts w:ascii="Times New Roman" w:eastAsia="仿宋_GB2312" w:hAnsi="Times New Roman" w:cs="Times New Roman" w:hint="eastAsia"/>
          <w:color w:val="000000"/>
          <w:kern w:val="0"/>
          <w:sz w:val="32"/>
          <w:szCs w:val="32"/>
        </w:rPr>
        <w:t>市级</w:t>
      </w:r>
      <w:r>
        <w:rPr>
          <w:rFonts w:ascii="Times New Roman" w:eastAsia="仿宋_GB2312" w:hAnsi="Times New Roman" w:cs="Times New Roman"/>
          <w:color w:val="000000"/>
          <w:kern w:val="0"/>
          <w:sz w:val="32"/>
          <w:szCs w:val="32"/>
        </w:rPr>
        <w:t>政府食盐储备管理中的有关问题</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对食盐储备库存情况实施监督检查</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组织食盐应急供应保障。</w:t>
      </w:r>
    </w:p>
    <w:p w:rsidR="00D96CC9" w:rsidRDefault="005A077C">
      <w:pPr>
        <w:pStyle w:val="1"/>
        <w:widowControl/>
        <w:snapToGrid w:val="0"/>
        <w:spacing w:line="56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第四条</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市财政局负责</w:t>
      </w:r>
      <w:r>
        <w:rPr>
          <w:rFonts w:ascii="Times New Roman" w:eastAsia="仿宋_GB2312" w:hAnsi="Times New Roman" w:cs="Times New Roman" w:hint="eastAsia"/>
          <w:color w:val="000000"/>
          <w:kern w:val="0"/>
          <w:sz w:val="32"/>
          <w:szCs w:val="32"/>
        </w:rPr>
        <w:t>市级</w:t>
      </w:r>
      <w:r>
        <w:rPr>
          <w:rFonts w:ascii="Times New Roman" w:eastAsia="仿宋_GB2312" w:hAnsi="Times New Roman" w:cs="Times New Roman"/>
          <w:color w:val="000000"/>
          <w:kern w:val="0"/>
          <w:sz w:val="32"/>
          <w:szCs w:val="32"/>
        </w:rPr>
        <w:t>政府食盐储备补贴资金管理，包括编制</w:t>
      </w:r>
      <w:r>
        <w:rPr>
          <w:rFonts w:ascii="Times New Roman" w:eastAsia="仿宋_GB2312" w:hAnsi="Times New Roman" w:cs="Times New Roman" w:hint="eastAsia"/>
          <w:color w:val="000000"/>
          <w:kern w:val="0"/>
          <w:sz w:val="32"/>
          <w:szCs w:val="32"/>
        </w:rPr>
        <w:t>市级</w:t>
      </w:r>
      <w:r>
        <w:rPr>
          <w:rFonts w:ascii="Times New Roman" w:eastAsia="仿宋_GB2312" w:hAnsi="Times New Roman" w:cs="Times New Roman"/>
          <w:color w:val="000000"/>
          <w:kern w:val="0"/>
          <w:sz w:val="32"/>
          <w:szCs w:val="32"/>
        </w:rPr>
        <w:t>政府食盐储备补贴资金预算，按规定拨付储备补贴，组织储备费用补贴清算。</w:t>
      </w:r>
    </w:p>
    <w:p w:rsidR="00D96CC9" w:rsidRDefault="005A077C">
      <w:pPr>
        <w:widowControl/>
        <w:snapToGrid w:val="0"/>
        <w:spacing w:line="560"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bCs/>
          <w:kern w:val="0"/>
          <w:sz w:val="32"/>
          <w:szCs w:val="32"/>
        </w:rPr>
        <w:lastRenderedPageBreak/>
        <w:t>第五条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各县（市）及洞头区政府食盐储备管理办法由当地人民政府制定并负责组织实施。</w:t>
      </w:r>
    </w:p>
    <w:p w:rsidR="00D96CC9" w:rsidRDefault="005A077C">
      <w:pPr>
        <w:widowControl/>
        <w:snapToGrid w:val="0"/>
        <w:spacing w:line="560" w:lineRule="exact"/>
        <w:ind w:firstLineChars="700" w:firstLine="2240"/>
        <w:rPr>
          <w:rFonts w:ascii="Times New Roman" w:eastAsia="黑体" w:hAnsi="Times New Roman" w:cs="Times New Roman"/>
          <w:smallCaps/>
          <w:kern w:val="0"/>
          <w:sz w:val="32"/>
          <w:szCs w:val="32"/>
        </w:rPr>
      </w:pPr>
      <w:r>
        <w:rPr>
          <w:rFonts w:ascii="Times New Roman" w:eastAsia="黑体" w:hAnsi="Times New Roman" w:cs="Times New Roman"/>
          <w:smallCaps/>
          <w:kern w:val="0"/>
          <w:sz w:val="32"/>
          <w:szCs w:val="32"/>
        </w:rPr>
        <w:t>第二章</w:t>
      </w:r>
      <w:r>
        <w:rPr>
          <w:rFonts w:ascii="Times New Roman" w:eastAsia="黑体" w:hAnsi="Times New Roman" w:cs="Times New Roman"/>
          <w:smallCaps/>
          <w:kern w:val="0"/>
          <w:sz w:val="32"/>
          <w:szCs w:val="32"/>
        </w:rPr>
        <w:t xml:space="preserve">  </w:t>
      </w:r>
      <w:r>
        <w:rPr>
          <w:rFonts w:ascii="Times New Roman" w:eastAsia="黑体" w:hAnsi="Times New Roman" w:cs="Times New Roman"/>
          <w:smallCaps/>
          <w:kern w:val="0"/>
          <w:sz w:val="32"/>
          <w:szCs w:val="32"/>
        </w:rPr>
        <w:t>食盐储备规模和资金</w:t>
      </w:r>
    </w:p>
    <w:p w:rsidR="00D96CC9" w:rsidRDefault="005A077C">
      <w:pPr>
        <w:pStyle w:val="p0"/>
        <w:autoSpaceDN w:val="0"/>
        <w:snapToGrid w:val="0"/>
        <w:spacing w:line="560" w:lineRule="exact"/>
        <w:jc w:val="both"/>
        <w:rPr>
          <w:rFonts w:eastAsia="仿宋_GB2312"/>
        </w:rPr>
      </w:pPr>
      <w:r>
        <w:rPr>
          <w:rFonts w:eastAsia="仿宋_GB2312"/>
          <w:bCs/>
        </w:rPr>
        <w:t>第六条</w:t>
      </w:r>
      <w:r>
        <w:rPr>
          <w:rFonts w:eastAsia="仿宋_GB2312" w:hint="eastAsia"/>
        </w:rPr>
        <w:t>市级</w:t>
      </w:r>
      <w:r>
        <w:rPr>
          <w:rFonts w:eastAsia="仿宋_GB2312"/>
        </w:rPr>
        <w:t>政府食盐储备规模为</w:t>
      </w:r>
      <w:r>
        <w:rPr>
          <w:rFonts w:eastAsia="仿宋_GB2312" w:hint="eastAsia"/>
        </w:rPr>
        <w:t>市级</w:t>
      </w:r>
      <w:r>
        <w:rPr>
          <w:rFonts w:eastAsia="仿宋_GB2312"/>
        </w:rPr>
        <w:t>上一年度月均食盐消费量，</w:t>
      </w:r>
      <w:r>
        <w:rPr>
          <w:rFonts w:eastAsia="仿宋_GB2312" w:hint="eastAsia"/>
        </w:rPr>
        <w:t>其中小包装食盐数量不低于储备量的二分之一。</w:t>
      </w:r>
    </w:p>
    <w:p w:rsidR="00D96CC9" w:rsidRDefault="005A077C">
      <w:pPr>
        <w:pStyle w:val="p0"/>
        <w:autoSpaceDN w:val="0"/>
        <w:snapToGrid w:val="0"/>
        <w:spacing w:line="560" w:lineRule="exact"/>
        <w:jc w:val="both"/>
        <w:rPr>
          <w:rFonts w:eastAsia="仿宋_GB2312"/>
        </w:rPr>
      </w:pPr>
      <w:r>
        <w:rPr>
          <w:rFonts w:eastAsia="仿宋_GB2312" w:hint="eastAsia"/>
        </w:rPr>
        <w:t xml:space="preserve">    </w:t>
      </w:r>
      <w:r>
        <w:rPr>
          <w:rFonts w:eastAsia="仿宋_GB2312" w:hint="eastAsia"/>
        </w:rPr>
        <w:t>第七条</w:t>
      </w:r>
      <w:r>
        <w:rPr>
          <w:rFonts w:eastAsia="仿宋_GB2312" w:hint="eastAsia"/>
        </w:rPr>
        <w:t xml:space="preserve">  </w:t>
      </w:r>
      <w:r>
        <w:rPr>
          <w:rFonts w:eastAsia="仿宋_GB2312" w:hint="eastAsia"/>
        </w:rPr>
        <w:t>食盐批发企业应建立成本自负的企业储备，最低库存不得低于本企业正常情况下一个月的平均销售量。具体标准按</w:t>
      </w:r>
      <w:r>
        <w:rPr>
          <w:rFonts w:eastAsia="仿宋_GB2312"/>
        </w:rPr>
        <w:t>照国务院</w:t>
      </w:r>
      <w:r>
        <w:rPr>
          <w:rFonts w:eastAsia="仿宋_GB2312" w:hint="eastAsia"/>
        </w:rPr>
        <w:t>、省政府</w:t>
      </w:r>
      <w:r>
        <w:rPr>
          <w:rFonts w:eastAsia="仿宋_GB2312"/>
        </w:rPr>
        <w:t>盐业主管机构有关标准执行。</w:t>
      </w:r>
    </w:p>
    <w:p w:rsidR="00D96CC9" w:rsidRDefault="005A077C">
      <w:pPr>
        <w:pStyle w:val="p0"/>
        <w:autoSpaceDN w:val="0"/>
        <w:snapToGrid w:val="0"/>
        <w:spacing w:line="560" w:lineRule="exact"/>
        <w:jc w:val="both"/>
        <w:rPr>
          <w:rFonts w:eastAsia="仿宋_GB2312"/>
        </w:rPr>
      </w:pPr>
      <w:r>
        <w:rPr>
          <w:rFonts w:eastAsia="仿宋_GB2312"/>
          <w:bCs/>
        </w:rPr>
        <w:t>第八条</w:t>
      </w:r>
      <w:r>
        <w:rPr>
          <w:rFonts w:eastAsia="仿宋_GB2312"/>
          <w:bCs/>
        </w:rPr>
        <w:t xml:space="preserve">  </w:t>
      </w:r>
      <w:r>
        <w:rPr>
          <w:rFonts w:eastAsia="仿宋_GB2312"/>
        </w:rPr>
        <w:t>食盐储备资金由承储单位向金融机构贷款或</w:t>
      </w:r>
      <w:r>
        <w:rPr>
          <w:rFonts w:eastAsia="仿宋_GB2312" w:hint="eastAsia"/>
        </w:rPr>
        <w:t>通过</w:t>
      </w:r>
      <w:r>
        <w:rPr>
          <w:rFonts w:eastAsia="仿宋_GB2312"/>
        </w:rPr>
        <w:t>其他合法渠道筹措解决。</w:t>
      </w:r>
      <w:r>
        <w:rPr>
          <w:rFonts w:eastAsia="仿宋_GB2312"/>
          <w:color w:val="000000"/>
        </w:rPr>
        <w:t>市</w:t>
      </w:r>
      <w:r>
        <w:rPr>
          <w:rFonts w:eastAsia="仿宋_GB2312"/>
        </w:rPr>
        <w:t>财政对承担</w:t>
      </w:r>
      <w:r>
        <w:rPr>
          <w:rFonts w:eastAsia="仿宋_GB2312" w:hint="eastAsia"/>
        </w:rPr>
        <w:t>市级</w:t>
      </w:r>
      <w:r>
        <w:rPr>
          <w:rFonts w:eastAsia="仿宋_GB2312"/>
        </w:rPr>
        <w:t>政府食盐储备的单位给予储备利息、保管费用补贴。储备利息按计划内实际库存数量、购入含税单价和一年期银行贷款基准利率计算；保管费用</w:t>
      </w:r>
      <w:r>
        <w:rPr>
          <w:rFonts w:eastAsia="仿宋_GB2312" w:hint="eastAsia"/>
        </w:rPr>
        <w:t>按计划内实际库存数量和储存时间计算</w:t>
      </w:r>
      <w:r>
        <w:rPr>
          <w:rFonts w:eastAsia="仿宋_GB2312"/>
        </w:rPr>
        <w:t>。补贴资金列入</w:t>
      </w:r>
      <w:r>
        <w:rPr>
          <w:rFonts w:eastAsia="仿宋_GB2312"/>
          <w:color w:val="000000"/>
        </w:rPr>
        <w:t>市</w:t>
      </w:r>
      <w:r>
        <w:rPr>
          <w:rFonts w:eastAsia="仿宋_GB2312"/>
        </w:rPr>
        <w:t>财政预算。</w:t>
      </w:r>
    </w:p>
    <w:p w:rsidR="00D96CC9" w:rsidRDefault="005A077C">
      <w:pPr>
        <w:pStyle w:val="p0"/>
        <w:autoSpaceDN w:val="0"/>
        <w:snapToGrid w:val="0"/>
        <w:spacing w:line="560" w:lineRule="exact"/>
        <w:ind w:firstLineChars="200" w:firstLine="640"/>
        <w:jc w:val="both"/>
        <w:rPr>
          <w:rFonts w:eastAsia="仿宋_GB2312"/>
        </w:rPr>
      </w:pPr>
      <w:r>
        <w:rPr>
          <w:rFonts w:eastAsia="仿宋_GB2312"/>
          <w:bCs/>
        </w:rPr>
        <w:t>第九条</w:t>
      </w:r>
      <w:r>
        <w:rPr>
          <w:rFonts w:eastAsia="仿宋_GB2312" w:hint="eastAsia"/>
          <w:color w:val="000000"/>
        </w:rPr>
        <w:t>市级</w:t>
      </w:r>
      <w:r>
        <w:rPr>
          <w:rFonts w:eastAsia="仿宋_GB2312"/>
        </w:rPr>
        <w:t>政府食盐储备补贴，由市财政根据上年储备清算结果以及当年储备计划核定，采取年初预拨</w:t>
      </w:r>
      <w:r>
        <w:rPr>
          <w:rFonts w:eastAsia="仿宋_GB2312" w:hint="eastAsia"/>
        </w:rPr>
        <w:t>、</w:t>
      </w:r>
      <w:r>
        <w:rPr>
          <w:rFonts w:eastAsia="仿宋_GB2312"/>
        </w:rPr>
        <w:t>年终清算的方式。每年储备计划下达后，由承储单位提出书面申请，经市</w:t>
      </w:r>
      <w:r>
        <w:rPr>
          <w:rFonts w:eastAsia="仿宋_GB2312" w:hint="eastAsia"/>
          <w:color w:val="000000"/>
        </w:rPr>
        <w:t>经信委审核后由</w:t>
      </w:r>
      <w:r>
        <w:rPr>
          <w:rFonts w:eastAsia="仿宋_GB2312"/>
        </w:rPr>
        <w:t>市财政局拨付。年度储备计划结束后，由市财政局委托中介机构对补贴资金进行清算，多退少补。</w:t>
      </w:r>
    </w:p>
    <w:p w:rsidR="00D96CC9" w:rsidRDefault="005A077C">
      <w:pPr>
        <w:pStyle w:val="p0"/>
        <w:autoSpaceDN w:val="0"/>
        <w:snapToGrid w:val="0"/>
        <w:spacing w:line="560" w:lineRule="exact"/>
        <w:ind w:firstLineChars="800" w:firstLine="2560"/>
        <w:jc w:val="both"/>
        <w:rPr>
          <w:rFonts w:eastAsia="黑体"/>
          <w:b/>
          <w:bCs/>
          <w:smallCaps/>
        </w:rPr>
      </w:pPr>
      <w:r>
        <w:rPr>
          <w:rFonts w:eastAsia="黑体"/>
          <w:smallCaps/>
        </w:rPr>
        <w:t>第三章</w:t>
      </w:r>
      <w:r>
        <w:rPr>
          <w:rFonts w:eastAsia="黑体"/>
          <w:smallCaps/>
        </w:rPr>
        <w:t xml:space="preserve">  </w:t>
      </w:r>
      <w:r>
        <w:rPr>
          <w:rFonts w:eastAsia="黑体"/>
          <w:smallCaps/>
        </w:rPr>
        <w:t>储备食盐的储存</w:t>
      </w:r>
    </w:p>
    <w:p w:rsidR="00D96CC9" w:rsidRDefault="005A077C">
      <w:pPr>
        <w:pStyle w:val="p0"/>
        <w:autoSpaceDN w:val="0"/>
        <w:snapToGrid w:val="0"/>
        <w:spacing w:line="560" w:lineRule="exact"/>
        <w:jc w:val="both"/>
        <w:rPr>
          <w:rFonts w:eastAsia="仿宋_GB2312"/>
        </w:rPr>
      </w:pPr>
      <w:r>
        <w:rPr>
          <w:rFonts w:eastAsia="仿宋_GB2312"/>
          <w:bCs/>
          <w:smallCaps/>
        </w:rPr>
        <w:t>第十条</w:t>
      </w:r>
      <w:r>
        <w:rPr>
          <w:rFonts w:eastAsia="仿宋_GB2312" w:hint="eastAsia"/>
          <w:color w:val="000000"/>
        </w:rPr>
        <w:t>市级</w:t>
      </w:r>
      <w:r>
        <w:rPr>
          <w:rFonts w:eastAsia="仿宋_GB2312"/>
        </w:rPr>
        <w:t>政府食盐储备由浙江省盐业集团温</w:t>
      </w:r>
      <w:r>
        <w:rPr>
          <w:rFonts w:eastAsia="仿宋_GB2312"/>
        </w:rPr>
        <w:t>州市盐业有限公司承担，由市</w:t>
      </w:r>
      <w:r>
        <w:rPr>
          <w:rFonts w:eastAsia="仿宋_GB2312" w:hint="eastAsia"/>
          <w:color w:val="000000"/>
        </w:rPr>
        <w:t>经信委</w:t>
      </w:r>
      <w:r>
        <w:rPr>
          <w:rFonts w:eastAsia="仿宋_GB2312"/>
        </w:rPr>
        <w:t>负责</w:t>
      </w:r>
      <w:r>
        <w:rPr>
          <w:rFonts w:eastAsia="仿宋_GB2312" w:hint="eastAsia"/>
        </w:rPr>
        <w:t>与</w:t>
      </w:r>
      <w:r>
        <w:rPr>
          <w:rFonts w:eastAsia="仿宋_GB2312"/>
        </w:rPr>
        <w:t>承储单位签订承储协议。</w:t>
      </w:r>
    </w:p>
    <w:p w:rsidR="00D96CC9" w:rsidRDefault="005A077C">
      <w:pPr>
        <w:pStyle w:val="p0"/>
        <w:autoSpaceDN w:val="0"/>
        <w:snapToGrid w:val="0"/>
        <w:spacing w:line="560" w:lineRule="exact"/>
        <w:ind w:firstLineChars="200" w:firstLine="640"/>
        <w:jc w:val="both"/>
        <w:rPr>
          <w:rFonts w:eastAsia="仿宋_GB2312"/>
        </w:rPr>
      </w:pPr>
      <w:r>
        <w:rPr>
          <w:rFonts w:eastAsia="仿宋_GB2312"/>
          <w:bCs/>
          <w:smallCaps/>
        </w:rPr>
        <w:lastRenderedPageBreak/>
        <w:t>第十一条</w:t>
      </w:r>
      <w:r>
        <w:rPr>
          <w:rFonts w:eastAsia="仿宋_GB2312" w:hint="eastAsia"/>
        </w:rPr>
        <w:t>市级</w:t>
      </w:r>
      <w:r>
        <w:rPr>
          <w:rFonts w:eastAsia="仿宋_GB2312"/>
        </w:rPr>
        <w:t>政府食盐储备</w:t>
      </w:r>
      <w:r>
        <w:rPr>
          <w:rFonts w:eastAsia="仿宋_GB2312" w:hint="eastAsia"/>
        </w:rPr>
        <w:t>地</w:t>
      </w:r>
      <w:r>
        <w:rPr>
          <w:rFonts w:eastAsia="仿宋_GB2312"/>
        </w:rPr>
        <w:t>的布局，应当按照覆盖</w:t>
      </w:r>
      <w:r>
        <w:rPr>
          <w:rFonts w:eastAsia="仿宋_GB2312" w:hint="eastAsia"/>
        </w:rPr>
        <w:t>全市</w:t>
      </w:r>
      <w:r>
        <w:rPr>
          <w:rFonts w:eastAsia="仿宋_GB2312"/>
        </w:rPr>
        <w:t>、相对集中、有利调运的原则，由承储单位</w:t>
      </w:r>
      <w:r>
        <w:rPr>
          <w:rFonts w:eastAsia="仿宋_GB2312" w:hint="eastAsia"/>
        </w:rPr>
        <w:t>安排</w:t>
      </w:r>
      <w:r>
        <w:rPr>
          <w:rFonts w:eastAsia="仿宋_GB2312"/>
        </w:rPr>
        <w:t>，并报市</w:t>
      </w:r>
      <w:r>
        <w:rPr>
          <w:rFonts w:eastAsia="仿宋_GB2312" w:hint="eastAsia"/>
          <w:color w:val="000000"/>
        </w:rPr>
        <w:t>经信委</w:t>
      </w:r>
      <w:r>
        <w:rPr>
          <w:rFonts w:eastAsia="仿宋_GB2312"/>
        </w:rPr>
        <w:t>审核同意后实施。</w:t>
      </w:r>
    </w:p>
    <w:p w:rsidR="00D96CC9" w:rsidRDefault="005A077C">
      <w:pPr>
        <w:pStyle w:val="p0"/>
        <w:autoSpaceDN w:val="0"/>
        <w:snapToGrid w:val="0"/>
        <w:spacing w:line="560" w:lineRule="exact"/>
        <w:ind w:firstLine="510"/>
        <w:jc w:val="both"/>
        <w:rPr>
          <w:rFonts w:eastAsia="仿宋_GB2312"/>
        </w:rPr>
      </w:pPr>
      <w:r>
        <w:rPr>
          <w:rFonts w:eastAsia="仿宋_GB2312"/>
          <w:bCs/>
        </w:rPr>
        <w:t xml:space="preserve"> </w:t>
      </w:r>
      <w:r>
        <w:rPr>
          <w:rFonts w:eastAsia="仿宋_GB2312"/>
          <w:bCs/>
        </w:rPr>
        <w:t>第十二条</w:t>
      </w:r>
      <w:r>
        <w:rPr>
          <w:rFonts w:eastAsia="仿宋_GB2312"/>
        </w:rPr>
        <w:t>入库的储备食盐质量应符合</w:t>
      </w:r>
      <w:r>
        <w:rPr>
          <w:rFonts w:eastAsia="仿宋_GB2312" w:hint="eastAsia"/>
        </w:rPr>
        <w:t>有关</w:t>
      </w:r>
      <w:r>
        <w:rPr>
          <w:rFonts w:eastAsia="仿宋_GB2312"/>
        </w:rPr>
        <w:t>食品安全标准，其中加碘盐须符合</w:t>
      </w:r>
      <w:r>
        <w:rPr>
          <w:rFonts w:eastAsia="仿宋_GB2312" w:hint="eastAsia"/>
        </w:rPr>
        <w:t>我</w:t>
      </w:r>
      <w:r>
        <w:rPr>
          <w:rFonts w:eastAsia="仿宋_GB2312"/>
        </w:rPr>
        <w:t>省盐碘浓度规定。</w:t>
      </w:r>
    </w:p>
    <w:p w:rsidR="00D96CC9" w:rsidRDefault="005A077C">
      <w:pPr>
        <w:pStyle w:val="p0"/>
        <w:autoSpaceDN w:val="0"/>
        <w:snapToGrid w:val="0"/>
        <w:spacing w:line="560" w:lineRule="exact"/>
        <w:ind w:firstLine="645"/>
        <w:jc w:val="both"/>
        <w:rPr>
          <w:rFonts w:eastAsia="仿宋_GB2312"/>
        </w:rPr>
      </w:pPr>
      <w:r>
        <w:rPr>
          <w:rFonts w:eastAsia="仿宋_GB2312"/>
          <w:bCs/>
        </w:rPr>
        <w:t>第十三条</w:t>
      </w:r>
      <w:r>
        <w:rPr>
          <w:rFonts w:eastAsia="仿宋_GB2312"/>
        </w:rPr>
        <w:t xml:space="preserve">  </w:t>
      </w:r>
      <w:r>
        <w:rPr>
          <w:rFonts w:eastAsia="仿宋_GB2312"/>
        </w:rPr>
        <w:t>食盐储备采取滚动储备方式，及时轮换，确保储备食盐在保质期内。轮换期间储备数量不得少于当年储备计划。</w:t>
      </w:r>
    </w:p>
    <w:p w:rsidR="00D96CC9" w:rsidRDefault="005A077C">
      <w:pPr>
        <w:pStyle w:val="p0"/>
        <w:autoSpaceDN w:val="0"/>
        <w:snapToGrid w:val="0"/>
        <w:spacing w:line="560" w:lineRule="exact"/>
        <w:ind w:firstLine="643"/>
        <w:jc w:val="both"/>
        <w:rPr>
          <w:rFonts w:eastAsia="仿宋_GB2312"/>
        </w:rPr>
      </w:pPr>
      <w:r>
        <w:rPr>
          <w:rFonts w:eastAsia="仿宋_GB2312"/>
          <w:bCs/>
          <w:smallCaps/>
        </w:rPr>
        <w:t>第十四条</w:t>
      </w:r>
      <w:r>
        <w:rPr>
          <w:rFonts w:eastAsia="仿宋_GB2312"/>
          <w:bCs/>
          <w:smallCaps/>
        </w:rPr>
        <w:t xml:space="preserve">  </w:t>
      </w:r>
      <w:r>
        <w:rPr>
          <w:rFonts w:eastAsia="仿宋_GB2312" w:hint="eastAsia"/>
        </w:rPr>
        <w:t>市级</w:t>
      </w:r>
      <w:r>
        <w:rPr>
          <w:rFonts w:eastAsia="仿宋_GB2312"/>
        </w:rPr>
        <w:t>政府储备食盐应当实行专仓储存、专人管理、专账记载，按品种、数量、质量、进出库时间单独建立账卡档案，建立健全并严格执行入库、出库制度。</w:t>
      </w:r>
    </w:p>
    <w:p w:rsidR="00D96CC9" w:rsidRDefault="005A077C">
      <w:pPr>
        <w:pStyle w:val="p0"/>
        <w:autoSpaceDN w:val="0"/>
        <w:snapToGrid w:val="0"/>
        <w:spacing w:line="560" w:lineRule="exact"/>
        <w:jc w:val="center"/>
        <w:rPr>
          <w:rFonts w:eastAsia="黑体"/>
          <w:smallCaps/>
        </w:rPr>
      </w:pPr>
      <w:r>
        <w:rPr>
          <w:rFonts w:eastAsia="黑体"/>
          <w:smallCaps/>
        </w:rPr>
        <w:t>第四章</w:t>
      </w:r>
      <w:r>
        <w:rPr>
          <w:rFonts w:eastAsia="黑体"/>
          <w:smallCaps/>
        </w:rPr>
        <w:t xml:space="preserve">  </w:t>
      </w:r>
      <w:r>
        <w:rPr>
          <w:rFonts w:eastAsia="黑体"/>
          <w:smallCaps/>
        </w:rPr>
        <w:t>储备食盐的</w:t>
      </w:r>
      <w:r>
        <w:rPr>
          <w:rFonts w:eastAsia="黑体" w:hint="eastAsia"/>
          <w:smallCaps/>
        </w:rPr>
        <w:t>调</w:t>
      </w:r>
      <w:r>
        <w:rPr>
          <w:rFonts w:eastAsia="黑体"/>
          <w:smallCaps/>
        </w:rPr>
        <w:t>用</w:t>
      </w:r>
    </w:p>
    <w:p w:rsidR="00D96CC9" w:rsidRDefault="005A077C">
      <w:pPr>
        <w:pStyle w:val="p0"/>
        <w:autoSpaceDN w:val="0"/>
        <w:snapToGrid w:val="0"/>
        <w:spacing w:line="560" w:lineRule="exact"/>
        <w:ind w:firstLine="682"/>
        <w:jc w:val="both"/>
        <w:rPr>
          <w:rFonts w:eastAsia="仿宋_GB2312"/>
        </w:rPr>
      </w:pPr>
      <w:r>
        <w:rPr>
          <w:rFonts w:eastAsia="仿宋_GB2312"/>
          <w:bCs/>
          <w:smallCaps/>
        </w:rPr>
        <w:t>第十</w:t>
      </w:r>
      <w:r>
        <w:rPr>
          <w:rFonts w:eastAsia="仿宋_GB2312" w:hint="eastAsia"/>
          <w:bCs/>
          <w:smallCaps/>
        </w:rPr>
        <w:t>五</w:t>
      </w:r>
      <w:r>
        <w:rPr>
          <w:rFonts w:eastAsia="仿宋_GB2312"/>
          <w:bCs/>
          <w:smallCaps/>
        </w:rPr>
        <w:t>条</w:t>
      </w:r>
      <w:r>
        <w:rPr>
          <w:rFonts w:eastAsia="仿宋_GB2312"/>
        </w:rPr>
        <w:t>出现下列情况，可以</w:t>
      </w:r>
      <w:r>
        <w:rPr>
          <w:rFonts w:eastAsia="仿宋_GB2312" w:hint="eastAsia"/>
        </w:rPr>
        <w:t>调用市级政府</w:t>
      </w:r>
      <w:r>
        <w:rPr>
          <w:rFonts w:eastAsia="仿宋_GB2312"/>
        </w:rPr>
        <w:t>储备</w:t>
      </w:r>
      <w:r>
        <w:rPr>
          <w:rFonts w:eastAsia="仿宋_GB2312" w:hint="eastAsia"/>
        </w:rPr>
        <w:t>的食盐</w:t>
      </w:r>
      <w:r>
        <w:rPr>
          <w:rFonts w:eastAsia="仿宋_GB2312"/>
        </w:rPr>
        <w:t>：</w:t>
      </w:r>
    </w:p>
    <w:p w:rsidR="00D96CC9" w:rsidRDefault="005A077C">
      <w:pPr>
        <w:widowControl/>
        <w:adjustRightInd w:val="0"/>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kern w:val="0"/>
          <w:sz w:val="32"/>
          <w:szCs w:val="32"/>
        </w:rPr>
        <w:t>（一）</w:t>
      </w:r>
      <w:r>
        <w:rPr>
          <w:rFonts w:ascii="Times New Roman" w:eastAsia="仿宋_GB2312" w:hAnsi="Times New Roman" w:cs="Times New Roman"/>
          <w:color w:val="000000"/>
          <w:kern w:val="0"/>
          <w:sz w:val="32"/>
          <w:szCs w:val="32"/>
        </w:rPr>
        <w:t>发生重大自然灾情或</w:t>
      </w:r>
      <w:r>
        <w:rPr>
          <w:rFonts w:ascii="Times New Roman" w:eastAsia="仿宋_GB2312" w:hAnsi="Times New Roman" w:cs="Times New Roman" w:hint="eastAsia"/>
          <w:color w:val="000000"/>
          <w:kern w:val="0"/>
          <w:sz w:val="32"/>
          <w:szCs w:val="32"/>
        </w:rPr>
        <w:t>者</w:t>
      </w:r>
      <w:r>
        <w:rPr>
          <w:rFonts w:ascii="Times New Roman" w:eastAsia="仿宋_GB2312" w:hAnsi="Times New Roman" w:cs="Times New Roman"/>
          <w:color w:val="000000"/>
          <w:kern w:val="0"/>
          <w:sz w:val="32"/>
          <w:szCs w:val="32"/>
        </w:rPr>
        <w:t>突发公共</w:t>
      </w:r>
      <w:r>
        <w:rPr>
          <w:rFonts w:ascii="Times New Roman" w:eastAsia="仿宋_GB2312" w:hAnsi="Times New Roman" w:cs="Times New Roman" w:hint="eastAsia"/>
          <w:color w:val="000000"/>
          <w:kern w:val="0"/>
          <w:sz w:val="32"/>
          <w:szCs w:val="32"/>
        </w:rPr>
        <w:t>件；</w:t>
      </w:r>
    </w:p>
    <w:p w:rsidR="00D96CC9" w:rsidRDefault="005A077C">
      <w:pPr>
        <w:pStyle w:val="p0"/>
        <w:autoSpaceDN w:val="0"/>
        <w:snapToGrid w:val="0"/>
        <w:spacing w:line="560" w:lineRule="exact"/>
        <w:ind w:firstLine="682"/>
        <w:jc w:val="both"/>
        <w:rPr>
          <w:rFonts w:eastAsia="仿宋_GB2312"/>
        </w:rPr>
      </w:pPr>
      <w:r>
        <w:rPr>
          <w:rFonts w:eastAsia="仿宋_GB2312"/>
        </w:rPr>
        <w:t>（二）全市或部分县（市、区）食盐明显供不应求或者价格异常波动；</w:t>
      </w:r>
    </w:p>
    <w:p w:rsidR="00D96CC9" w:rsidRDefault="005A077C">
      <w:pPr>
        <w:pStyle w:val="p0"/>
        <w:autoSpaceDN w:val="0"/>
        <w:snapToGrid w:val="0"/>
        <w:spacing w:line="560" w:lineRule="exact"/>
        <w:ind w:firstLine="682"/>
        <w:jc w:val="both"/>
        <w:rPr>
          <w:rFonts w:eastAsia="仿宋_GB2312"/>
        </w:rPr>
      </w:pPr>
      <w:r>
        <w:rPr>
          <w:rFonts w:eastAsia="仿宋_GB2312"/>
        </w:rPr>
        <w:t>（三）市政府认为需要</w:t>
      </w:r>
      <w:r>
        <w:rPr>
          <w:rFonts w:eastAsia="仿宋_GB2312" w:hint="eastAsia"/>
        </w:rPr>
        <w:t>调</w:t>
      </w:r>
      <w:r>
        <w:rPr>
          <w:rFonts w:eastAsia="仿宋_GB2312"/>
        </w:rPr>
        <w:t>用储备食盐的其它情形。</w:t>
      </w:r>
    </w:p>
    <w:p w:rsidR="00D96CC9" w:rsidRDefault="005A077C">
      <w:pPr>
        <w:pStyle w:val="p0"/>
        <w:autoSpaceDN w:val="0"/>
        <w:snapToGrid w:val="0"/>
        <w:spacing w:line="560" w:lineRule="exact"/>
        <w:ind w:firstLine="645"/>
        <w:jc w:val="both"/>
        <w:rPr>
          <w:rFonts w:eastAsia="仿宋_GB2312"/>
        </w:rPr>
      </w:pPr>
      <w:r>
        <w:rPr>
          <w:rFonts w:eastAsia="仿宋_GB2312" w:hint="eastAsia"/>
        </w:rPr>
        <w:t>市级</w:t>
      </w:r>
      <w:r>
        <w:rPr>
          <w:rFonts w:eastAsia="仿宋_GB2312"/>
        </w:rPr>
        <w:t>政府食盐储备</w:t>
      </w:r>
      <w:r>
        <w:rPr>
          <w:rFonts w:eastAsia="仿宋_GB2312" w:hint="eastAsia"/>
        </w:rPr>
        <w:t>调用</w:t>
      </w:r>
      <w:r>
        <w:rPr>
          <w:rFonts w:eastAsia="仿宋_GB2312"/>
        </w:rPr>
        <w:t>由市</w:t>
      </w:r>
      <w:r>
        <w:rPr>
          <w:rFonts w:eastAsia="仿宋_GB2312" w:hint="eastAsia"/>
          <w:color w:val="000000"/>
        </w:rPr>
        <w:t>经信委</w:t>
      </w:r>
      <w:r>
        <w:rPr>
          <w:rFonts w:eastAsia="仿宋_GB2312"/>
        </w:rPr>
        <w:t>提出方案，报市政府同意</w:t>
      </w:r>
      <w:r>
        <w:rPr>
          <w:rFonts w:eastAsia="仿宋_GB2312" w:hint="eastAsia"/>
        </w:rPr>
        <w:t>后</w:t>
      </w:r>
      <w:r>
        <w:rPr>
          <w:rFonts w:eastAsia="仿宋_GB2312"/>
        </w:rPr>
        <w:t>，由市</w:t>
      </w:r>
      <w:r>
        <w:rPr>
          <w:rFonts w:eastAsia="仿宋_GB2312" w:hint="eastAsia"/>
          <w:color w:val="000000"/>
        </w:rPr>
        <w:t>经信委</w:t>
      </w:r>
      <w:r>
        <w:rPr>
          <w:rFonts w:eastAsia="仿宋_GB2312"/>
        </w:rPr>
        <w:t>组织承储单位具体实施。</w:t>
      </w:r>
    </w:p>
    <w:p w:rsidR="00D96CC9" w:rsidRDefault="005A077C">
      <w:pPr>
        <w:pStyle w:val="p0"/>
        <w:autoSpaceDN w:val="0"/>
        <w:snapToGrid w:val="0"/>
        <w:spacing w:line="560" w:lineRule="exact"/>
        <w:ind w:firstLine="640"/>
        <w:jc w:val="both"/>
        <w:rPr>
          <w:rFonts w:eastAsia="仿宋_GB2312"/>
        </w:rPr>
      </w:pPr>
      <w:r>
        <w:rPr>
          <w:rFonts w:eastAsia="仿宋_GB2312"/>
        </w:rPr>
        <w:t>需要</w:t>
      </w:r>
      <w:r>
        <w:rPr>
          <w:rFonts w:eastAsia="仿宋_GB2312" w:hint="eastAsia"/>
        </w:rPr>
        <w:t>调用</w:t>
      </w:r>
      <w:r>
        <w:rPr>
          <w:rFonts w:eastAsia="仿宋_GB2312"/>
        </w:rPr>
        <w:t>企业储备食盐的，</w:t>
      </w:r>
      <w:r>
        <w:rPr>
          <w:rFonts w:eastAsia="仿宋_GB2312" w:hint="eastAsia"/>
        </w:rPr>
        <w:t>相关</w:t>
      </w:r>
      <w:r>
        <w:rPr>
          <w:rFonts w:eastAsia="仿宋_GB2312"/>
        </w:rPr>
        <w:t>企业应按政府指令组织储备食盐的投放。</w:t>
      </w:r>
    </w:p>
    <w:p w:rsidR="00D96CC9" w:rsidRDefault="005A077C">
      <w:pPr>
        <w:pStyle w:val="p0"/>
        <w:autoSpaceDN w:val="0"/>
        <w:snapToGrid w:val="0"/>
        <w:spacing w:line="560" w:lineRule="exact"/>
        <w:ind w:firstLine="640"/>
        <w:jc w:val="both"/>
        <w:rPr>
          <w:rFonts w:eastAsia="仿宋_GB2312"/>
          <w:b/>
          <w:bCs/>
        </w:rPr>
      </w:pPr>
      <w:r>
        <w:rPr>
          <w:rFonts w:eastAsia="仿宋_GB2312"/>
          <w:bCs/>
          <w:smallCaps/>
        </w:rPr>
        <w:t>第十</w:t>
      </w:r>
      <w:r>
        <w:rPr>
          <w:rFonts w:eastAsia="仿宋_GB2312" w:hint="eastAsia"/>
          <w:bCs/>
          <w:smallCaps/>
        </w:rPr>
        <w:t>六</w:t>
      </w:r>
      <w:r>
        <w:rPr>
          <w:rFonts w:eastAsia="仿宋_GB2312"/>
          <w:bCs/>
          <w:smallCaps/>
        </w:rPr>
        <w:t>条</w:t>
      </w:r>
      <w:r>
        <w:rPr>
          <w:rFonts w:eastAsia="仿宋_GB2312"/>
        </w:rPr>
        <w:t xml:space="preserve">  </w:t>
      </w:r>
      <w:r>
        <w:rPr>
          <w:rFonts w:eastAsia="仿宋_GB2312"/>
        </w:rPr>
        <w:t>有关部门和</w:t>
      </w:r>
      <w:r>
        <w:rPr>
          <w:rFonts w:eastAsia="仿宋_GB2312" w:hint="eastAsia"/>
        </w:rPr>
        <w:t>县（市、区）</w:t>
      </w:r>
      <w:r>
        <w:rPr>
          <w:rFonts w:eastAsia="仿宋_GB2312"/>
        </w:rPr>
        <w:t>政府对</w:t>
      </w:r>
      <w:r>
        <w:rPr>
          <w:rFonts w:eastAsia="仿宋_GB2312" w:hint="eastAsia"/>
        </w:rPr>
        <w:t>市级</w:t>
      </w:r>
      <w:r>
        <w:rPr>
          <w:rFonts w:eastAsia="仿宋_GB2312"/>
        </w:rPr>
        <w:t>政府食盐储备</w:t>
      </w:r>
      <w:r>
        <w:rPr>
          <w:rFonts w:eastAsia="仿宋_GB2312" w:hint="eastAsia"/>
        </w:rPr>
        <w:t>调用</w:t>
      </w:r>
      <w:r>
        <w:rPr>
          <w:rFonts w:eastAsia="仿宋_GB2312"/>
        </w:rPr>
        <w:t>方案的实施，应当给予支持、配合。</w:t>
      </w:r>
    </w:p>
    <w:p w:rsidR="00D96CC9" w:rsidRDefault="005A077C">
      <w:pPr>
        <w:pStyle w:val="p0"/>
        <w:autoSpaceDN w:val="0"/>
        <w:snapToGrid w:val="0"/>
        <w:spacing w:line="560" w:lineRule="exact"/>
        <w:ind w:firstLine="682"/>
        <w:jc w:val="both"/>
        <w:rPr>
          <w:rFonts w:eastAsia="黑体"/>
          <w:smallCaps/>
        </w:rPr>
      </w:pPr>
      <w:r>
        <w:rPr>
          <w:rFonts w:eastAsia="仿宋_GB2312"/>
          <w:bCs/>
        </w:rPr>
        <w:lastRenderedPageBreak/>
        <w:t>第十</w:t>
      </w:r>
      <w:r>
        <w:rPr>
          <w:rFonts w:eastAsia="仿宋_GB2312" w:hint="eastAsia"/>
          <w:bCs/>
        </w:rPr>
        <w:t>七</w:t>
      </w:r>
      <w:r>
        <w:rPr>
          <w:rFonts w:eastAsia="仿宋_GB2312"/>
          <w:bCs/>
        </w:rPr>
        <w:t>条</w:t>
      </w:r>
      <w:r>
        <w:rPr>
          <w:rFonts w:eastAsia="仿宋_GB2312" w:hint="eastAsia"/>
        </w:rPr>
        <w:t>市级</w:t>
      </w:r>
      <w:r>
        <w:rPr>
          <w:rFonts w:eastAsia="仿宋_GB2312"/>
        </w:rPr>
        <w:t>政府储备食盐</w:t>
      </w:r>
      <w:r>
        <w:rPr>
          <w:rFonts w:eastAsia="仿宋_GB2312" w:hint="eastAsia"/>
        </w:rPr>
        <w:t>调用</w:t>
      </w:r>
      <w:r>
        <w:rPr>
          <w:rFonts w:eastAsia="仿宋_GB2312"/>
        </w:rPr>
        <w:t>后，承储单位应在一个月内补齐储备，并将</w:t>
      </w:r>
      <w:r>
        <w:rPr>
          <w:rFonts w:eastAsia="仿宋_GB2312" w:hint="eastAsia"/>
        </w:rPr>
        <w:t>调用</w:t>
      </w:r>
      <w:r>
        <w:rPr>
          <w:rFonts w:eastAsia="仿宋_GB2312"/>
        </w:rPr>
        <w:t>和补库情况报</w:t>
      </w:r>
      <w:r>
        <w:rPr>
          <w:rFonts w:eastAsia="仿宋_GB2312" w:hint="eastAsia"/>
        </w:rPr>
        <w:t>市经信委</w:t>
      </w:r>
      <w:r>
        <w:rPr>
          <w:rFonts w:eastAsia="仿宋_GB2312"/>
        </w:rPr>
        <w:t>备案</w:t>
      </w:r>
      <w:r>
        <w:rPr>
          <w:rFonts w:eastAsia="仿宋_GB2312" w:hint="eastAsia"/>
        </w:rPr>
        <w:t>；</w:t>
      </w:r>
      <w:r>
        <w:rPr>
          <w:rFonts w:eastAsia="仿宋_GB2312"/>
        </w:rPr>
        <w:t>企业食盐储备</w:t>
      </w:r>
      <w:r>
        <w:rPr>
          <w:rFonts w:eastAsia="仿宋_GB2312" w:hint="eastAsia"/>
        </w:rPr>
        <w:t>调用</w:t>
      </w:r>
      <w:r>
        <w:rPr>
          <w:rFonts w:eastAsia="仿宋_GB2312"/>
        </w:rPr>
        <w:t>后，应及时补库，确保</w:t>
      </w:r>
      <w:r>
        <w:rPr>
          <w:rFonts w:eastAsia="仿宋_GB2312" w:hint="eastAsia"/>
        </w:rPr>
        <w:t>达到规定的库存量</w:t>
      </w:r>
      <w:r>
        <w:rPr>
          <w:rFonts w:eastAsia="仿宋_GB2312"/>
        </w:rPr>
        <w:t>。</w:t>
      </w:r>
    </w:p>
    <w:p w:rsidR="00D96CC9" w:rsidRDefault="005A077C">
      <w:pPr>
        <w:pStyle w:val="p0"/>
        <w:autoSpaceDN w:val="0"/>
        <w:snapToGrid w:val="0"/>
        <w:spacing w:line="560" w:lineRule="exact"/>
        <w:jc w:val="center"/>
        <w:rPr>
          <w:rFonts w:eastAsia="黑体"/>
          <w:smallCaps/>
        </w:rPr>
      </w:pPr>
      <w:r>
        <w:rPr>
          <w:rFonts w:eastAsia="黑体"/>
          <w:smallCaps/>
        </w:rPr>
        <w:t>第五章</w:t>
      </w:r>
      <w:r>
        <w:rPr>
          <w:rFonts w:eastAsia="黑体"/>
          <w:smallCaps/>
        </w:rPr>
        <w:t xml:space="preserve">  </w:t>
      </w:r>
      <w:r>
        <w:rPr>
          <w:rFonts w:eastAsia="黑体"/>
          <w:smallCaps/>
        </w:rPr>
        <w:t>监督检查</w:t>
      </w:r>
    </w:p>
    <w:p w:rsidR="00D96CC9" w:rsidRDefault="005A077C">
      <w:pPr>
        <w:pStyle w:val="p0"/>
        <w:autoSpaceDN w:val="0"/>
        <w:snapToGrid w:val="0"/>
        <w:spacing w:line="560" w:lineRule="exact"/>
        <w:ind w:firstLine="643"/>
        <w:jc w:val="both"/>
        <w:rPr>
          <w:rFonts w:eastAsia="仿宋_GB2312"/>
        </w:rPr>
      </w:pPr>
      <w:r>
        <w:rPr>
          <w:rFonts w:eastAsia="仿宋_GB2312"/>
          <w:bCs/>
          <w:smallCaps/>
        </w:rPr>
        <w:t>第十</w:t>
      </w:r>
      <w:r>
        <w:rPr>
          <w:rFonts w:eastAsia="仿宋_GB2312" w:hint="eastAsia"/>
          <w:bCs/>
          <w:smallCaps/>
        </w:rPr>
        <w:t>八</w:t>
      </w:r>
      <w:r>
        <w:rPr>
          <w:rFonts w:eastAsia="仿宋_GB2312"/>
          <w:bCs/>
          <w:smallCaps/>
        </w:rPr>
        <w:t>条</w:t>
      </w:r>
      <w:r>
        <w:rPr>
          <w:rFonts w:eastAsia="仿宋_GB2312"/>
        </w:rPr>
        <w:t xml:space="preserve">  </w:t>
      </w:r>
      <w:r>
        <w:rPr>
          <w:rFonts w:eastAsia="仿宋_GB2312"/>
        </w:rPr>
        <w:t>市</w:t>
      </w:r>
      <w:r>
        <w:rPr>
          <w:rFonts w:eastAsia="仿宋_GB2312"/>
          <w:color w:val="000000"/>
        </w:rPr>
        <w:t>经信委</w:t>
      </w:r>
      <w:r>
        <w:rPr>
          <w:rFonts w:eastAsia="仿宋_GB2312"/>
        </w:rPr>
        <w:t>负责对</w:t>
      </w:r>
      <w:r>
        <w:rPr>
          <w:rFonts w:eastAsia="仿宋_GB2312" w:hint="eastAsia"/>
        </w:rPr>
        <w:t>市级</w:t>
      </w:r>
      <w:r>
        <w:rPr>
          <w:rFonts w:eastAsia="仿宋_GB2312"/>
        </w:rPr>
        <w:t>储备食盐和企业储备食盐的数量、储存安全等实施监督管理；市市场监管局负责对</w:t>
      </w:r>
      <w:r>
        <w:rPr>
          <w:rFonts w:eastAsia="仿宋_GB2312" w:hint="eastAsia"/>
        </w:rPr>
        <w:t>市级</w:t>
      </w:r>
      <w:r>
        <w:rPr>
          <w:rFonts w:eastAsia="仿宋_GB2312"/>
        </w:rPr>
        <w:t>储备食盐和企业储备食盐的质量安全等实施管理与监督执法；市财政</w:t>
      </w:r>
      <w:r>
        <w:rPr>
          <w:rFonts w:eastAsia="仿宋_GB2312" w:hint="eastAsia"/>
        </w:rPr>
        <w:t>局</w:t>
      </w:r>
      <w:r>
        <w:rPr>
          <w:rFonts w:eastAsia="仿宋_GB2312"/>
        </w:rPr>
        <w:t>负责</w:t>
      </w:r>
      <w:r>
        <w:rPr>
          <w:rFonts w:eastAsia="仿宋_GB2312" w:hint="eastAsia"/>
        </w:rPr>
        <w:t>市级政府</w:t>
      </w:r>
      <w:r>
        <w:rPr>
          <w:rFonts w:eastAsia="仿宋_GB2312"/>
        </w:rPr>
        <w:t>食盐储备补贴资金的监督管理。</w:t>
      </w:r>
    </w:p>
    <w:p w:rsidR="00D96CC9" w:rsidRDefault="005A077C">
      <w:pPr>
        <w:pStyle w:val="p0"/>
        <w:autoSpaceDN w:val="0"/>
        <w:snapToGrid w:val="0"/>
        <w:spacing w:line="560" w:lineRule="exact"/>
        <w:ind w:firstLine="643"/>
        <w:jc w:val="both"/>
        <w:rPr>
          <w:rFonts w:eastAsia="仿宋_GB2312"/>
        </w:rPr>
      </w:pPr>
      <w:r>
        <w:rPr>
          <w:rFonts w:eastAsia="仿宋_GB2312"/>
        </w:rPr>
        <w:t>审计部门对</w:t>
      </w:r>
      <w:r>
        <w:rPr>
          <w:rFonts w:eastAsia="仿宋_GB2312" w:hint="eastAsia"/>
        </w:rPr>
        <w:t>市级</w:t>
      </w:r>
      <w:r>
        <w:rPr>
          <w:rFonts w:eastAsia="仿宋_GB2312"/>
        </w:rPr>
        <w:t>食盐储备补贴资金预算执行情况和食盐储备资金的真实、合法、效益情况依法进行审计监督。</w:t>
      </w:r>
    </w:p>
    <w:p w:rsidR="00D96CC9" w:rsidRDefault="005A077C">
      <w:pPr>
        <w:pStyle w:val="p0"/>
        <w:autoSpaceDN w:val="0"/>
        <w:snapToGrid w:val="0"/>
        <w:spacing w:line="560" w:lineRule="exact"/>
        <w:ind w:firstLine="682"/>
        <w:jc w:val="both"/>
        <w:rPr>
          <w:rFonts w:eastAsia="仿宋_GB2312"/>
        </w:rPr>
      </w:pPr>
      <w:r>
        <w:rPr>
          <w:rFonts w:eastAsia="仿宋_GB2312"/>
          <w:bCs/>
          <w:smallCaps/>
        </w:rPr>
        <w:t>第</w:t>
      </w:r>
      <w:r>
        <w:rPr>
          <w:rFonts w:eastAsia="仿宋_GB2312" w:hint="eastAsia"/>
          <w:bCs/>
          <w:smallCaps/>
        </w:rPr>
        <w:t>二十九</w:t>
      </w:r>
      <w:r>
        <w:rPr>
          <w:rFonts w:eastAsia="仿宋_GB2312"/>
          <w:bCs/>
          <w:smallCaps/>
        </w:rPr>
        <w:t>条</w:t>
      </w:r>
      <w:r>
        <w:rPr>
          <w:rFonts w:eastAsia="仿宋_GB2312"/>
        </w:rPr>
        <w:t xml:space="preserve">  </w:t>
      </w:r>
      <w:r>
        <w:rPr>
          <w:rFonts w:eastAsia="仿宋_GB2312"/>
        </w:rPr>
        <w:t>承储单位对有关部门的监督检查，应予以积极配合，不得拒绝、阻挠。</w:t>
      </w:r>
    </w:p>
    <w:p w:rsidR="00D96CC9" w:rsidRDefault="005A077C">
      <w:pPr>
        <w:pStyle w:val="p0"/>
        <w:autoSpaceDN w:val="0"/>
        <w:snapToGrid w:val="0"/>
        <w:spacing w:line="560" w:lineRule="exact"/>
        <w:ind w:firstLine="682"/>
        <w:jc w:val="both"/>
        <w:rPr>
          <w:rFonts w:eastAsia="仿宋_GB2312"/>
        </w:rPr>
      </w:pPr>
      <w:r>
        <w:rPr>
          <w:rFonts w:eastAsia="仿宋_GB2312"/>
          <w:bCs/>
          <w:smallCaps/>
        </w:rPr>
        <w:t>第二十条</w:t>
      </w:r>
      <w:r>
        <w:rPr>
          <w:rFonts w:eastAsia="仿宋_GB2312"/>
        </w:rPr>
        <w:t xml:space="preserve">  </w:t>
      </w:r>
      <w:r>
        <w:rPr>
          <w:rFonts w:eastAsia="仿宋_GB2312"/>
        </w:rPr>
        <w:t>国家机关工作人员违反本办法规定的，由所在单位按有关规定予以行政处分；构成犯罪的，依法追究刑事责任。</w:t>
      </w:r>
    </w:p>
    <w:p w:rsidR="00D96CC9" w:rsidRDefault="005A077C">
      <w:pPr>
        <w:pStyle w:val="p0"/>
        <w:autoSpaceDN w:val="0"/>
        <w:snapToGrid w:val="0"/>
        <w:spacing w:line="560" w:lineRule="exact"/>
        <w:ind w:firstLine="682"/>
        <w:jc w:val="both"/>
        <w:rPr>
          <w:rFonts w:eastAsia="仿宋_GB2312"/>
        </w:rPr>
      </w:pPr>
      <w:r>
        <w:rPr>
          <w:rFonts w:eastAsia="仿宋_GB2312"/>
          <w:bCs/>
        </w:rPr>
        <w:t>第二十</w:t>
      </w:r>
      <w:r>
        <w:rPr>
          <w:rFonts w:eastAsia="仿宋_GB2312" w:hint="eastAsia"/>
          <w:bCs/>
        </w:rPr>
        <w:t>一</w:t>
      </w:r>
      <w:r>
        <w:rPr>
          <w:rFonts w:eastAsia="仿宋_GB2312"/>
          <w:bCs/>
        </w:rPr>
        <w:t>条</w:t>
      </w:r>
      <w:r>
        <w:rPr>
          <w:rFonts w:eastAsia="仿宋_GB2312"/>
        </w:rPr>
        <w:t xml:space="preserve">  </w:t>
      </w:r>
      <w:r>
        <w:rPr>
          <w:rFonts w:eastAsia="仿宋_GB2312"/>
        </w:rPr>
        <w:t>政府食盐储备的承储单位违反本办法规定的，扣减财政补贴，取消承储资格，并且按照《财政违法行为处罚处分条例》进行查处；涉嫌犯罪的依法追究刑事责任。</w:t>
      </w:r>
    </w:p>
    <w:p w:rsidR="00D96CC9" w:rsidRDefault="005A077C">
      <w:pPr>
        <w:pStyle w:val="p0"/>
        <w:autoSpaceDN w:val="0"/>
        <w:snapToGrid w:val="0"/>
        <w:spacing w:line="560" w:lineRule="exact"/>
        <w:ind w:firstLineChars="200" w:firstLine="640"/>
        <w:jc w:val="both"/>
        <w:rPr>
          <w:rFonts w:eastAsia="黑体"/>
          <w:smallCaps/>
        </w:rPr>
      </w:pPr>
      <w:r>
        <w:rPr>
          <w:rFonts w:eastAsia="仿宋_GB2312"/>
        </w:rPr>
        <w:t>企业食盐储备中企业违反本办法规定的，依照有关法律法规，实施惩戒。</w:t>
      </w:r>
    </w:p>
    <w:p w:rsidR="00D96CC9" w:rsidRDefault="005A077C">
      <w:pPr>
        <w:pStyle w:val="p0"/>
        <w:numPr>
          <w:ilvl w:val="0"/>
          <w:numId w:val="1"/>
        </w:numPr>
        <w:autoSpaceDN w:val="0"/>
        <w:snapToGrid w:val="0"/>
        <w:spacing w:line="560" w:lineRule="exact"/>
        <w:jc w:val="center"/>
        <w:rPr>
          <w:rFonts w:eastAsia="黑体"/>
          <w:smallCaps/>
        </w:rPr>
      </w:pPr>
      <w:r>
        <w:rPr>
          <w:rFonts w:eastAsia="黑体"/>
          <w:smallCaps/>
        </w:rPr>
        <w:t xml:space="preserve"> </w:t>
      </w:r>
      <w:r>
        <w:rPr>
          <w:rFonts w:eastAsia="黑体"/>
          <w:smallCaps/>
        </w:rPr>
        <w:t>附</w:t>
      </w:r>
      <w:r>
        <w:rPr>
          <w:rFonts w:eastAsia="黑体"/>
          <w:smallCaps/>
        </w:rPr>
        <w:t xml:space="preserve">  </w:t>
      </w:r>
      <w:r>
        <w:rPr>
          <w:rFonts w:eastAsia="黑体"/>
          <w:smallCaps/>
        </w:rPr>
        <w:t>则</w:t>
      </w:r>
    </w:p>
    <w:p w:rsidR="00D96CC9" w:rsidRDefault="005A077C">
      <w:pPr>
        <w:pStyle w:val="p0"/>
        <w:autoSpaceDN w:val="0"/>
        <w:spacing w:line="560" w:lineRule="exact"/>
        <w:ind w:firstLine="720"/>
        <w:jc w:val="both"/>
        <w:rPr>
          <w:rFonts w:eastAsia="仿宋_GB2312"/>
        </w:rPr>
      </w:pPr>
      <w:r>
        <w:rPr>
          <w:rFonts w:eastAsia="仿宋_GB2312"/>
          <w:bCs/>
          <w:smallCaps/>
        </w:rPr>
        <w:t>第二十</w:t>
      </w:r>
      <w:r>
        <w:rPr>
          <w:rFonts w:eastAsia="仿宋_GB2312" w:hint="eastAsia"/>
          <w:bCs/>
          <w:smallCaps/>
        </w:rPr>
        <w:t>二</w:t>
      </w:r>
      <w:r>
        <w:rPr>
          <w:rFonts w:eastAsia="仿宋_GB2312"/>
          <w:bCs/>
          <w:smallCaps/>
        </w:rPr>
        <w:t>条</w:t>
      </w:r>
      <w:r>
        <w:rPr>
          <w:rFonts w:eastAsia="仿宋_GB2312"/>
          <w:color w:val="000000"/>
        </w:rPr>
        <w:t>本办法自发布之日起实施。</w:t>
      </w:r>
    </w:p>
    <w:p w:rsidR="00D96CC9" w:rsidRDefault="00D96CC9"/>
    <w:sectPr w:rsidR="00D96CC9" w:rsidSect="00D96CC9">
      <w:footerReference w:type="default" r:id="rId8"/>
      <w:pgSz w:w="11906" w:h="16838"/>
      <w:pgMar w:top="2098" w:right="1531" w:bottom="1984" w:left="1531" w:header="851" w:footer="992" w:gutter="0"/>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77C" w:rsidRDefault="005A077C" w:rsidP="00D96CC9">
      <w:r>
        <w:separator/>
      </w:r>
    </w:p>
  </w:endnote>
  <w:endnote w:type="continuationSeparator" w:id="1">
    <w:p w:rsidR="005A077C" w:rsidRDefault="005A077C" w:rsidP="00D96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CC9" w:rsidRDefault="00D96CC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D96CC9" w:rsidRDefault="00D96CC9">
                <w:pPr>
                  <w:pStyle w:val="a3"/>
                </w:pPr>
                <w:r>
                  <w:rPr>
                    <w:rFonts w:hint="eastAsia"/>
                  </w:rPr>
                  <w:fldChar w:fldCharType="begin"/>
                </w:r>
                <w:r w:rsidR="005A077C">
                  <w:rPr>
                    <w:rFonts w:hint="eastAsia"/>
                  </w:rPr>
                  <w:instrText xml:space="preserve"> PAGE  \* MERGEFORMAT </w:instrText>
                </w:r>
                <w:r>
                  <w:rPr>
                    <w:rFonts w:hint="eastAsia"/>
                  </w:rPr>
                  <w:fldChar w:fldCharType="separate"/>
                </w:r>
                <w:r w:rsidR="0033548F">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77C" w:rsidRDefault="005A077C" w:rsidP="00D96CC9">
      <w:r>
        <w:separator/>
      </w:r>
    </w:p>
  </w:footnote>
  <w:footnote w:type="continuationSeparator" w:id="1">
    <w:p w:rsidR="005A077C" w:rsidRDefault="005A077C" w:rsidP="00D96C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B0D05"/>
    <w:multiLevelType w:val="singleLevel"/>
    <w:tmpl w:val="5A4B0D05"/>
    <w:lvl w:ilvl="0">
      <w:start w:val="6"/>
      <w:numFmt w:val="chineseCounting"/>
      <w:suff w:val="space"/>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24E0687"/>
    <w:rsid w:val="0033548F"/>
    <w:rsid w:val="005A077C"/>
    <w:rsid w:val="00984DDA"/>
    <w:rsid w:val="00D96CC9"/>
    <w:rsid w:val="02D02BEA"/>
    <w:rsid w:val="049816B8"/>
    <w:rsid w:val="0727468D"/>
    <w:rsid w:val="0AF6147F"/>
    <w:rsid w:val="11636CA3"/>
    <w:rsid w:val="24593730"/>
    <w:rsid w:val="24D04310"/>
    <w:rsid w:val="296F4B0E"/>
    <w:rsid w:val="2BC03349"/>
    <w:rsid w:val="324E0687"/>
    <w:rsid w:val="32D95B3F"/>
    <w:rsid w:val="33AE2AFE"/>
    <w:rsid w:val="3BC57461"/>
    <w:rsid w:val="44883425"/>
    <w:rsid w:val="48137025"/>
    <w:rsid w:val="491070AE"/>
    <w:rsid w:val="7CE459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6CC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96CC9"/>
    <w:pPr>
      <w:tabs>
        <w:tab w:val="center" w:pos="4153"/>
        <w:tab w:val="right" w:pos="8306"/>
      </w:tabs>
      <w:snapToGrid w:val="0"/>
      <w:jc w:val="left"/>
    </w:pPr>
    <w:rPr>
      <w:sz w:val="18"/>
    </w:rPr>
  </w:style>
  <w:style w:type="paragraph" w:styleId="a4">
    <w:name w:val="header"/>
    <w:basedOn w:val="a"/>
    <w:qFormat/>
    <w:rsid w:val="00D96CC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rsid w:val="00D96CC9"/>
    <w:rPr>
      <w:color w:val="0000FF"/>
      <w:u w:val="single"/>
    </w:rPr>
  </w:style>
  <w:style w:type="paragraph" w:customStyle="1" w:styleId="1">
    <w:name w:val="列出段落1"/>
    <w:basedOn w:val="a"/>
    <w:uiPriority w:val="99"/>
    <w:unhideWhenUsed/>
    <w:qFormat/>
    <w:rsid w:val="00D96CC9"/>
    <w:pPr>
      <w:ind w:firstLineChars="200" w:firstLine="420"/>
    </w:pPr>
    <w:rPr>
      <w:rFonts w:eastAsia="宋体"/>
    </w:rPr>
  </w:style>
  <w:style w:type="paragraph" w:customStyle="1" w:styleId="p0">
    <w:name w:val="p0"/>
    <w:qFormat/>
    <w:rsid w:val="00D96CC9"/>
    <w:rPr>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侯旭丹</dc:creator>
  <cp:lastModifiedBy>dell</cp:lastModifiedBy>
  <cp:revision>2</cp:revision>
  <dcterms:created xsi:type="dcterms:W3CDTF">2018-01-22T07:20:00Z</dcterms:created>
  <dcterms:modified xsi:type="dcterms:W3CDTF">2018-01-22T07:20:00Z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