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黑体" w:eastAsia="黑体" w:cs="黑体"/>
          <w:spacing w:val="15"/>
          <w:sz w:val="28"/>
          <w:szCs w:val="28"/>
        </w:rPr>
      </w:pPr>
    </w:p>
    <w:p>
      <w:pPr>
        <w:autoSpaceDE w:val="0"/>
        <w:autoSpaceDN w:val="0"/>
        <w:adjustRightInd w:val="0"/>
        <w:spacing w:line="560" w:lineRule="exact"/>
        <w:jc w:val="center"/>
        <w:rPr>
          <w:rFonts w:ascii="黑体" w:eastAsia="黑体" w:cs="黑体"/>
          <w:spacing w:val="15"/>
          <w:sz w:val="44"/>
          <w:szCs w:val="44"/>
        </w:rPr>
      </w:pPr>
      <w:r>
        <w:rPr>
          <w:rFonts w:hint="eastAsia" w:ascii="黑体" w:eastAsia="黑体" w:cs="黑体"/>
          <w:spacing w:val="15"/>
          <w:sz w:val="44"/>
          <w:szCs w:val="44"/>
        </w:rPr>
        <w:t>温州市政府驻杭办事处</w:t>
      </w:r>
      <w:r>
        <w:rPr>
          <w:rFonts w:ascii="黑体" w:eastAsia="黑体" w:cs="黑体"/>
          <w:spacing w:val="15"/>
          <w:sz w:val="44"/>
          <w:szCs w:val="44"/>
        </w:rPr>
        <w:t>2016年</w:t>
      </w:r>
      <w:r>
        <w:rPr>
          <w:rFonts w:hint="eastAsia" w:ascii="黑体" w:eastAsia="黑体" w:cs="黑体"/>
          <w:spacing w:val="15"/>
          <w:sz w:val="44"/>
          <w:szCs w:val="44"/>
        </w:rPr>
        <w:t>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2016年</w:t>
      </w:r>
      <w:r>
        <w:rPr>
          <w:rFonts w:hint="eastAsia" w:ascii="黑体" w:hAnsi="Times New Roman" w:eastAsia="黑体" w:cs="黑体"/>
          <w:color w:val="000000"/>
          <w:sz w:val="32"/>
          <w:szCs w:val="32"/>
        </w:rPr>
        <w:t>度部门决算概况</w:t>
      </w:r>
    </w:p>
    <w:p>
      <w:pPr>
        <w:autoSpaceDE w:val="0"/>
        <w:autoSpaceDN w:val="0"/>
        <w:adjustRightInd w:val="0"/>
        <w:spacing w:line="560" w:lineRule="exact"/>
        <w:ind w:firstLine="627"/>
        <w:rPr>
          <w:rFonts w:ascii="黑体" w:hAnsi="Times New Roman" w:eastAsia="黑体" w:cs="黑体"/>
          <w:color w:val="000000"/>
          <w:sz w:val="32"/>
          <w:szCs w:val="32"/>
        </w:rPr>
      </w:pPr>
      <w:r>
        <w:rPr>
          <w:rFonts w:ascii="_4eff_5b8b_GB2312" w:hAnsi="_4eff_5b8b_GB2312"/>
          <w:color w:val="000000"/>
          <w:sz w:val="32"/>
          <w:szCs w:val="32"/>
          <w:shd w:val="clear" w:color="auto" w:fill="FFFFFF"/>
        </w:rPr>
        <w:t>温州市政府驻杭州办事处</w:t>
      </w:r>
      <w:r>
        <w:rPr>
          <w:rFonts w:ascii="_4eff_5b8b_GB2312" w:hAnsi="_4eff_5b8b_GB2312"/>
          <w:color w:val="000000"/>
          <w:spacing w:val="-4"/>
          <w:sz w:val="32"/>
          <w:szCs w:val="32"/>
          <w:shd w:val="clear" w:color="auto" w:fill="FFFFFF"/>
        </w:rPr>
        <w:t>为市政府派出的正处级综合性办事机构。事业单位，人员参公。</w:t>
      </w:r>
    </w:p>
    <w:p>
      <w:pPr>
        <w:autoSpaceDE w:val="0"/>
        <w:autoSpaceDN w:val="0"/>
        <w:adjustRightInd w:val="0"/>
        <w:spacing w:line="560" w:lineRule="exact"/>
        <w:ind w:firstLine="588"/>
        <w:rPr>
          <w:rFonts w:ascii="仿宋" w:hAnsi="Times New Roman" w:eastAsia="仿宋" w:cs="仿宋"/>
          <w:b/>
          <w:bCs/>
          <w:sz w:val="32"/>
          <w:szCs w:val="32"/>
        </w:rPr>
      </w:pPr>
      <w:r>
        <w:rPr>
          <w:rFonts w:hint="eastAsia" w:ascii="仿宋" w:hAnsi="Times New Roman" w:eastAsia="仿宋" w:cs="仿宋"/>
          <w:b/>
          <w:bCs/>
          <w:sz w:val="32"/>
          <w:szCs w:val="32"/>
        </w:rPr>
        <w:t>主要职能</w:t>
      </w:r>
    </w:p>
    <w:p>
      <w:pPr>
        <w:autoSpaceDE w:val="0"/>
        <w:autoSpaceDN w:val="0"/>
        <w:adjustRightInd w:val="0"/>
        <w:spacing w:line="560" w:lineRule="exact"/>
        <w:ind w:firstLine="1065" w:firstLineChars="333"/>
        <w:rPr>
          <w:rFonts w:hint="eastAsia" w:asciiTheme="minorEastAsia" w:hAnsiTheme="minorEastAsia" w:eastAsiaTheme="minorEastAsia" w:cstheme="minorEastAsia"/>
          <w:sz w:val="32"/>
          <w:szCs w:val="32"/>
        </w:rPr>
      </w:pPr>
      <w:r>
        <w:rPr>
          <w:rFonts w:hint="eastAsia" w:ascii="仿宋" w:hAnsi="Times New Roman" w:eastAsia="仿宋" w:cs="仿宋"/>
          <w:sz w:val="32"/>
          <w:szCs w:val="32"/>
        </w:rPr>
        <w:t>（</w:t>
      </w:r>
      <w:r>
        <w:rPr>
          <w:rFonts w:hint="eastAsia" w:asciiTheme="minorEastAsia" w:hAnsiTheme="minorEastAsia" w:eastAsiaTheme="minorEastAsia" w:cstheme="minorEastAsia"/>
          <w:sz w:val="32"/>
          <w:szCs w:val="32"/>
        </w:rPr>
        <w:t>一）负责做好我市与省级机关和杭州市有关部门的政务联络工作。</w:t>
      </w:r>
    </w:p>
    <w:p>
      <w:pPr>
        <w:autoSpaceDE w:val="0"/>
        <w:autoSpaceDN w:val="0"/>
        <w:adjustRightInd w:val="0"/>
        <w:spacing w:line="560" w:lineRule="exact"/>
        <w:ind w:firstLine="1065" w:firstLineChars="33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（二）负责向市委、市政府和市有关部门及时报送重要政务信息。</w:t>
      </w:r>
    </w:p>
    <w:p>
      <w:pPr>
        <w:autoSpaceDE w:val="0"/>
        <w:autoSpaceDN w:val="0"/>
        <w:adjustRightInd w:val="0"/>
        <w:spacing w:line="560" w:lineRule="exact"/>
        <w:ind w:firstLine="1065" w:firstLineChars="33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（三）负责与省、市信访局，省级机关和杭州市有关部门联系，协助做好我市赴杭上访人员的劝返和有关维护稳定的工作；指导帮助各县（市、区）妥善处理信访事件。</w:t>
      </w:r>
    </w:p>
    <w:p>
      <w:pPr>
        <w:autoSpaceDE w:val="0"/>
        <w:autoSpaceDN w:val="0"/>
        <w:adjustRightInd w:val="0"/>
        <w:spacing w:line="560" w:lineRule="exact"/>
        <w:ind w:firstLine="1065" w:firstLineChars="33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（四）负责做好市领导赴杭公务活动、出席全省性会议和学习培训的联络和服务工作；做好我市在杭举办大型活动的会务工作；为市直机关干部赴杭公务培训提供服务。</w:t>
      </w:r>
    </w:p>
    <w:p>
      <w:pPr>
        <w:autoSpaceDE w:val="0"/>
        <w:autoSpaceDN w:val="0"/>
        <w:adjustRightInd w:val="0"/>
        <w:spacing w:line="560" w:lineRule="exact"/>
        <w:ind w:firstLine="1065" w:firstLineChars="33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（五）负责在杭温籍及在温工作过的领导、温籍知名人士的联系和服务工作。</w:t>
      </w:r>
    </w:p>
    <w:p>
      <w:pPr>
        <w:autoSpaceDE w:val="0"/>
        <w:autoSpaceDN w:val="0"/>
        <w:adjustRightInd w:val="0"/>
        <w:spacing w:line="560" w:lineRule="exact"/>
        <w:ind w:firstLine="1065" w:firstLineChars="33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（六）负责帮助联络、协调省直部门加强对我市在有关政策、资金方面的支持。</w:t>
      </w:r>
    </w:p>
    <w:p>
      <w:pPr>
        <w:autoSpaceDE w:val="0"/>
        <w:autoSpaceDN w:val="0"/>
        <w:adjustRightInd w:val="0"/>
        <w:spacing w:line="560" w:lineRule="exact"/>
        <w:ind w:firstLine="1065" w:firstLineChars="33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（七）负责联系杭州温州商会，并做好指导和协调工作；为我市在杭企业和经商人员、在杭温州人提供必要的援助和服务。</w:t>
      </w:r>
    </w:p>
    <w:p>
      <w:pPr>
        <w:autoSpaceDE w:val="0"/>
        <w:autoSpaceDN w:val="0"/>
        <w:adjustRightInd w:val="0"/>
        <w:spacing w:line="560" w:lineRule="exact"/>
        <w:ind w:firstLine="1065" w:firstLineChars="33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（八）负责全国驻杭党政机构、商会及在杭中央和省属企业、科研院所来温投资合作的联络和服务工作。</w:t>
      </w:r>
    </w:p>
    <w:p>
      <w:pPr>
        <w:autoSpaceDE w:val="0"/>
        <w:autoSpaceDN w:val="0"/>
        <w:adjustRightInd w:val="0"/>
        <w:spacing w:line="560" w:lineRule="exact"/>
        <w:ind w:firstLine="1065" w:firstLineChars="33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（九）负责驻杭办事处国有资产的维护和管理工作。</w:t>
      </w:r>
    </w:p>
    <w:p>
      <w:pPr>
        <w:autoSpaceDE w:val="0"/>
        <w:autoSpaceDN w:val="0"/>
        <w:adjustRightInd w:val="0"/>
        <w:spacing w:line="560" w:lineRule="exact"/>
        <w:ind w:firstLine="1038"/>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（十）承办市委、市政府和省级有关部门交办的各项任务。</w:t>
      </w:r>
    </w:p>
    <w:p>
      <w:pPr>
        <w:autoSpaceDE w:val="0"/>
        <w:autoSpaceDN w:val="0"/>
        <w:adjustRightInd w:val="0"/>
        <w:spacing w:line="560" w:lineRule="exact"/>
        <w:ind w:firstLine="627"/>
        <w:rPr>
          <w:rFonts w:ascii="仿宋" w:hAnsi="Times New Roman" w:eastAsia="仿宋" w:cs="仿宋"/>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2016年</w:t>
      </w:r>
      <w:r>
        <w:rPr>
          <w:rFonts w:hint="eastAsia" w:ascii="黑体" w:hAnsi="Times New Roman" w:eastAsia="黑体" w:cs="黑体"/>
          <w:sz w:val="32"/>
          <w:szCs w:val="32"/>
          <w:lang w:val="zh-CN"/>
        </w:rPr>
        <w:t>度部门决算报表</w:t>
      </w:r>
      <w:r>
        <w:rPr>
          <w:rFonts w:hint="eastAsia" w:ascii="仿宋" w:hAnsi="Times New Roman" w:eastAsia="仿宋" w:cs="仿宋"/>
          <w:sz w:val="24"/>
          <w:szCs w:val="24"/>
        </w:rPr>
        <w:t>（无数据零反映）</w:t>
      </w:r>
    </w:p>
    <w:p>
      <w:pPr>
        <w:autoSpaceDE w:val="0"/>
        <w:autoSpaceDN w:val="0"/>
        <w:adjustRightInd w:val="0"/>
        <w:spacing w:line="560" w:lineRule="exact"/>
        <w:ind w:firstLine="627"/>
        <w:rPr>
          <w:rFonts w:ascii="仿宋" w:hAnsi="Times New Roman" w:eastAsia="仿宋" w:cs="仿宋"/>
          <w:sz w:val="24"/>
          <w:szCs w:val="24"/>
        </w:rPr>
      </w:pPr>
    </w:p>
    <w:tbl>
      <w:tblPr>
        <w:tblStyle w:val="5"/>
        <w:tblW w:w="8860" w:type="dxa"/>
        <w:tblInd w:w="93" w:type="dxa"/>
        <w:tblLayout w:type="fixed"/>
        <w:tblCellMar>
          <w:top w:w="0" w:type="dxa"/>
          <w:left w:w="108" w:type="dxa"/>
          <w:bottom w:w="0" w:type="dxa"/>
          <w:right w:w="108" w:type="dxa"/>
        </w:tblCellMar>
      </w:tblPr>
      <w:tblGrid>
        <w:gridCol w:w="2283"/>
        <w:gridCol w:w="1063"/>
        <w:gridCol w:w="805"/>
        <w:gridCol w:w="2690"/>
        <w:gridCol w:w="2019"/>
      </w:tblGrid>
      <w:tr>
        <w:tblPrEx>
          <w:tblCellMar>
            <w:top w:w="0" w:type="dxa"/>
            <w:left w:w="108" w:type="dxa"/>
            <w:bottom w:w="0" w:type="dxa"/>
            <w:right w:w="108" w:type="dxa"/>
          </w:tblCellMar>
        </w:tblPrEx>
        <w:trPr>
          <w:trHeight w:val="540" w:hRule="atLeast"/>
        </w:trPr>
        <w:tc>
          <w:tcPr>
            <w:tcW w:w="8860" w:type="dxa"/>
            <w:gridSpan w:val="5"/>
            <w:tcBorders>
              <w:top w:val="nil"/>
              <w:left w:val="nil"/>
              <w:bottom w:val="nil"/>
              <w:right w:val="nil"/>
            </w:tcBorders>
            <w:shd w:val="clear" w:color="auto" w:fill="auto"/>
            <w:vAlign w:val="bottom"/>
          </w:tcPr>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2016年度部门收支决算总表</w:t>
            </w:r>
          </w:p>
        </w:tc>
      </w:tr>
      <w:tr>
        <w:tblPrEx>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0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19"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80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19"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收      入</w:t>
            </w:r>
          </w:p>
        </w:tc>
        <w:tc>
          <w:tcPr>
            <w:tcW w:w="4709"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支出</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 目</w:t>
            </w:r>
          </w:p>
        </w:tc>
        <w:tc>
          <w:tcPr>
            <w:tcW w:w="186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决算数</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w:t>
            </w:r>
          </w:p>
        </w:tc>
        <w:tc>
          <w:tcPr>
            <w:tcW w:w="20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决算数</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247.34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250.27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一般公共预算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政府性基金预算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4．80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十七、援助其他地区支出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十八、国土海洋气象等支出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十九、住房保障支出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11.46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二十、粮油物资储备支出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二十一、其他支出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二十二、债务还本支出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二十三、债务付息支出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本年收入合计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247.34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本年支出合计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266.53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七、用事业基金弥补收支差额</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二十三、结余分配</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八、年初结转和结余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174.74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交纳所得税</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基本支出结转</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68.07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提取职工福利基金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项目支出结转和结余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106.67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转入事业基金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经营结余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二十四、年末结转和结余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155.55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基本支出结转</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48.88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项目支出结转和结余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106.67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经营结余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收  入  总  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422.08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支  出  总  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422.08　</w:t>
            </w:r>
          </w:p>
        </w:tc>
      </w:tr>
    </w:tbl>
    <w:p>
      <w:pPr>
        <w:autoSpaceDE w:val="0"/>
        <w:autoSpaceDN w:val="0"/>
        <w:adjustRightInd w:val="0"/>
        <w:spacing w:line="560" w:lineRule="exact"/>
        <w:rPr>
          <w:rFonts w:ascii="黑体" w:hAnsi="Times New Roman" w:eastAsia="黑体" w:cs="黑体"/>
          <w:sz w:val="32"/>
          <w:szCs w:val="32"/>
          <w:lang w:val="zh-CN"/>
        </w:rPr>
      </w:pPr>
    </w:p>
    <w:tbl>
      <w:tblPr>
        <w:tblStyle w:val="5"/>
        <w:tblW w:w="21412" w:type="dxa"/>
        <w:tblInd w:w="93" w:type="dxa"/>
        <w:tblLayout w:type="fixed"/>
        <w:tblCellMar>
          <w:top w:w="0" w:type="dxa"/>
          <w:left w:w="108" w:type="dxa"/>
          <w:bottom w:w="0" w:type="dxa"/>
          <w:right w:w="108" w:type="dxa"/>
        </w:tblCellMar>
      </w:tblPr>
      <w:tblGrid>
        <w:gridCol w:w="15012"/>
        <w:gridCol w:w="1280"/>
        <w:gridCol w:w="910"/>
        <w:gridCol w:w="280"/>
        <w:gridCol w:w="260"/>
        <w:gridCol w:w="2240"/>
        <w:gridCol w:w="1430"/>
      </w:tblGrid>
      <w:tr>
        <w:tblPrEx>
          <w:tblCellMar>
            <w:top w:w="0" w:type="dxa"/>
            <w:left w:w="108" w:type="dxa"/>
            <w:bottom w:w="0" w:type="dxa"/>
            <w:right w:w="108" w:type="dxa"/>
          </w:tblCellMar>
        </w:tblPrEx>
        <w:trPr>
          <w:trHeight w:val="255" w:hRule="atLeast"/>
        </w:trPr>
        <w:tc>
          <w:tcPr>
            <w:tcW w:w="15012"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bl>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2016年度部门收入决算总表(分单位）</w:t>
      </w:r>
    </w:p>
    <w:tbl>
      <w:tblPr>
        <w:tblStyle w:val="5"/>
        <w:tblW w:w="27135" w:type="dxa"/>
        <w:tblInd w:w="93" w:type="dxa"/>
        <w:tblLayout w:type="fixed"/>
        <w:tblCellMar>
          <w:top w:w="0" w:type="dxa"/>
          <w:left w:w="108" w:type="dxa"/>
          <w:bottom w:w="0" w:type="dxa"/>
          <w:right w:w="108" w:type="dxa"/>
        </w:tblCellMar>
      </w:tblPr>
      <w:tblGrid>
        <w:gridCol w:w="19455"/>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255" w:hRule="atLeast"/>
        </w:trPr>
        <w:tc>
          <w:tcPr>
            <w:tcW w:w="19455" w:type="dxa"/>
            <w:tcBorders>
              <w:top w:val="nil"/>
              <w:left w:val="nil"/>
              <w:bottom w:val="nil"/>
              <w:right w:val="nil"/>
            </w:tcBorders>
            <w:shd w:val="clear" w:color="auto" w:fill="auto"/>
            <w:vAlign w:val="bottom"/>
          </w:tcPr>
          <w:tbl>
            <w:tblPr>
              <w:tblStyle w:val="5"/>
              <w:tblW w:w="9344" w:type="dxa"/>
              <w:tblInd w:w="0" w:type="dxa"/>
              <w:tblLayout w:type="fixed"/>
              <w:tblCellMar>
                <w:top w:w="0" w:type="dxa"/>
                <w:left w:w="108" w:type="dxa"/>
                <w:bottom w:w="0" w:type="dxa"/>
                <w:right w:w="108" w:type="dxa"/>
              </w:tblCellMar>
            </w:tblPr>
            <w:tblGrid>
              <w:gridCol w:w="1840"/>
              <w:gridCol w:w="756"/>
              <w:gridCol w:w="756"/>
              <w:gridCol w:w="756"/>
              <w:gridCol w:w="756"/>
              <w:gridCol w:w="640"/>
              <w:gridCol w:w="640"/>
              <w:gridCol w:w="640"/>
              <w:gridCol w:w="640"/>
              <w:gridCol w:w="640"/>
              <w:gridCol w:w="640"/>
              <w:gridCol w:w="640"/>
            </w:tblGrid>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r>
              <w:tblPrEx>
                <w:tblCellMar>
                  <w:top w:w="0" w:type="dxa"/>
                  <w:left w:w="108" w:type="dxa"/>
                  <w:bottom w:w="0" w:type="dxa"/>
                  <w:right w:w="108" w:type="dxa"/>
                </w:tblCellMar>
              </w:tblPrEx>
              <w:trPr>
                <w:trHeight w:val="270" w:hRule="atLeast"/>
              </w:trPr>
              <w:tc>
                <w:tcPr>
                  <w:tcW w:w="1840"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18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75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75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2152"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184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422.08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174.74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247.34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247.34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bl>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公开02-2表</w:t>
            </w:r>
          </w:p>
        </w:tc>
      </w:tr>
      <w:tr>
        <w:tblPrEx>
          <w:tblCellMar>
            <w:top w:w="0" w:type="dxa"/>
            <w:left w:w="108" w:type="dxa"/>
            <w:bottom w:w="0" w:type="dxa"/>
            <w:right w:w="108" w:type="dxa"/>
          </w:tblCellMar>
        </w:tblPrEx>
        <w:trPr>
          <w:trHeight w:val="270" w:hRule="atLeast"/>
        </w:trPr>
        <w:tc>
          <w:tcPr>
            <w:tcW w:w="19455" w:type="dxa"/>
            <w:tcBorders>
              <w:top w:val="nil"/>
              <w:left w:val="nil"/>
              <w:bottom w:val="nil"/>
              <w:right w:val="nil"/>
            </w:tcBorders>
            <w:shd w:val="clear" w:color="auto" w:fill="auto"/>
            <w:vAlign w:val="bottom"/>
          </w:tcPr>
          <w:p>
            <w:pPr>
              <w:autoSpaceDE w:val="0"/>
              <w:autoSpaceDN w:val="0"/>
              <w:adjustRightInd w:val="0"/>
              <w:spacing w:line="560" w:lineRule="exact"/>
              <w:ind w:firstLine="1590" w:firstLineChars="495"/>
              <w:rPr>
                <w:rFonts w:ascii="仿宋" w:hAnsi="Times New Roman" w:eastAsia="仿宋" w:cs="仿宋"/>
                <w:b/>
                <w:sz w:val="32"/>
                <w:szCs w:val="32"/>
              </w:rPr>
            </w:pPr>
            <w:r>
              <w:rPr>
                <w:rFonts w:hint="eastAsia" w:ascii="仿宋" w:hAnsi="Times New Roman" w:eastAsia="仿宋" w:cs="仿宋"/>
                <w:b/>
                <w:sz w:val="32"/>
                <w:szCs w:val="32"/>
              </w:rPr>
              <w:t>2016年度部门收入决算总表(分科目）</w:t>
            </w:r>
          </w:p>
          <w:tbl>
            <w:tblPr>
              <w:tblStyle w:val="5"/>
              <w:tblW w:w="19146" w:type="dxa"/>
              <w:tblInd w:w="93" w:type="dxa"/>
              <w:tblLayout w:type="fixed"/>
              <w:tblCellMar>
                <w:top w:w="0" w:type="dxa"/>
                <w:left w:w="108" w:type="dxa"/>
                <w:bottom w:w="0" w:type="dxa"/>
                <w:right w:w="108" w:type="dxa"/>
              </w:tblCellMar>
            </w:tblPr>
            <w:tblGrid>
              <w:gridCol w:w="9754"/>
              <w:gridCol w:w="436"/>
              <w:gridCol w:w="436"/>
              <w:gridCol w:w="1940"/>
              <w:gridCol w:w="940"/>
              <w:gridCol w:w="940"/>
              <w:gridCol w:w="940"/>
              <w:gridCol w:w="940"/>
              <w:gridCol w:w="940"/>
              <w:gridCol w:w="1880"/>
            </w:tblGrid>
            <w:tr>
              <w:tblPrEx>
                <w:tblCellMar>
                  <w:top w:w="0" w:type="dxa"/>
                  <w:left w:w="108" w:type="dxa"/>
                  <w:bottom w:w="0" w:type="dxa"/>
                  <w:right w:w="108" w:type="dxa"/>
                </w:tblCellMar>
              </w:tblPrEx>
              <w:trPr>
                <w:trHeight w:val="255" w:hRule="atLeast"/>
              </w:trPr>
              <w:tc>
                <w:tcPr>
                  <w:tcW w:w="9754" w:type="dxa"/>
                  <w:tcBorders>
                    <w:top w:val="nil"/>
                    <w:left w:val="nil"/>
                    <w:bottom w:val="nil"/>
                    <w:right w:val="nil"/>
                  </w:tcBorders>
                  <w:shd w:val="clear" w:color="auto" w:fill="auto"/>
                  <w:vAlign w:val="bottom"/>
                </w:tcPr>
                <w:p/>
                <w:tbl>
                  <w:tblPr>
                    <w:tblStyle w:val="5"/>
                    <w:tblW w:w="9538" w:type="dxa"/>
                    <w:tblInd w:w="0" w:type="dxa"/>
                    <w:tblLayout w:type="fixed"/>
                    <w:tblCellMar>
                      <w:top w:w="0" w:type="dxa"/>
                      <w:left w:w="108" w:type="dxa"/>
                      <w:bottom w:w="0" w:type="dxa"/>
                      <w:right w:w="108" w:type="dxa"/>
                    </w:tblCellMar>
                  </w:tblPr>
                  <w:tblGrid>
                    <w:gridCol w:w="900"/>
                    <w:gridCol w:w="992"/>
                    <w:gridCol w:w="142"/>
                    <w:gridCol w:w="756"/>
                    <w:gridCol w:w="756"/>
                    <w:gridCol w:w="756"/>
                    <w:gridCol w:w="756"/>
                    <w:gridCol w:w="640"/>
                    <w:gridCol w:w="640"/>
                    <w:gridCol w:w="640"/>
                    <w:gridCol w:w="640"/>
                    <w:gridCol w:w="640"/>
                    <w:gridCol w:w="640"/>
                    <w:gridCol w:w="640"/>
                  </w:tblGrid>
                  <w:tr>
                    <w:tblPrEx>
                      <w:tblCellMar>
                        <w:top w:w="0" w:type="dxa"/>
                        <w:left w:w="108" w:type="dxa"/>
                        <w:bottom w:w="0" w:type="dxa"/>
                        <w:right w:w="108" w:type="dxa"/>
                      </w:tblCellMar>
                    </w:tblPrEx>
                    <w:trPr>
                      <w:trHeight w:val="255" w:hRule="atLeast"/>
                    </w:trPr>
                    <w:tc>
                      <w:tcPr>
                        <w:tcW w:w="9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92" w:type="dxa"/>
                        <w:tcBorders>
                          <w:top w:val="nil"/>
                          <w:left w:val="nil"/>
                          <w:bottom w:val="nil"/>
                          <w:right w:val="nil"/>
                        </w:tcBorders>
                      </w:tcPr>
                      <w:p>
                        <w:pPr>
                          <w:widowControl/>
                          <w:jc w:val="left"/>
                          <w:rPr>
                            <w:rFonts w:ascii="Arial" w:hAnsi="Arial" w:eastAsia="宋体" w:cs="Arial"/>
                            <w:color w:val="000000"/>
                            <w:kern w:val="0"/>
                            <w:sz w:val="20"/>
                            <w:szCs w:val="20"/>
                          </w:rPr>
                        </w:pPr>
                      </w:p>
                    </w:tc>
                    <w:tc>
                      <w:tcPr>
                        <w:tcW w:w="898"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公开02-2表</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992" w:type="dxa"/>
                        <w:tcBorders>
                          <w:top w:val="nil"/>
                          <w:left w:val="nil"/>
                          <w:bottom w:val="single" w:color="auto" w:sz="4" w:space="0"/>
                          <w:right w:val="nil"/>
                        </w:tcBorders>
                      </w:tcPr>
                      <w:p>
                        <w:pPr>
                          <w:widowControl/>
                          <w:jc w:val="left"/>
                          <w:rPr>
                            <w:rFonts w:ascii="Arial" w:hAnsi="Arial" w:eastAsia="宋体" w:cs="Arial"/>
                            <w:color w:val="000000"/>
                            <w:kern w:val="0"/>
                            <w:sz w:val="20"/>
                            <w:szCs w:val="20"/>
                          </w:rPr>
                        </w:pPr>
                      </w:p>
                    </w:tc>
                    <w:tc>
                      <w:tcPr>
                        <w:tcW w:w="898" w:type="dxa"/>
                        <w:gridSpan w:val="2"/>
                        <w:tcBorders>
                          <w:top w:val="nil"/>
                          <w:left w:val="nil"/>
                          <w:bottom w:val="single" w:color="auto" w:sz="4" w:space="0"/>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900" w:type="dxa"/>
                        <w:vMerge w:val="restart"/>
                        <w:tcBorders>
                          <w:top w:val="single" w:color="000000" w:sz="8" w:space="0"/>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科目编码</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科目名称</w:t>
                        </w:r>
                      </w:p>
                    </w:tc>
                    <w:tc>
                      <w:tcPr>
                        <w:tcW w:w="75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756"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2152"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900"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hAnsi="宋体" w:eastAsia="宋体" w:cs="Arial"/>
                            <w:color w:val="000000"/>
                            <w:kern w:val="0"/>
                            <w:sz w:val="18"/>
                            <w:szCs w:val="18"/>
                          </w:rPr>
                        </w:pPr>
                      </w:p>
                    </w:tc>
                    <w:tc>
                      <w:tcPr>
                        <w:tcW w:w="1134"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Arial"/>
                            <w:color w:val="000000"/>
                            <w:kern w:val="0"/>
                            <w:sz w:val="18"/>
                            <w:szCs w:val="18"/>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rPr>
                        </w:pPr>
                      </w:p>
                    </w:tc>
                    <w:tc>
                      <w:tcPr>
                        <w:tcW w:w="756"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034" w:type="dxa"/>
                        <w:gridSpan w:val="3"/>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756"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r>
                  <w:tr>
                    <w:tblPrEx>
                      <w:tblCellMar>
                        <w:top w:w="0" w:type="dxa"/>
                        <w:left w:w="108" w:type="dxa"/>
                        <w:bottom w:w="0" w:type="dxa"/>
                        <w:right w:w="108" w:type="dxa"/>
                      </w:tblCellMar>
                    </w:tblPrEx>
                    <w:trPr>
                      <w:trHeight w:val="308" w:hRule="atLeast"/>
                    </w:trPr>
                    <w:tc>
                      <w:tcPr>
                        <w:tcW w:w="2034" w:type="dxa"/>
                        <w:gridSpan w:val="3"/>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756" w:type="dxa"/>
                        <w:tcBorders>
                          <w:top w:val="nil"/>
                          <w:left w:val="nil"/>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422.08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174.74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247.34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247.34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2010302</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一般行政管理事务</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186.67　</w:t>
                        </w:r>
                      </w:p>
                    </w:tc>
                    <w:tc>
                      <w:tcPr>
                        <w:tcW w:w="75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106.67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80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80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2100501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行政单位医疗</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4.81　</w:t>
                        </w:r>
                      </w:p>
                    </w:tc>
                    <w:tc>
                      <w:tcPr>
                        <w:tcW w:w="75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0.16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4.65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4.65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2210201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住房公积金</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11.46　</w:t>
                        </w:r>
                      </w:p>
                    </w:tc>
                    <w:tc>
                      <w:tcPr>
                        <w:tcW w:w="75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11.46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11.46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8"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2010301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行政运行</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219.14　</w:t>
                        </w:r>
                      </w:p>
                    </w:tc>
                    <w:tc>
                      <w:tcPr>
                        <w:tcW w:w="756" w:type="dxa"/>
                        <w:tcBorders>
                          <w:top w:val="nil"/>
                          <w:left w:val="single" w:color="auto" w:sz="4" w:space="0"/>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67.91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151.23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151.23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8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bl>
          <w:p>
            <w:pPr>
              <w:widowControl/>
              <w:jc w:val="left"/>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2016年度部门支出决算总表（分单位）</w:t>
      </w:r>
    </w:p>
    <w:tbl>
      <w:tblPr>
        <w:tblStyle w:val="5"/>
        <w:tblW w:w="16336" w:type="dxa"/>
        <w:tblInd w:w="93" w:type="dxa"/>
        <w:tblLayout w:type="fixed"/>
        <w:tblCellMar>
          <w:top w:w="0" w:type="dxa"/>
          <w:left w:w="108" w:type="dxa"/>
          <w:bottom w:w="0" w:type="dxa"/>
          <w:right w:w="108" w:type="dxa"/>
        </w:tblCellMar>
      </w:tblPr>
      <w:tblGrid>
        <w:gridCol w:w="9336"/>
        <w:gridCol w:w="1000"/>
        <w:gridCol w:w="1000"/>
        <w:gridCol w:w="1000"/>
        <w:gridCol w:w="1000"/>
        <w:gridCol w:w="1000"/>
        <w:gridCol w:w="2000"/>
      </w:tblGrid>
      <w:tr>
        <w:tblPrEx>
          <w:tblCellMar>
            <w:top w:w="0" w:type="dxa"/>
            <w:left w:w="108" w:type="dxa"/>
            <w:bottom w:w="0" w:type="dxa"/>
            <w:right w:w="108" w:type="dxa"/>
          </w:tblCellMar>
        </w:tblPrEx>
        <w:trPr>
          <w:trHeight w:val="255" w:hRule="atLeast"/>
        </w:trPr>
        <w:tc>
          <w:tcPr>
            <w:tcW w:w="9336" w:type="dxa"/>
            <w:tcBorders>
              <w:top w:val="nil"/>
              <w:left w:val="nil"/>
              <w:bottom w:val="nil"/>
              <w:right w:val="nil"/>
            </w:tcBorders>
            <w:shd w:val="clear" w:color="auto" w:fill="auto"/>
            <w:vAlign w:val="bottom"/>
          </w:tcPr>
          <w:tbl>
            <w:tblPr>
              <w:tblStyle w:val="5"/>
              <w:tblW w:w="9120" w:type="dxa"/>
              <w:tblInd w:w="0" w:type="dxa"/>
              <w:tblLayout w:type="fixed"/>
              <w:tblCellMar>
                <w:top w:w="0" w:type="dxa"/>
                <w:left w:w="108" w:type="dxa"/>
                <w:bottom w:w="0" w:type="dxa"/>
                <w:right w:w="108" w:type="dxa"/>
              </w:tblCellMar>
            </w:tblPr>
            <w:tblGrid>
              <w:gridCol w:w="2120"/>
              <w:gridCol w:w="1000"/>
              <w:gridCol w:w="1000"/>
              <w:gridCol w:w="1000"/>
              <w:gridCol w:w="1000"/>
              <w:gridCol w:w="1000"/>
              <w:gridCol w:w="1000"/>
              <w:gridCol w:w="1000"/>
            </w:tblGrid>
            <w:tr>
              <w:tblPrEx>
                <w:tblCellMar>
                  <w:top w:w="0" w:type="dxa"/>
                  <w:left w:w="108" w:type="dxa"/>
                  <w:bottom w:w="0" w:type="dxa"/>
                  <w:right w:w="108" w:type="dxa"/>
                </w:tblCellMar>
              </w:tblPrEx>
              <w:trPr>
                <w:trHeight w:val="255" w:hRule="atLeast"/>
              </w:trPr>
              <w:tc>
                <w:tcPr>
                  <w:tcW w:w="212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公开03-1表</w:t>
                  </w:r>
                </w:p>
              </w:tc>
            </w:tr>
            <w:tr>
              <w:tblPrEx>
                <w:tblCellMar>
                  <w:top w:w="0" w:type="dxa"/>
                  <w:left w:w="108" w:type="dxa"/>
                  <w:bottom w:w="0" w:type="dxa"/>
                  <w:right w:w="108" w:type="dxa"/>
                </w:tblCellMar>
              </w:tblPrEx>
              <w:trPr>
                <w:trHeight w:val="270" w:hRule="atLeast"/>
              </w:trPr>
              <w:tc>
                <w:tcPr>
                  <w:tcW w:w="2120" w:type="dxa"/>
                  <w:tcBorders>
                    <w:top w:val="nil"/>
                    <w:left w:val="nil"/>
                    <w:bottom w:val="nil"/>
                    <w:right w:val="nil"/>
                  </w:tcBorders>
                  <w:shd w:val="clear" w:color="000000" w:fill="FFFFFF"/>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部门：</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266.53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174.53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12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80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0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2016年度部门支出决算总表（分科目）</w:t>
      </w:r>
    </w:p>
    <w:tbl>
      <w:tblPr>
        <w:tblStyle w:val="5"/>
        <w:tblW w:w="16336" w:type="dxa"/>
        <w:tblInd w:w="93" w:type="dxa"/>
        <w:tblLayout w:type="fixed"/>
        <w:tblCellMar>
          <w:top w:w="0" w:type="dxa"/>
          <w:left w:w="108" w:type="dxa"/>
          <w:bottom w:w="0" w:type="dxa"/>
          <w:right w:w="108" w:type="dxa"/>
        </w:tblCellMar>
      </w:tblPr>
      <w:tblGrid>
        <w:gridCol w:w="16336"/>
      </w:tblGrid>
      <w:tr>
        <w:tblPrEx>
          <w:tblCellMar>
            <w:top w:w="0" w:type="dxa"/>
            <w:left w:w="108" w:type="dxa"/>
            <w:bottom w:w="0" w:type="dxa"/>
            <w:right w:w="108" w:type="dxa"/>
          </w:tblCellMar>
        </w:tblPrEx>
        <w:trPr>
          <w:trHeight w:val="255" w:hRule="atLeast"/>
        </w:trPr>
        <w:tc>
          <w:tcPr>
            <w:tcW w:w="16336" w:type="dxa"/>
            <w:tcBorders>
              <w:top w:val="nil"/>
              <w:left w:val="nil"/>
              <w:bottom w:val="nil"/>
              <w:right w:val="nil"/>
            </w:tcBorders>
            <w:shd w:val="clear" w:color="auto" w:fill="auto"/>
            <w:vAlign w:val="bottom"/>
          </w:tcPr>
          <w:tbl>
            <w:tblPr>
              <w:tblStyle w:val="5"/>
              <w:tblW w:w="9688" w:type="dxa"/>
              <w:tblInd w:w="0" w:type="dxa"/>
              <w:tblLayout w:type="fixed"/>
              <w:tblCellMar>
                <w:top w:w="0" w:type="dxa"/>
                <w:left w:w="108" w:type="dxa"/>
                <w:bottom w:w="0" w:type="dxa"/>
                <w:right w:w="108" w:type="dxa"/>
              </w:tblCellMar>
            </w:tblPr>
            <w:tblGrid>
              <w:gridCol w:w="1041"/>
              <w:gridCol w:w="1276"/>
              <w:gridCol w:w="1276"/>
              <w:gridCol w:w="992"/>
              <w:gridCol w:w="535"/>
              <w:gridCol w:w="599"/>
              <w:gridCol w:w="992"/>
              <w:gridCol w:w="1134"/>
              <w:gridCol w:w="275"/>
              <w:gridCol w:w="576"/>
              <w:gridCol w:w="992"/>
            </w:tblGrid>
            <w:tr>
              <w:trPr>
                <w:trHeight w:val="255" w:hRule="atLeast"/>
              </w:trPr>
              <w:tc>
                <w:tcPr>
                  <w:tcW w:w="1041"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276" w:type="dxa"/>
                  <w:tcBorders>
                    <w:top w:val="nil"/>
                    <w:left w:val="nil"/>
                    <w:bottom w:val="nil"/>
                    <w:right w:val="nil"/>
                  </w:tcBorders>
                  <w:shd w:val="clear" w:color="000000" w:fill="FFFFFF"/>
                </w:tcPr>
                <w:p>
                  <w:pPr>
                    <w:widowControl/>
                    <w:jc w:val="left"/>
                    <w:rPr>
                      <w:rFonts w:ascii="Arial" w:hAnsi="Arial" w:eastAsia="宋体" w:cs="Arial"/>
                      <w:color w:val="000000"/>
                      <w:kern w:val="0"/>
                      <w:sz w:val="20"/>
                      <w:szCs w:val="20"/>
                    </w:rPr>
                  </w:pPr>
                </w:p>
              </w:tc>
              <w:tc>
                <w:tcPr>
                  <w:tcW w:w="1276"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7"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599"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92"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09"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68"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blPrEx>
                <w:tblCellMar>
                  <w:top w:w="0" w:type="dxa"/>
                  <w:left w:w="108" w:type="dxa"/>
                  <w:bottom w:w="0" w:type="dxa"/>
                  <w:right w:w="108" w:type="dxa"/>
                </w:tblCellMar>
              </w:tblPrEx>
              <w:trPr>
                <w:trHeight w:val="270" w:hRule="atLeast"/>
              </w:trPr>
              <w:tc>
                <w:tcPr>
                  <w:tcW w:w="1041" w:type="dxa"/>
                  <w:tcBorders>
                    <w:top w:val="nil"/>
                    <w:left w:val="nil"/>
                    <w:bottom w:val="nil"/>
                    <w:right w:val="nil"/>
                  </w:tcBorders>
                  <w:shd w:val="clear" w:color="000000" w:fill="FFFFFF"/>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部门：</w:t>
                  </w:r>
                </w:p>
              </w:tc>
              <w:tc>
                <w:tcPr>
                  <w:tcW w:w="1276" w:type="dxa"/>
                  <w:tcBorders>
                    <w:top w:val="nil"/>
                    <w:left w:val="nil"/>
                    <w:bottom w:val="single" w:color="auto" w:sz="4" w:space="0"/>
                    <w:right w:val="nil"/>
                  </w:tcBorders>
                  <w:shd w:val="clear" w:color="000000" w:fill="FFFFFF"/>
                </w:tcPr>
                <w:p>
                  <w:pPr>
                    <w:widowControl/>
                    <w:jc w:val="left"/>
                    <w:rPr>
                      <w:rFonts w:ascii="Arial" w:hAnsi="Arial" w:eastAsia="宋体" w:cs="Arial"/>
                      <w:color w:val="000000"/>
                      <w:kern w:val="0"/>
                      <w:sz w:val="20"/>
                      <w:szCs w:val="20"/>
                    </w:rPr>
                  </w:pPr>
                </w:p>
              </w:tc>
              <w:tc>
                <w:tcPr>
                  <w:tcW w:w="1276" w:type="dxa"/>
                  <w:tcBorders>
                    <w:top w:val="nil"/>
                    <w:left w:val="nil"/>
                    <w:bottom w:val="single" w:color="auto" w:sz="4" w:space="0"/>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7"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599"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92"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09"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68"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1041" w:type="dxa"/>
                  <w:vMerge w:val="restart"/>
                  <w:tcBorders>
                    <w:top w:val="single" w:color="000000" w:sz="8" w:space="0"/>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科目名称</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126"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99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13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851"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99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1041"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hAnsi="宋体" w:eastAsia="宋体" w:cs="Arial"/>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Arial"/>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rPr>
                  </w:pP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2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9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13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851"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9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blPrEx>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276" w:type="dxa"/>
                  <w:tcBorders>
                    <w:top w:val="single" w:color="auto" w:sz="4" w:space="0"/>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266.53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174.53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12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80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2010301</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行政运行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170.26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158.26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12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2010302</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一般行政管理事务</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80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80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2100502</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行政单位医</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4.81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4.81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2210201</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住房公积金</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11.46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11.46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hAnsi="宋体" w:eastAsia="宋体" w:cs="Arial"/>
                      <w:color w:val="000000"/>
                      <w:kern w:val="0"/>
                      <w:sz w:val="18"/>
                      <w:szCs w:val="18"/>
                    </w:rPr>
                  </w:pP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single" w:color="auto" w:sz="4" w:space="0"/>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r>
    </w:tbl>
    <w:p>
      <w:pPr>
        <w:autoSpaceDE w:val="0"/>
        <w:autoSpaceDN w:val="0"/>
        <w:adjustRightInd w:val="0"/>
        <w:spacing w:line="560" w:lineRule="exact"/>
        <w:rPr>
          <w:rFonts w:ascii="仿宋" w:hAnsi="Times New Roman" w:eastAsia="仿宋" w:cs="仿宋"/>
          <w:b/>
          <w:sz w:val="32"/>
          <w:szCs w:val="32"/>
        </w:rPr>
      </w:pPr>
    </w:p>
    <w:tbl>
      <w:tblPr>
        <w:tblStyle w:val="5"/>
        <w:tblW w:w="19156" w:type="dxa"/>
        <w:tblInd w:w="93" w:type="dxa"/>
        <w:tblLayout w:type="fixed"/>
        <w:tblCellMar>
          <w:top w:w="0" w:type="dxa"/>
          <w:left w:w="108" w:type="dxa"/>
          <w:bottom w:w="0" w:type="dxa"/>
          <w:right w:w="108" w:type="dxa"/>
        </w:tblCellMar>
      </w:tblPr>
      <w:tblGrid>
        <w:gridCol w:w="9904"/>
        <w:gridCol w:w="436"/>
        <w:gridCol w:w="436"/>
        <w:gridCol w:w="2020"/>
        <w:gridCol w:w="1060"/>
        <w:gridCol w:w="1060"/>
        <w:gridCol w:w="1060"/>
        <w:gridCol w:w="1060"/>
        <w:gridCol w:w="2120"/>
      </w:tblGrid>
      <w:tr>
        <w:tblPrEx>
          <w:tblCellMar>
            <w:top w:w="0" w:type="dxa"/>
            <w:left w:w="108" w:type="dxa"/>
            <w:bottom w:w="0" w:type="dxa"/>
            <w:right w:w="108" w:type="dxa"/>
          </w:tblCellMar>
        </w:tblPrEx>
        <w:trPr>
          <w:trHeight w:val="255" w:hRule="atLeast"/>
        </w:trPr>
        <w:tc>
          <w:tcPr>
            <w:tcW w:w="9904"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2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公开03-1表</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2016年度部门财政拨款收入支出决算总表</w:t>
      </w:r>
    </w:p>
    <w:tbl>
      <w:tblPr>
        <w:tblStyle w:val="5"/>
        <w:tblW w:w="15990" w:type="dxa"/>
        <w:tblInd w:w="93" w:type="dxa"/>
        <w:tblLayout w:type="fixed"/>
        <w:tblCellMar>
          <w:top w:w="0" w:type="dxa"/>
          <w:left w:w="108" w:type="dxa"/>
          <w:bottom w:w="0" w:type="dxa"/>
          <w:right w:w="108" w:type="dxa"/>
        </w:tblCellMar>
      </w:tblPr>
      <w:tblGrid>
        <w:gridCol w:w="9233"/>
        <w:gridCol w:w="376"/>
        <w:gridCol w:w="880"/>
        <w:gridCol w:w="2240"/>
        <w:gridCol w:w="440"/>
        <w:gridCol w:w="2821"/>
      </w:tblGrid>
      <w:tr>
        <w:tblPrEx>
          <w:tblCellMar>
            <w:top w:w="0" w:type="dxa"/>
            <w:left w:w="108" w:type="dxa"/>
            <w:bottom w:w="0" w:type="dxa"/>
            <w:right w:w="108" w:type="dxa"/>
          </w:tblCellMar>
        </w:tblPrEx>
        <w:trPr>
          <w:trHeight w:val="255" w:hRule="atLeast"/>
        </w:trPr>
        <w:tc>
          <w:tcPr>
            <w:tcW w:w="9233" w:type="dxa"/>
            <w:tcBorders>
              <w:top w:val="nil"/>
              <w:left w:val="nil"/>
              <w:bottom w:val="nil"/>
              <w:right w:val="nil"/>
            </w:tcBorders>
            <w:shd w:val="clear" w:color="auto" w:fill="auto"/>
            <w:vAlign w:val="bottom"/>
          </w:tcPr>
          <w:tbl>
            <w:tblPr>
              <w:tblStyle w:val="5"/>
              <w:tblW w:w="9017" w:type="dxa"/>
              <w:tblInd w:w="0" w:type="dxa"/>
              <w:tblLayout w:type="fixed"/>
              <w:tblCellMar>
                <w:top w:w="0" w:type="dxa"/>
                <w:left w:w="108" w:type="dxa"/>
                <w:bottom w:w="0" w:type="dxa"/>
                <w:right w:w="108" w:type="dxa"/>
              </w:tblCellMar>
            </w:tblPr>
            <w:tblGrid>
              <w:gridCol w:w="2260"/>
              <w:gridCol w:w="376"/>
              <w:gridCol w:w="957"/>
              <w:gridCol w:w="2163"/>
              <w:gridCol w:w="440"/>
              <w:gridCol w:w="667"/>
              <w:gridCol w:w="1077"/>
              <w:gridCol w:w="1077"/>
            </w:tblGrid>
            <w:tr>
              <w:tblPrEx>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76"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57"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163"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821" w:type="dxa"/>
                  <w:gridSpan w:val="3"/>
                  <w:tcBorders>
                    <w:top w:val="nil"/>
                    <w:left w:val="nil"/>
                    <w:bottom w:val="nil"/>
                    <w:right w:val="nil"/>
                  </w:tcBorders>
                  <w:shd w:val="clear" w:color="000000" w:fill="FFFFFF"/>
                  <w:vAlign w:val="bottom"/>
                </w:tcPr>
                <w:p>
                  <w:pPr>
                    <w:widowControl/>
                    <w:jc w:val="right"/>
                    <w:rPr>
                      <w:rFonts w:ascii="Arial" w:hAnsi="Arial" w:eastAsia="宋体" w:cs="Arial"/>
                      <w:color w:val="000000"/>
                      <w:kern w:val="0"/>
                      <w:sz w:val="15"/>
                      <w:szCs w:val="15"/>
                    </w:rPr>
                  </w:pPr>
                  <w:r>
                    <w:rPr>
                      <w:rFonts w:hint="eastAsia" w:ascii="宋体" w:hAnsi="宋体" w:eastAsia="宋体" w:cs="Arial"/>
                      <w:color w:val="000000"/>
                      <w:kern w:val="0"/>
                      <w:sz w:val="15"/>
                      <w:szCs w:val="15"/>
                    </w:rPr>
                    <w:t>公开</w:t>
                  </w:r>
                  <w:r>
                    <w:rPr>
                      <w:rFonts w:ascii="Arial" w:hAnsi="Arial" w:eastAsia="宋体" w:cs="Arial"/>
                      <w:color w:val="000000"/>
                      <w:kern w:val="0"/>
                      <w:sz w:val="15"/>
                      <w:szCs w:val="15"/>
                    </w:rPr>
                    <w:t>04</w:t>
                  </w:r>
                  <w:r>
                    <w:rPr>
                      <w:rFonts w:hint="eastAsia" w:ascii="宋体" w:hAnsi="宋体" w:eastAsia="宋体" w:cs="Arial"/>
                      <w:color w:val="000000"/>
                      <w:kern w:val="0"/>
                      <w:sz w:val="15"/>
                      <w:szCs w:val="15"/>
                    </w:rPr>
                    <w:t>表</w:t>
                  </w:r>
                </w:p>
              </w:tc>
            </w:tr>
            <w:tr>
              <w:tblPrEx>
                <w:tblCellMar>
                  <w:top w:w="0" w:type="dxa"/>
                  <w:left w:w="108" w:type="dxa"/>
                  <w:bottom w:w="0" w:type="dxa"/>
                  <w:right w:w="108" w:type="dxa"/>
                </w:tblCellMar>
              </w:tblPrEx>
              <w:trPr>
                <w:trHeight w:val="315" w:hRule="atLeast"/>
              </w:trPr>
              <w:tc>
                <w:tcPr>
                  <w:tcW w:w="2260" w:type="dxa"/>
                  <w:tcBorders>
                    <w:top w:val="nil"/>
                    <w:left w:val="nil"/>
                    <w:bottom w:val="nil"/>
                    <w:right w:val="nil"/>
                  </w:tcBorders>
                  <w:shd w:val="clear" w:color="000000" w:fill="FFFFFF"/>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部门：</w:t>
                  </w:r>
                </w:p>
              </w:tc>
              <w:tc>
                <w:tcPr>
                  <w:tcW w:w="376"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57"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163"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821" w:type="dxa"/>
                  <w:gridSpan w:val="3"/>
                  <w:tcBorders>
                    <w:top w:val="nil"/>
                    <w:left w:val="nil"/>
                    <w:bottom w:val="nil"/>
                    <w:right w:val="nil"/>
                  </w:tcBorders>
                  <w:shd w:val="clear" w:color="000000" w:fill="FFFFFF"/>
                  <w:vAlign w:val="bottom"/>
                </w:tcPr>
                <w:p>
                  <w:pPr>
                    <w:widowControl/>
                    <w:jc w:val="right"/>
                    <w:rPr>
                      <w:rFonts w:ascii="Arial" w:hAnsi="Arial" w:eastAsia="宋体" w:cs="Arial"/>
                      <w:color w:val="000000"/>
                      <w:kern w:val="0"/>
                      <w:sz w:val="15"/>
                      <w:szCs w:val="15"/>
                    </w:rPr>
                  </w:pPr>
                  <w:r>
                    <w:rPr>
                      <w:rFonts w:ascii="Arial" w:hAnsi="Arial"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593"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收     入</w:t>
                  </w:r>
                </w:p>
              </w:tc>
              <w:tc>
                <w:tcPr>
                  <w:tcW w:w="5424" w:type="dxa"/>
                  <w:gridSpan w:val="5"/>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支     出</w:t>
                  </w:r>
                </w:p>
              </w:tc>
            </w:tr>
            <w:tr>
              <w:tblPrEx>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    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957"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c>
                <w:tcPr>
                  <w:tcW w:w="216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2821"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blPrEx>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95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216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66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一般公共预算财政拨款</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政府性基金预算财政拨款</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5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216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66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957" w:type="dxa"/>
                  <w:tcBorders>
                    <w:top w:val="nil"/>
                    <w:left w:val="nil"/>
                    <w:bottom w:val="single" w:color="000000" w:sz="4" w:space="0"/>
                    <w:right w:val="single" w:color="000000" w:sz="4" w:space="0"/>
                  </w:tcBorders>
                  <w:shd w:val="clear" w:color="000000" w:fill="FFFFFF"/>
                  <w:vAlign w:val="center"/>
                </w:tcPr>
                <w:p>
                  <w:pPr>
                    <w:widowControl/>
                    <w:ind w:right="80"/>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247.34</w:t>
                  </w:r>
                </w:p>
                <w:p>
                  <w:pPr>
                    <w:widowControl/>
                    <w:ind w:right="80"/>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250.26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33</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34</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35</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36</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37</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38</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39</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4.81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40</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13</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43</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14</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44</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15</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45</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16</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46</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17</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47</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18</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48</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19</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49</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11.46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20</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50</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21</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22</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23</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53</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24</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247.34　</w:t>
                  </w:r>
                </w:p>
              </w:tc>
              <w:tc>
                <w:tcPr>
                  <w:tcW w:w="216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77</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266.53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25</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78</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26</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174.74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79</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155.55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27</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80</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28</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29</w:t>
                  </w:r>
                </w:p>
              </w:tc>
              <w:tc>
                <w:tcPr>
                  <w:tcW w:w="95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6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376"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30</w:t>
                  </w:r>
                </w:p>
              </w:tc>
              <w:tc>
                <w:tcPr>
                  <w:tcW w:w="95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422.08　</w:t>
                  </w:r>
                </w:p>
              </w:tc>
              <w:tc>
                <w:tcPr>
                  <w:tcW w:w="2163"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83</w:t>
                  </w:r>
                </w:p>
              </w:tc>
              <w:tc>
                <w:tcPr>
                  <w:tcW w:w="66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422.08　</w:t>
                  </w:r>
                </w:p>
              </w:tc>
              <w:tc>
                <w:tcPr>
                  <w:tcW w:w="107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bl>
          <w:p>
            <w:pPr>
              <w:widowControl/>
              <w:jc w:val="left"/>
              <w:rPr>
                <w:rFonts w:ascii="Arial" w:hAnsi="Arial" w:eastAsia="宋体" w:cs="Arial"/>
                <w:color w:val="000000"/>
                <w:kern w:val="0"/>
                <w:sz w:val="20"/>
                <w:szCs w:val="20"/>
              </w:rPr>
            </w:pPr>
          </w:p>
        </w:tc>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4"/>
                <w:szCs w:val="24"/>
              </w:rPr>
            </w:pPr>
          </w:p>
        </w:tc>
        <w:tc>
          <w:tcPr>
            <w:tcW w:w="4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vAlign w:val="bottom"/>
          </w:tcPr>
          <w:p>
            <w:pPr>
              <w:widowControl/>
              <w:jc w:val="right"/>
              <w:rPr>
                <w:rFonts w:ascii="Arial" w:hAnsi="Arial" w:eastAsia="宋体" w:cs="Arial"/>
                <w:color w:val="000000"/>
                <w:kern w:val="0"/>
                <w:sz w:val="20"/>
                <w:szCs w:val="20"/>
              </w:rPr>
            </w:pPr>
            <w:r>
              <w:rPr>
                <w:rFonts w:hint="eastAsia" w:ascii="宋体" w:hAnsi="宋体" w:eastAsia="宋体" w:cs="Arial"/>
                <w:color w:val="000000"/>
                <w:kern w:val="0"/>
                <w:sz w:val="20"/>
                <w:szCs w:val="20"/>
              </w:rPr>
              <w:t>公开</w:t>
            </w:r>
            <w:r>
              <w:rPr>
                <w:rFonts w:ascii="Arial" w:hAnsi="Arial" w:eastAsia="宋体" w:cs="Arial"/>
                <w:color w:val="000000"/>
                <w:kern w:val="0"/>
                <w:sz w:val="20"/>
                <w:szCs w:val="20"/>
              </w:rPr>
              <w:t>04</w:t>
            </w:r>
            <w:r>
              <w:rPr>
                <w:rFonts w:hint="eastAsia" w:ascii="宋体" w:hAnsi="宋体" w:eastAsia="宋体" w:cs="Arial"/>
                <w:color w:val="000000"/>
                <w:kern w:val="0"/>
                <w:sz w:val="20"/>
                <w:szCs w:val="20"/>
              </w:rPr>
              <w:t>表</w:t>
            </w:r>
          </w:p>
        </w:tc>
      </w:tr>
      <w:tr>
        <w:tblPrEx>
          <w:tblCellMar>
            <w:top w:w="0" w:type="dxa"/>
            <w:left w:w="108" w:type="dxa"/>
            <w:bottom w:w="0" w:type="dxa"/>
            <w:right w:w="108" w:type="dxa"/>
          </w:tblCellMar>
        </w:tblPrEx>
        <w:trPr>
          <w:trHeight w:val="315" w:hRule="atLeast"/>
        </w:trPr>
        <w:tc>
          <w:tcPr>
            <w:tcW w:w="9233"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4"/>
                <w:szCs w:val="24"/>
              </w:rPr>
            </w:pPr>
          </w:p>
        </w:tc>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金额单位：万元</w:t>
            </w:r>
          </w:p>
        </w:tc>
      </w:tr>
    </w:tbl>
    <w:p>
      <w:pPr>
        <w:autoSpaceDE w:val="0"/>
        <w:autoSpaceDN w:val="0"/>
        <w:adjustRightInd w:val="0"/>
        <w:spacing w:line="560" w:lineRule="exact"/>
        <w:ind w:firstLine="627"/>
        <w:jc w:val="center"/>
        <w:rPr>
          <w:rFonts w:ascii="仿宋" w:hAnsi="Times New Roman" w:eastAsia="仿宋" w:cs="仿宋"/>
          <w:sz w:val="28"/>
          <w:szCs w:val="28"/>
        </w:rPr>
      </w:pPr>
      <w:r>
        <w:rPr>
          <w:rFonts w:hint="eastAsia" w:ascii="仿宋" w:hAnsi="Times New Roman" w:eastAsia="仿宋" w:cs="仿宋"/>
          <w:b/>
          <w:sz w:val="32"/>
          <w:szCs w:val="32"/>
        </w:rPr>
        <w:t>2016年度部门一般公共预算财政拨款支出决算表</w:t>
      </w:r>
    </w:p>
    <w:tbl>
      <w:tblPr>
        <w:tblStyle w:val="5"/>
        <w:tblW w:w="9479" w:type="dxa"/>
        <w:tblInd w:w="93" w:type="dxa"/>
        <w:tblLayout w:type="fixed"/>
        <w:tblCellMar>
          <w:top w:w="0" w:type="dxa"/>
          <w:left w:w="108" w:type="dxa"/>
          <w:bottom w:w="0" w:type="dxa"/>
          <w:right w:w="108" w:type="dxa"/>
        </w:tblCellMar>
      </w:tblPr>
      <w:tblGrid>
        <w:gridCol w:w="482"/>
        <w:gridCol w:w="482"/>
        <w:gridCol w:w="6"/>
        <w:gridCol w:w="476"/>
        <w:gridCol w:w="1754"/>
        <w:gridCol w:w="383"/>
        <w:gridCol w:w="706"/>
        <w:gridCol w:w="630"/>
        <w:gridCol w:w="340"/>
        <w:gridCol w:w="1180"/>
        <w:gridCol w:w="680"/>
        <w:gridCol w:w="840"/>
        <w:gridCol w:w="1520"/>
      </w:tblGrid>
      <w:tr>
        <w:tblPrEx>
          <w:tblCellMar>
            <w:top w:w="0" w:type="dxa"/>
            <w:left w:w="108" w:type="dxa"/>
            <w:bottom w:w="0" w:type="dxa"/>
            <w:right w:w="108" w:type="dxa"/>
          </w:tblCellMar>
        </w:tblPrEx>
        <w:trPr>
          <w:trHeight w:val="255" w:hRule="atLeast"/>
        </w:trPr>
        <w:tc>
          <w:tcPr>
            <w:tcW w:w="3200" w:type="dxa"/>
            <w:gridSpan w:val="5"/>
            <w:tcBorders>
              <w:top w:val="nil"/>
              <w:left w:val="nil"/>
              <w:bottom w:val="nil"/>
              <w:right w:val="nil"/>
            </w:tcBorders>
            <w:shd w:val="clear" w:color="000000" w:fill="FFFFFF"/>
            <w:vAlign w:val="bottom"/>
          </w:tcPr>
          <w:p>
            <w:pPr>
              <w:widowControl/>
              <w:jc w:val="center"/>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719" w:type="dxa"/>
            <w:gridSpan w:val="3"/>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040" w:type="dxa"/>
            <w:gridSpan w:val="3"/>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公开05表</w:t>
            </w:r>
          </w:p>
        </w:tc>
      </w:tr>
      <w:tr>
        <w:tblPrEx>
          <w:tblCellMar>
            <w:top w:w="0" w:type="dxa"/>
            <w:left w:w="108" w:type="dxa"/>
            <w:bottom w:w="0" w:type="dxa"/>
            <w:right w:w="108" w:type="dxa"/>
          </w:tblCellMar>
        </w:tblPrEx>
        <w:trPr>
          <w:trHeight w:val="270" w:hRule="atLeast"/>
        </w:trPr>
        <w:tc>
          <w:tcPr>
            <w:tcW w:w="3200" w:type="dxa"/>
            <w:gridSpan w:val="5"/>
            <w:tcBorders>
              <w:top w:val="nil"/>
              <w:left w:val="nil"/>
              <w:bottom w:val="single" w:color="000000" w:sz="8" w:space="0"/>
              <w:right w:val="nil"/>
            </w:tcBorders>
            <w:shd w:val="clear" w:color="000000" w:fill="FFFFFF"/>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1719" w:type="dxa"/>
            <w:gridSpan w:val="3"/>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52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040" w:type="dxa"/>
            <w:gridSpan w:val="3"/>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200" w:type="dxa"/>
            <w:gridSpan w:val="5"/>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719" w:type="dxa"/>
            <w:gridSpan w:val="3"/>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2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52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备注</w:t>
            </w:r>
          </w:p>
        </w:tc>
      </w:tr>
      <w:tr>
        <w:tblPrEx>
          <w:tblCellMar>
            <w:top w:w="0" w:type="dxa"/>
            <w:left w:w="108" w:type="dxa"/>
            <w:bottom w:w="0" w:type="dxa"/>
            <w:right w:w="108" w:type="dxa"/>
          </w:tblCellMar>
        </w:tblPrEx>
        <w:trPr>
          <w:trHeight w:val="308" w:hRule="atLeast"/>
        </w:trPr>
        <w:tc>
          <w:tcPr>
            <w:tcW w:w="1446" w:type="dxa"/>
            <w:gridSpan w:val="4"/>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175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71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1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1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8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82"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175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719"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blPrEx>
          <w:tblCellMar>
            <w:top w:w="0" w:type="dxa"/>
            <w:left w:w="108" w:type="dxa"/>
            <w:bottom w:w="0" w:type="dxa"/>
            <w:right w:w="108" w:type="dxa"/>
          </w:tblCellMar>
        </w:tblPrEx>
        <w:trPr>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8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71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266.53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186.53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2010301</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行政运行</w:t>
            </w:r>
          </w:p>
        </w:tc>
        <w:tc>
          <w:tcPr>
            <w:tcW w:w="171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170.26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170.26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2010302</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一般行政管理事务</w:t>
            </w:r>
          </w:p>
        </w:tc>
        <w:tc>
          <w:tcPr>
            <w:tcW w:w="171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2100501</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行政单位医疗</w:t>
            </w:r>
          </w:p>
        </w:tc>
        <w:tc>
          <w:tcPr>
            <w:tcW w:w="171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4.81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4.81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2210201</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住房公积金</w:t>
            </w:r>
          </w:p>
        </w:tc>
        <w:tc>
          <w:tcPr>
            <w:tcW w:w="171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11.46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11.46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1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1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19"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54" w:type="dxa"/>
            <w:tcBorders>
              <w:top w:val="nil"/>
              <w:left w:val="nil"/>
              <w:bottom w:val="single" w:color="000000" w:sz="8"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19" w:type="dxa"/>
            <w:gridSpan w:val="3"/>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40" w:hRule="atLeast"/>
        </w:trPr>
        <w:tc>
          <w:tcPr>
            <w:tcW w:w="9479" w:type="dxa"/>
            <w:gridSpan w:val="13"/>
            <w:tcBorders>
              <w:top w:val="nil"/>
              <w:left w:val="nil"/>
              <w:bottom w:val="nil"/>
              <w:right w:val="nil"/>
            </w:tcBorders>
            <w:shd w:val="clear" w:color="auto" w:fill="auto"/>
            <w:vAlign w:val="bottom"/>
          </w:tcPr>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r>
              <w:rPr>
                <w:rFonts w:hint="eastAsia" w:ascii="仿宋" w:hAnsi="Times New Roman" w:eastAsia="仿宋" w:cs="仿宋"/>
                <w:b/>
                <w:sz w:val="32"/>
                <w:szCs w:val="32"/>
              </w:rPr>
              <w:t>2016年度部门一般公共预算基本支出决算表</w:t>
            </w:r>
          </w:p>
        </w:tc>
      </w:tr>
      <w:tr>
        <w:tblPrEx>
          <w:tblCellMar>
            <w:top w:w="0" w:type="dxa"/>
            <w:left w:w="108" w:type="dxa"/>
            <w:bottom w:w="0" w:type="dxa"/>
            <w:right w:w="108" w:type="dxa"/>
          </w:tblCellMar>
        </w:tblPrEx>
        <w:trPr>
          <w:trHeight w:val="255" w:hRule="atLeast"/>
        </w:trPr>
        <w:tc>
          <w:tcPr>
            <w:tcW w:w="970"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13"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0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7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6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360" w:type="dxa"/>
            <w:gridSpan w:val="2"/>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公开06表</w:t>
            </w:r>
          </w:p>
        </w:tc>
      </w:tr>
      <w:tr>
        <w:tblPrEx>
          <w:tblCellMar>
            <w:top w:w="0" w:type="dxa"/>
            <w:left w:w="108" w:type="dxa"/>
            <w:bottom w:w="0" w:type="dxa"/>
            <w:right w:w="108" w:type="dxa"/>
          </w:tblCellMar>
        </w:tblPrEx>
        <w:trPr>
          <w:trHeight w:val="255" w:hRule="atLeast"/>
        </w:trPr>
        <w:tc>
          <w:tcPr>
            <w:tcW w:w="970" w:type="dxa"/>
            <w:gridSpan w:val="3"/>
            <w:tcBorders>
              <w:top w:val="nil"/>
              <w:left w:val="nil"/>
              <w:bottom w:val="single" w:color="auto" w:sz="4" w:space="0"/>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2613" w:type="dxa"/>
            <w:gridSpan w:val="3"/>
            <w:tcBorders>
              <w:top w:val="nil"/>
              <w:left w:val="nil"/>
              <w:bottom w:val="single" w:color="auto" w:sz="4" w:space="0"/>
              <w:right w:val="nil"/>
            </w:tcBorders>
            <w:shd w:val="clear" w:color="auto" w:fill="auto"/>
            <w:vAlign w:val="bottom"/>
          </w:tcPr>
          <w:p>
            <w:pPr>
              <w:widowControl/>
              <w:jc w:val="left"/>
              <w:rPr>
                <w:rFonts w:ascii="Arial" w:hAnsi="Arial" w:eastAsia="宋体" w:cs="Arial"/>
                <w:color w:val="000000"/>
                <w:kern w:val="0"/>
                <w:sz w:val="20"/>
                <w:szCs w:val="20"/>
              </w:rPr>
            </w:pPr>
          </w:p>
        </w:tc>
        <w:tc>
          <w:tcPr>
            <w:tcW w:w="706" w:type="dxa"/>
            <w:tcBorders>
              <w:top w:val="nil"/>
              <w:left w:val="nil"/>
              <w:bottom w:val="single" w:color="auto" w:sz="4" w:space="0"/>
              <w:right w:val="nil"/>
            </w:tcBorders>
            <w:shd w:val="clear" w:color="auto" w:fill="auto"/>
            <w:vAlign w:val="bottom"/>
          </w:tcPr>
          <w:p>
            <w:pPr>
              <w:widowControl/>
              <w:jc w:val="left"/>
              <w:rPr>
                <w:rFonts w:ascii="Arial" w:hAnsi="Arial" w:eastAsia="宋体" w:cs="Arial"/>
                <w:color w:val="000000"/>
                <w:kern w:val="0"/>
                <w:sz w:val="20"/>
                <w:szCs w:val="20"/>
              </w:rPr>
            </w:pPr>
          </w:p>
        </w:tc>
        <w:tc>
          <w:tcPr>
            <w:tcW w:w="970" w:type="dxa"/>
            <w:gridSpan w:val="2"/>
            <w:tcBorders>
              <w:top w:val="nil"/>
              <w:left w:val="nil"/>
              <w:bottom w:val="single" w:color="auto" w:sz="4" w:space="0"/>
              <w:right w:val="nil"/>
            </w:tcBorders>
            <w:shd w:val="clear" w:color="auto" w:fill="auto"/>
            <w:vAlign w:val="bottom"/>
          </w:tcPr>
          <w:p>
            <w:pPr>
              <w:widowControl/>
              <w:jc w:val="left"/>
              <w:rPr>
                <w:rFonts w:ascii="Arial" w:hAnsi="Arial" w:eastAsia="宋体" w:cs="Arial"/>
                <w:color w:val="000000"/>
                <w:kern w:val="0"/>
                <w:sz w:val="20"/>
                <w:szCs w:val="20"/>
              </w:rPr>
            </w:pPr>
          </w:p>
        </w:tc>
        <w:tc>
          <w:tcPr>
            <w:tcW w:w="1860" w:type="dxa"/>
            <w:gridSpan w:val="2"/>
            <w:tcBorders>
              <w:top w:val="nil"/>
              <w:left w:val="nil"/>
              <w:bottom w:val="single" w:color="auto" w:sz="4" w:space="0"/>
              <w:right w:val="nil"/>
            </w:tcBorders>
            <w:shd w:val="clear" w:color="auto" w:fill="auto"/>
            <w:vAlign w:val="bottom"/>
          </w:tcPr>
          <w:p>
            <w:pPr>
              <w:widowControl/>
              <w:jc w:val="left"/>
              <w:rPr>
                <w:rFonts w:ascii="Arial" w:hAnsi="Arial" w:eastAsia="宋体" w:cs="Arial"/>
                <w:color w:val="000000"/>
                <w:kern w:val="0"/>
                <w:sz w:val="20"/>
                <w:szCs w:val="20"/>
              </w:rPr>
            </w:pPr>
          </w:p>
        </w:tc>
        <w:tc>
          <w:tcPr>
            <w:tcW w:w="2360" w:type="dxa"/>
            <w:gridSpan w:val="2"/>
            <w:tcBorders>
              <w:top w:val="nil"/>
              <w:left w:val="nil"/>
              <w:bottom w:val="single" w:color="auto" w:sz="4" w:space="0"/>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4289" w:type="dxa"/>
            <w:gridSpan w:val="7"/>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人员经费</w:t>
            </w:r>
          </w:p>
        </w:tc>
        <w:tc>
          <w:tcPr>
            <w:tcW w:w="5190" w:type="dxa"/>
            <w:gridSpan w:val="6"/>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公用经费</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2613" w:type="dxa"/>
            <w:gridSpan w:val="3"/>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706"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金额</w:t>
            </w: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1860" w:type="dxa"/>
            <w:gridSpan w:val="2"/>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2360" w:type="dxa"/>
            <w:gridSpan w:val="2"/>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金额</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工资福利支出</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156.56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商品和服务支出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基本工资</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33.02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办公费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27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津贴补贴</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53.35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印刷费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奖金</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27.32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咨询费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其他社会保障缴费</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0.72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手续费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30106</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伙食补助费</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1.68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水费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30107</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绩效工资</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电费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555"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30108</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机关事业单位基本养老保险缴费</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15.15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邮电费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职业年金缴费</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11.30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取暖费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30199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其他工资福利支出</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14.02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物业管理费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对个人和家庭的补助</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17.97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差旅费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离休费</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因公出国（境）费用</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退休费</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维修(护)费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退职（役）费</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租赁费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抚恤金</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会议费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30305</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生活补助</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培训费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30306</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救济费</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30307</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医疗费</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4.81</w:t>
            </w:r>
          </w:p>
          <w:p>
            <w:pPr>
              <w:widowControl/>
              <w:ind w:right="160"/>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专用材料费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30308</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助学金</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被装购置费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奖励金</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专用燃料费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30310</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生产补贴</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劳务费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12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住房公积金</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11.46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委托业务费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提租补贴</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工会经费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购房补贴</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福利费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采暖补贴</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30231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公务用车运行维护费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30315</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物业服务补贴</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30239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其他交通费用</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30399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其他对个人和家庭的补助支出</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1.7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30240</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税金及附加费用</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其他商品和服务支出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对事业单位的补贴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企业政策性补贴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事业单位补贴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财政贴息</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其他对企事业单位的补贴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310</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房屋建筑物购建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办公设备购置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专用设备购置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基础设施建设</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大型修缮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信息网络及软件购置更新</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物资储备</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土地补偿</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31010</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安置补助</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地上附着物和青苗补偿</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拆迁补偿</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其他交通工具购置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其他支出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39906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赠与</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255" w:hRule="atLeast"/>
        </w:trPr>
        <w:tc>
          <w:tcPr>
            <w:tcW w:w="3583"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人员经费合计</w:t>
            </w:r>
          </w:p>
        </w:tc>
        <w:tc>
          <w:tcPr>
            <w:tcW w:w="70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color w:val="000000"/>
                <w:kern w:val="0"/>
                <w:sz w:val="16"/>
                <w:szCs w:val="16"/>
              </w:rPr>
            </w:pPr>
            <w:r>
              <w:rPr>
                <w:rFonts w:ascii="Arial" w:hAnsi="Arial" w:eastAsia="宋体" w:cs="Arial"/>
                <w:color w:val="000000"/>
                <w:kern w:val="0"/>
                <w:sz w:val="16"/>
                <w:szCs w:val="16"/>
              </w:rPr>
              <w:t>　</w:t>
            </w:r>
            <w:r>
              <w:rPr>
                <w:rFonts w:hint="eastAsia" w:ascii="Arial" w:hAnsi="Arial" w:eastAsia="宋体" w:cs="Arial"/>
                <w:color w:val="000000"/>
                <w:kern w:val="0"/>
                <w:sz w:val="16"/>
                <w:szCs w:val="16"/>
              </w:rPr>
              <w:t>174.53</w:t>
            </w:r>
          </w:p>
        </w:tc>
        <w:tc>
          <w:tcPr>
            <w:tcW w:w="2830" w:type="dxa"/>
            <w:gridSpan w:val="4"/>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公用经费合计</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color w:val="000000"/>
                <w:kern w:val="0"/>
                <w:sz w:val="16"/>
                <w:szCs w:val="16"/>
              </w:rPr>
            </w:pPr>
            <w:r>
              <w:rPr>
                <w:rFonts w:ascii="Arial" w:hAnsi="Arial" w:eastAsia="宋体" w:cs="Arial"/>
                <w:color w:val="000000"/>
                <w:kern w:val="0"/>
                <w:sz w:val="16"/>
                <w:szCs w:val="16"/>
              </w:rPr>
              <w:t>　</w:t>
            </w:r>
            <w:r>
              <w:rPr>
                <w:rFonts w:hint="eastAsia" w:ascii="Arial" w:hAnsi="Arial" w:eastAsia="宋体" w:cs="Arial"/>
                <w:color w:val="000000"/>
                <w:kern w:val="0"/>
                <w:sz w:val="16"/>
                <w:szCs w:val="16"/>
              </w:rPr>
              <w:t>12</w:t>
            </w:r>
          </w:p>
        </w:tc>
      </w:tr>
    </w:tbl>
    <w:p>
      <w:pPr>
        <w:autoSpaceDE w:val="0"/>
        <w:autoSpaceDN w:val="0"/>
        <w:adjustRightInd w:val="0"/>
        <w:spacing w:line="560" w:lineRule="exact"/>
        <w:rPr>
          <w:rFonts w:ascii="仿宋" w:hAnsi="Times New Roman" w:eastAsia="仿宋" w:cs="仿宋"/>
          <w:b/>
          <w:sz w:val="32"/>
          <w:szCs w:val="32"/>
        </w:rPr>
      </w:pPr>
    </w:p>
    <w:tbl>
      <w:tblPr>
        <w:tblStyle w:val="5"/>
        <w:tblW w:w="18916" w:type="dxa"/>
        <w:tblInd w:w="93" w:type="dxa"/>
        <w:tblLayout w:type="fixed"/>
        <w:tblCellMar>
          <w:top w:w="0" w:type="dxa"/>
          <w:left w:w="108" w:type="dxa"/>
          <w:bottom w:w="0" w:type="dxa"/>
          <w:right w:w="108" w:type="dxa"/>
        </w:tblCellMar>
      </w:tblPr>
      <w:tblGrid>
        <w:gridCol w:w="9784"/>
        <w:gridCol w:w="436"/>
        <w:gridCol w:w="436"/>
        <w:gridCol w:w="2180"/>
        <w:gridCol w:w="1520"/>
        <w:gridCol w:w="1520"/>
        <w:gridCol w:w="3040"/>
      </w:tblGrid>
      <w:tr>
        <w:tblPrEx>
          <w:tblCellMar>
            <w:top w:w="0" w:type="dxa"/>
            <w:left w:w="108" w:type="dxa"/>
            <w:bottom w:w="0" w:type="dxa"/>
            <w:right w:w="108" w:type="dxa"/>
          </w:tblCellMar>
        </w:tblPrEx>
        <w:trPr>
          <w:trHeight w:val="255" w:hRule="atLeast"/>
        </w:trPr>
        <w:tc>
          <w:tcPr>
            <w:tcW w:w="9784"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04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CellMar>
            <w:top w:w="0" w:type="dxa"/>
            <w:left w:w="108" w:type="dxa"/>
            <w:bottom w:w="0" w:type="dxa"/>
            <w:right w:w="108" w:type="dxa"/>
          </w:tblCellMar>
        </w:tblPrEx>
        <w:trPr>
          <w:trHeight w:val="270" w:hRule="atLeast"/>
        </w:trPr>
        <w:tc>
          <w:tcPr>
            <w:tcW w:w="9784"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04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2016年度部门政府性基金收入支出决算表</w:t>
      </w:r>
    </w:p>
    <w:tbl>
      <w:tblPr>
        <w:tblStyle w:val="5"/>
        <w:tblW w:w="9428" w:type="dxa"/>
        <w:tblInd w:w="93" w:type="dxa"/>
        <w:tblLayout w:type="fixed"/>
        <w:tblCellMar>
          <w:top w:w="0" w:type="dxa"/>
          <w:left w:w="108" w:type="dxa"/>
          <w:bottom w:w="0" w:type="dxa"/>
          <w:right w:w="108" w:type="dxa"/>
        </w:tblCellMar>
      </w:tblPr>
      <w:tblGrid>
        <w:gridCol w:w="376"/>
        <w:gridCol w:w="376"/>
        <w:gridCol w:w="376"/>
        <w:gridCol w:w="1460"/>
        <w:gridCol w:w="1240"/>
        <w:gridCol w:w="1080"/>
        <w:gridCol w:w="1120"/>
        <w:gridCol w:w="1100"/>
        <w:gridCol w:w="1060"/>
        <w:gridCol w:w="1240"/>
      </w:tblGrid>
      <w:tr>
        <w:tblPrEx>
          <w:tblCellMar>
            <w:top w:w="0" w:type="dxa"/>
            <w:left w:w="108" w:type="dxa"/>
            <w:bottom w:w="0" w:type="dxa"/>
            <w:right w:w="108" w:type="dxa"/>
          </w:tblCellMar>
        </w:tblPrEx>
        <w:trPr>
          <w:trHeight w:val="255" w:hRule="atLeast"/>
        </w:trPr>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4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0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1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1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公开07表</w:t>
            </w:r>
          </w:p>
        </w:tc>
      </w:tr>
      <w:tr>
        <w:tblPrEx>
          <w:tblCellMar>
            <w:top w:w="0" w:type="dxa"/>
            <w:left w:w="108" w:type="dxa"/>
            <w:bottom w:w="0" w:type="dxa"/>
            <w:right w:w="108" w:type="dxa"/>
          </w:tblCellMar>
        </w:tblPrEx>
        <w:trPr>
          <w:trHeight w:val="255" w:hRule="atLeast"/>
        </w:trPr>
        <w:tc>
          <w:tcPr>
            <w:tcW w:w="1128" w:type="dxa"/>
            <w:gridSpan w:val="3"/>
            <w:tcBorders>
              <w:top w:val="nil"/>
              <w:left w:val="nil"/>
              <w:bottom w:val="nil"/>
              <w:right w:val="nil"/>
            </w:tcBorders>
            <w:shd w:val="clear" w:color="auto" w:fill="auto"/>
            <w:vAlign w:val="bottom"/>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部门：</w:t>
            </w:r>
          </w:p>
        </w:tc>
        <w:tc>
          <w:tcPr>
            <w:tcW w:w="14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0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1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1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金额单位：万元</w:t>
            </w:r>
          </w:p>
        </w:tc>
      </w:tr>
      <w:tr>
        <w:tblPrEx>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本年收入</w:t>
            </w:r>
          </w:p>
        </w:tc>
        <w:tc>
          <w:tcPr>
            <w:tcW w:w="328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本年支出</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年末结余结转</w:t>
            </w:r>
          </w:p>
        </w:tc>
      </w:tr>
      <w:tr>
        <w:tblPrEx>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4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 计</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基本支出</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w:t>
            </w:r>
          </w:p>
        </w:tc>
        <w:tc>
          <w:tcPr>
            <w:tcW w:w="14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  计</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10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4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　</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pPr>
        <w:autoSpaceDE w:val="0"/>
        <w:autoSpaceDN w:val="0"/>
        <w:adjustRightInd w:val="0"/>
        <w:spacing w:line="560" w:lineRule="exact"/>
        <w:rPr>
          <w:rFonts w:ascii="仿宋" w:hAnsi="Times New Roman" w:eastAsia="仿宋" w:cs="仿宋"/>
          <w:b/>
          <w:sz w:val="32"/>
          <w:szCs w:val="32"/>
        </w:rPr>
      </w:pPr>
    </w:p>
    <w:p>
      <w:pPr>
        <w:tabs>
          <w:tab w:val="left" w:pos="6720"/>
        </w:tabs>
        <w:autoSpaceDE w:val="0"/>
        <w:autoSpaceDN w:val="0"/>
        <w:adjustRightInd w:val="0"/>
        <w:spacing w:line="560" w:lineRule="exact"/>
        <w:rPr>
          <w:rFonts w:ascii="仿宋" w:hAnsi="Times New Roman" w:eastAsia="仿宋" w:cs="仿宋"/>
          <w:b/>
          <w:sz w:val="32"/>
          <w:szCs w:val="32"/>
        </w:rPr>
      </w:pPr>
      <w:r>
        <w:rPr>
          <w:rFonts w:ascii="仿宋" w:hAnsi="Times New Roman" w:eastAsia="仿宋" w:cs="仿宋"/>
          <w:b/>
          <w:sz w:val="32"/>
          <w:szCs w:val="32"/>
        </w:rPr>
        <w:tab/>
      </w: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2016年度部门“三公”经费决算表</w:t>
      </w:r>
    </w:p>
    <w:p>
      <w:pPr>
        <w:autoSpaceDE w:val="0"/>
        <w:autoSpaceDN w:val="0"/>
        <w:adjustRightInd w:val="0"/>
        <w:spacing w:line="560" w:lineRule="exact"/>
        <w:ind w:firstLine="627"/>
        <w:jc w:val="center"/>
        <w:rPr>
          <w:rFonts w:ascii="仿宋" w:hAnsi="Times New Roman" w:eastAsia="仿宋" w:cs="仿宋"/>
          <w:szCs w:val="21"/>
        </w:rPr>
      </w:pPr>
      <w:r>
        <w:rPr>
          <w:rFonts w:hint="eastAsia" w:ascii="仿宋" w:hAnsi="Times New Roman" w:eastAsia="仿宋" w:cs="仿宋"/>
          <w:szCs w:val="21"/>
        </w:rPr>
        <w:t>(“三公”经费决算数与部门预算“三公”经费公开的资金性质口径一致)</w:t>
      </w:r>
    </w:p>
    <w:tbl>
      <w:tblPr>
        <w:tblStyle w:val="5"/>
        <w:tblW w:w="8763" w:type="dxa"/>
        <w:tblInd w:w="93" w:type="dxa"/>
        <w:tblLayout w:type="fixed"/>
        <w:tblCellMar>
          <w:top w:w="0" w:type="dxa"/>
          <w:left w:w="108" w:type="dxa"/>
          <w:bottom w:w="0" w:type="dxa"/>
          <w:right w:w="108" w:type="dxa"/>
        </w:tblCellMar>
      </w:tblPr>
      <w:tblGrid>
        <w:gridCol w:w="2844"/>
        <w:gridCol w:w="216"/>
        <w:gridCol w:w="2813"/>
        <w:gridCol w:w="533"/>
        <w:gridCol w:w="2151"/>
        <w:gridCol w:w="206"/>
      </w:tblGrid>
      <w:tr>
        <w:tblPrEx>
          <w:tblCellMar>
            <w:top w:w="0" w:type="dxa"/>
            <w:left w:w="108" w:type="dxa"/>
            <w:bottom w:w="0" w:type="dxa"/>
            <w:right w:w="108" w:type="dxa"/>
          </w:tblCellMar>
        </w:tblPrEx>
        <w:trPr>
          <w:gridAfter w:val="1"/>
          <w:wAfter w:w="206" w:type="dxa"/>
          <w:trHeight w:val="255" w:hRule="atLeast"/>
        </w:trPr>
        <w:tc>
          <w:tcPr>
            <w:tcW w:w="2844" w:type="dxa"/>
            <w:tcBorders>
              <w:top w:val="nil"/>
              <w:left w:val="nil"/>
              <w:bottom w:val="nil"/>
              <w:right w:val="nil"/>
            </w:tcBorders>
          </w:tcPr>
          <w:p>
            <w:pPr>
              <w:rPr>
                <w:rFonts w:ascii="Arial" w:hAnsi="Arial" w:eastAsia="宋体" w:cs="Arial"/>
                <w:color w:val="000000"/>
                <w:sz w:val="20"/>
                <w:szCs w:val="20"/>
              </w:rPr>
            </w:pPr>
          </w:p>
        </w:tc>
        <w:tc>
          <w:tcPr>
            <w:tcW w:w="3562" w:type="dxa"/>
            <w:gridSpan w:val="3"/>
            <w:tcBorders>
              <w:top w:val="nil"/>
              <w:left w:val="nil"/>
              <w:bottom w:val="nil"/>
              <w:right w:val="nil"/>
            </w:tcBorders>
            <w:shd w:val="clear" w:color="auto" w:fill="auto"/>
            <w:vAlign w:val="bottom"/>
          </w:tcPr>
          <w:p>
            <w:pPr>
              <w:rPr>
                <w:rFonts w:ascii="Arial" w:hAnsi="Arial" w:eastAsia="宋体" w:cs="Arial"/>
                <w:color w:val="000000"/>
                <w:sz w:val="20"/>
                <w:szCs w:val="20"/>
              </w:rPr>
            </w:pPr>
          </w:p>
        </w:tc>
        <w:tc>
          <w:tcPr>
            <w:tcW w:w="2151" w:type="dxa"/>
            <w:tcBorders>
              <w:top w:val="nil"/>
              <w:left w:val="nil"/>
              <w:bottom w:val="nil"/>
              <w:right w:val="nil"/>
            </w:tcBorders>
            <w:shd w:val="clear" w:color="auto" w:fill="auto"/>
            <w:vAlign w:val="bottom"/>
          </w:tcPr>
          <w:p>
            <w:pPr>
              <w:rPr>
                <w:rFonts w:ascii="宋体" w:hAnsi="宋体" w:eastAsia="宋体" w:cs="Arial"/>
                <w:color w:val="000000"/>
                <w:sz w:val="15"/>
                <w:szCs w:val="15"/>
              </w:rPr>
            </w:pPr>
            <w:r>
              <w:rPr>
                <w:rFonts w:hint="eastAsia" w:cs="Arial"/>
                <w:color w:val="000000"/>
                <w:sz w:val="15"/>
                <w:szCs w:val="15"/>
              </w:rPr>
              <w:t>公开08表</w:t>
            </w:r>
          </w:p>
        </w:tc>
      </w:tr>
      <w:tr>
        <w:tblPrEx>
          <w:tblCellMar>
            <w:top w:w="0" w:type="dxa"/>
            <w:left w:w="108" w:type="dxa"/>
            <w:bottom w:w="0" w:type="dxa"/>
            <w:right w:w="108" w:type="dxa"/>
          </w:tblCellMar>
        </w:tblPrEx>
        <w:trPr>
          <w:gridAfter w:val="1"/>
          <w:wAfter w:w="206" w:type="dxa"/>
          <w:trHeight w:val="270" w:hRule="atLeast"/>
        </w:trPr>
        <w:tc>
          <w:tcPr>
            <w:tcW w:w="2844" w:type="dxa"/>
            <w:tcBorders>
              <w:top w:val="nil"/>
              <w:left w:val="nil"/>
              <w:bottom w:val="nil"/>
              <w:right w:val="nil"/>
            </w:tcBorders>
          </w:tcPr>
          <w:p>
            <w:pPr>
              <w:rPr>
                <w:rFonts w:cs="Arial"/>
                <w:color w:val="000000"/>
                <w:sz w:val="20"/>
                <w:szCs w:val="20"/>
              </w:rPr>
            </w:pPr>
            <w:r>
              <w:rPr>
                <w:rFonts w:hint="eastAsia" w:cs="Arial"/>
                <w:color w:val="000000"/>
                <w:sz w:val="20"/>
                <w:szCs w:val="20"/>
              </w:rPr>
              <w:t>部门：</w:t>
            </w:r>
          </w:p>
        </w:tc>
        <w:tc>
          <w:tcPr>
            <w:tcW w:w="3562" w:type="dxa"/>
            <w:gridSpan w:val="3"/>
            <w:tcBorders>
              <w:top w:val="nil"/>
              <w:left w:val="nil"/>
              <w:bottom w:val="nil"/>
              <w:right w:val="nil"/>
            </w:tcBorders>
            <w:shd w:val="clear" w:color="auto" w:fill="auto"/>
            <w:vAlign w:val="bottom"/>
          </w:tcPr>
          <w:p>
            <w:pPr>
              <w:rPr>
                <w:rFonts w:ascii="宋体" w:hAnsi="宋体" w:eastAsia="宋体" w:cs="Arial"/>
                <w:color w:val="000000"/>
                <w:sz w:val="20"/>
                <w:szCs w:val="20"/>
              </w:rPr>
            </w:pPr>
          </w:p>
        </w:tc>
        <w:tc>
          <w:tcPr>
            <w:tcW w:w="2151" w:type="dxa"/>
            <w:tcBorders>
              <w:top w:val="nil"/>
              <w:left w:val="nil"/>
              <w:bottom w:val="single" w:color="000000" w:sz="8" w:space="0"/>
              <w:right w:val="nil"/>
            </w:tcBorders>
            <w:shd w:val="clear" w:color="auto" w:fill="auto"/>
            <w:vAlign w:val="bottom"/>
          </w:tcPr>
          <w:p>
            <w:pPr>
              <w:rPr>
                <w:rFonts w:ascii="宋体" w:hAnsi="宋体" w:eastAsia="宋体" w:cs="Arial"/>
                <w:color w:val="000000"/>
                <w:sz w:val="15"/>
                <w:szCs w:val="15"/>
              </w:rPr>
            </w:pPr>
            <w:r>
              <w:rPr>
                <w:rFonts w:hint="eastAsia" w:cs="Arial"/>
                <w:color w:val="000000"/>
                <w:sz w:val="15"/>
                <w:szCs w:val="15"/>
              </w:rPr>
              <w:t>金额单位：万元</w:t>
            </w:r>
          </w:p>
        </w:tc>
      </w:tr>
      <w:tr>
        <w:tblPrEx>
          <w:tblCellMar>
            <w:top w:w="0" w:type="dxa"/>
            <w:left w:w="108" w:type="dxa"/>
            <w:bottom w:w="0" w:type="dxa"/>
            <w:right w:w="108" w:type="dxa"/>
          </w:tblCellMar>
        </w:tblPrEx>
        <w:trPr>
          <w:trHeight w:val="918"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   目</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widowControl/>
              <w:rPr>
                <w:rFonts w:ascii="宋体" w:hAnsi="宋体" w:eastAsia="宋体" w:cs="Arial"/>
                <w:color w:val="000000" w:themeColor="text1"/>
                <w:kern w:val="0"/>
                <w:sz w:val="22"/>
              </w:rPr>
            </w:pPr>
          </w:p>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预算数</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决算数</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合   计</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25</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23.21</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1.因公出国（境）费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widowControl/>
              <w:rPr>
                <w:rFonts w:ascii="宋体" w:hAnsi="宋体" w:eastAsia="宋体" w:cs="Arial"/>
                <w:color w:val="000000" w:themeColor="text1"/>
                <w:kern w:val="0"/>
                <w:sz w:val="22"/>
              </w:rPr>
            </w:pP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2.公务接待费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15</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14.83</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3.公务用车购置及运行费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widowControl/>
              <w:rPr>
                <w:rFonts w:ascii="宋体" w:hAnsi="宋体" w:eastAsia="宋体" w:cs="Arial"/>
                <w:color w:val="000000" w:themeColor="text1"/>
                <w:kern w:val="0"/>
                <w:sz w:val="22"/>
              </w:rPr>
            </w:pP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其中：公务用车购置费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widowControl/>
              <w:rPr>
                <w:rFonts w:ascii="宋体" w:hAnsi="宋体" w:eastAsia="宋体" w:cs="Arial"/>
                <w:color w:val="000000" w:themeColor="text1"/>
                <w:kern w:val="0"/>
                <w:sz w:val="22"/>
              </w:rPr>
            </w:pP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公务用车运行维护费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rPr>
                <w:rFonts w:ascii="宋体" w:hAnsi="宋体" w:eastAsia="宋体" w:cs="Arial"/>
                <w:color w:val="000000" w:themeColor="text1"/>
                <w:kern w:val="0"/>
                <w:sz w:val="22"/>
              </w:rPr>
            </w:pPr>
            <w:r>
              <w:rPr>
                <w:rFonts w:hint="eastAsia" w:ascii="宋体" w:hAnsi="宋体" w:eastAsia="宋体" w:cs="Arial"/>
                <w:color w:val="000000" w:themeColor="text1"/>
                <w:kern w:val="0"/>
                <w:sz w:val="22"/>
              </w:rPr>
              <w:t>8.38</w:t>
            </w:r>
          </w:p>
        </w:tc>
      </w:tr>
    </w:tbl>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2016年</w:t>
      </w:r>
      <w:r>
        <w:rPr>
          <w:rFonts w:hint="eastAsia" w:ascii="黑体" w:hAnsi="Times New Roman" w:eastAsia="黑体" w:cs="黑体"/>
          <w:color w:val="000000"/>
          <w:sz w:val="32"/>
          <w:szCs w:val="32"/>
        </w:rPr>
        <w:t>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 w:hAnsi="Times New Roman" w:eastAsia="仿宋" w:cs="仿宋"/>
          <w:color w:val="000000"/>
          <w:sz w:val="32"/>
          <w:szCs w:val="32"/>
        </w:rPr>
        <w:t>（一）收入支出决算总体情况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1、2016年度收入总计  247.34万元，其中本年收入 247.34 万元。具体情况如下：</w:t>
      </w:r>
    </w:p>
    <w:p>
      <w:pPr>
        <w:autoSpaceDE w:val="0"/>
        <w:autoSpaceDN w:val="0"/>
        <w:adjustRightInd w:val="0"/>
        <w:spacing w:line="560" w:lineRule="exact"/>
        <w:ind w:firstLine="480"/>
        <w:rPr>
          <w:rFonts w:ascii="仿宋" w:hAnsi="Times New Roman" w:eastAsia="仿宋" w:cs="仿宋"/>
          <w:sz w:val="32"/>
          <w:szCs w:val="32"/>
        </w:rPr>
      </w:pPr>
      <w:r>
        <w:rPr>
          <w:rFonts w:hint="eastAsia" w:ascii="仿宋" w:hAnsi="Times New Roman" w:eastAsia="仿宋" w:cs="仿宋"/>
          <w:sz w:val="32"/>
          <w:szCs w:val="32"/>
        </w:rPr>
        <w:t>（1）财政拨款收入  247.34万元，较上年增加63.46万元，增长34.51%，主要原因是人员增加、养老保险和职业年金增加补扣。</w:t>
      </w:r>
    </w:p>
    <w:p>
      <w:pPr>
        <w:autoSpaceDE w:val="0"/>
        <w:autoSpaceDN w:val="0"/>
        <w:adjustRightInd w:val="0"/>
        <w:spacing w:line="560" w:lineRule="exact"/>
        <w:ind w:firstLine="627"/>
        <w:rPr>
          <w:rFonts w:ascii="仿宋" w:hAnsi="Times New Roman" w:eastAsia="仿宋" w:cs="仿宋"/>
          <w:color w:val="FF0000"/>
          <w:sz w:val="32"/>
          <w:szCs w:val="32"/>
        </w:rPr>
      </w:pPr>
      <w:r>
        <w:rPr>
          <w:rFonts w:hint="eastAsia" w:ascii="仿宋" w:hAnsi="Times New Roman" w:eastAsia="仿宋" w:cs="仿宋"/>
          <w:sz w:val="32"/>
          <w:szCs w:val="32"/>
        </w:rPr>
        <w:t>（2）年初结转和结余174.74万元，较上年增加9.04万元，增长5.45%，主要原因是本年追加的社会保险经费。</w:t>
      </w:r>
    </w:p>
    <w:p>
      <w:pPr>
        <w:autoSpaceDE w:val="0"/>
        <w:autoSpaceDN w:val="0"/>
        <w:adjustRightInd w:val="0"/>
        <w:spacing w:line="560" w:lineRule="exact"/>
        <w:ind w:firstLine="640" w:firstLineChars="200"/>
        <w:rPr>
          <w:rFonts w:ascii="仿宋" w:hAnsi="Times New Roman" w:eastAsia="仿宋" w:cs="仿宋"/>
          <w:sz w:val="32"/>
          <w:szCs w:val="32"/>
        </w:rPr>
      </w:pPr>
      <w:r>
        <w:rPr>
          <w:rFonts w:hint="eastAsia" w:ascii="仿宋" w:hAnsi="Times New Roman" w:eastAsia="仿宋" w:cs="仿宋"/>
          <w:sz w:val="32"/>
          <w:szCs w:val="32"/>
        </w:rPr>
        <w:t>2、</w:t>
      </w:r>
      <w:r>
        <w:rPr>
          <w:rFonts w:ascii="仿宋" w:hAnsi="Times New Roman" w:eastAsia="仿宋" w:cs="仿宋"/>
          <w:sz w:val="32"/>
          <w:szCs w:val="32"/>
        </w:rPr>
        <w:t>2016年</w:t>
      </w:r>
      <w:r>
        <w:rPr>
          <w:rFonts w:hint="eastAsia" w:ascii="仿宋" w:hAnsi="Times New Roman" w:eastAsia="仿宋" w:cs="仿宋"/>
          <w:sz w:val="32"/>
          <w:szCs w:val="32"/>
        </w:rPr>
        <w:t>度支出总计万元，其中本年支出  266.53万元。具体情况如下：</w:t>
      </w:r>
    </w:p>
    <w:p>
      <w:pPr>
        <w:autoSpaceDE w:val="0"/>
        <w:autoSpaceDN w:val="0"/>
        <w:adjustRightInd w:val="0"/>
        <w:spacing w:line="560" w:lineRule="exact"/>
        <w:ind w:firstLine="480"/>
        <w:rPr>
          <w:rFonts w:ascii="仿宋" w:hAnsi="Times New Roman" w:eastAsia="仿宋" w:cs="仿宋"/>
          <w:color w:val="FF0000"/>
          <w:sz w:val="32"/>
          <w:szCs w:val="32"/>
        </w:rPr>
      </w:pPr>
      <w:r>
        <w:rPr>
          <w:rFonts w:hint="eastAsia" w:ascii="仿宋" w:hAnsi="Times New Roman" w:eastAsia="仿宋" w:cs="仿宋"/>
          <w:sz w:val="32"/>
          <w:szCs w:val="32"/>
        </w:rPr>
        <w:t>（1）2010301行政运行经费170.26 万元，主要用于</w:t>
      </w:r>
      <w:r>
        <w:rPr>
          <w:rFonts w:hint="eastAsia" w:ascii="仿宋" w:hAnsi="Times New Roman" w:eastAsia="仿宋" w:cs="仿宋"/>
          <w:b/>
          <w:sz w:val="32"/>
          <w:szCs w:val="32"/>
        </w:rPr>
        <w:t>人员经费支出。</w:t>
      </w:r>
      <w:r>
        <w:rPr>
          <w:rFonts w:hint="eastAsia" w:ascii="仿宋" w:hAnsi="Times New Roman" w:eastAsia="仿宋" w:cs="仿宋"/>
          <w:sz w:val="32"/>
          <w:szCs w:val="32"/>
        </w:rPr>
        <w:t>较上年增加36.91万元，增长27.67 %，主要原因人员增加、养老保险和职业年金增加补扣部分。</w:t>
      </w:r>
    </w:p>
    <w:p>
      <w:pPr>
        <w:autoSpaceDE w:val="0"/>
        <w:autoSpaceDN w:val="0"/>
        <w:adjustRightInd w:val="0"/>
        <w:spacing w:line="560" w:lineRule="exact"/>
        <w:ind w:firstLine="640" w:firstLineChars="200"/>
        <w:rPr>
          <w:rFonts w:ascii="仿宋" w:hAnsi="Times New Roman" w:eastAsia="仿宋" w:cs="仿宋"/>
          <w:color w:val="FF0000"/>
          <w:sz w:val="32"/>
          <w:szCs w:val="32"/>
        </w:rPr>
      </w:pPr>
    </w:p>
    <w:p>
      <w:pPr>
        <w:autoSpaceDE w:val="0"/>
        <w:autoSpaceDN w:val="0"/>
        <w:adjustRightInd w:val="0"/>
        <w:spacing w:line="560" w:lineRule="exact"/>
        <w:ind w:firstLine="640" w:firstLineChars="200"/>
        <w:rPr>
          <w:rFonts w:ascii="仿宋" w:hAnsi="Times New Roman" w:eastAsia="仿宋" w:cs="仿宋"/>
          <w:sz w:val="32"/>
          <w:szCs w:val="32"/>
        </w:rPr>
      </w:pPr>
      <w:r>
        <w:rPr>
          <w:rFonts w:hint="eastAsia" w:ascii="仿宋" w:hAnsi="Times New Roman" w:eastAsia="仿宋" w:cs="仿宋"/>
          <w:sz w:val="32"/>
          <w:szCs w:val="32"/>
        </w:rPr>
        <w:t>（2）2010302一般行政管理事务80万元，主要用于</w:t>
      </w:r>
      <w:r>
        <w:rPr>
          <w:rFonts w:hint="eastAsia" w:ascii="仿宋" w:hAnsi="Times New Roman" w:eastAsia="仿宋" w:cs="仿宋"/>
          <w:b/>
          <w:sz w:val="32"/>
          <w:szCs w:val="32"/>
        </w:rPr>
        <w:t>办事处的业务费支出。</w:t>
      </w:r>
      <w:r>
        <w:rPr>
          <w:rFonts w:hint="eastAsia" w:ascii="仿宋" w:hAnsi="Times New Roman" w:eastAsia="仿宋" w:cs="仿宋"/>
          <w:sz w:val="32"/>
          <w:szCs w:val="32"/>
        </w:rPr>
        <w:t>较上年增加39.4万元，增长97.04%，主要原因是上年度一部分一般行政管理事务支出放在行政运行支出的缘故。</w:t>
      </w:r>
    </w:p>
    <w:p>
      <w:pPr>
        <w:autoSpaceDE w:val="0"/>
        <w:autoSpaceDN w:val="0"/>
        <w:adjustRightInd w:val="0"/>
        <w:spacing w:line="560" w:lineRule="exact"/>
        <w:ind w:firstLine="640" w:firstLineChars="200"/>
        <w:rPr>
          <w:rFonts w:ascii="仿宋" w:hAnsi="Times New Roman" w:eastAsia="仿宋" w:cs="仿宋"/>
          <w:sz w:val="32"/>
          <w:szCs w:val="32"/>
        </w:rPr>
      </w:pPr>
      <w:r>
        <w:rPr>
          <w:rFonts w:hint="eastAsia" w:ascii="仿宋" w:hAnsi="Times New Roman" w:eastAsia="仿宋" w:cs="仿宋"/>
          <w:sz w:val="32"/>
          <w:szCs w:val="32"/>
        </w:rPr>
        <w:t>（3）2100501行政单位医疗4.81 万元，主要用于职工的医疗支出</w:t>
      </w:r>
      <w:r>
        <w:rPr>
          <w:rFonts w:hint="eastAsia" w:ascii="仿宋" w:hAnsi="Times New Roman" w:eastAsia="仿宋" w:cs="仿宋"/>
          <w:b/>
          <w:sz w:val="32"/>
          <w:szCs w:val="32"/>
        </w:rPr>
        <w:t>。</w:t>
      </w:r>
      <w:r>
        <w:rPr>
          <w:rFonts w:hint="eastAsia" w:ascii="仿宋" w:hAnsi="Times New Roman" w:eastAsia="仿宋" w:cs="仿宋"/>
          <w:sz w:val="32"/>
          <w:szCs w:val="32"/>
        </w:rPr>
        <w:t>较上年增加0.53万元，增长12.38%，主要原因医疗费的调增。</w:t>
      </w:r>
    </w:p>
    <w:p>
      <w:pPr>
        <w:autoSpaceDE w:val="0"/>
        <w:autoSpaceDN w:val="0"/>
        <w:adjustRightInd w:val="0"/>
        <w:spacing w:line="560" w:lineRule="exact"/>
        <w:ind w:firstLine="640" w:firstLineChars="200"/>
        <w:rPr>
          <w:rFonts w:ascii="仿宋" w:hAnsi="Times New Roman" w:eastAsia="仿宋" w:cs="仿宋"/>
          <w:sz w:val="32"/>
          <w:szCs w:val="32"/>
        </w:rPr>
      </w:pPr>
      <w:r>
        <w:rPr>
          <w:rFonts w:hint="eastAsia" w:ascii="仿宋" w:hAnsi="Times New Roman" w:eastAsia="仿宋" w:cs="仿宋"/>
          <w:sz w:val="32"/>
          <w:szCs w:val="32"/>
        </w:rPr>
        <w:t>（4）2210201住房公积金11.46万，比上年增加3.38万。主要原因是住房公积金的调增。</w:t>
      </w:r>
    </w:p>
    <w:p>
      <w:pPr>
        <w:autoSpaceDE w:val="0"/>
        <w:autoSpaceDN w:val="0"/>
        <w:adjustRightInd w:val="0"/>
        <w:spacing w:line="560" w:lineRule="exact"/>
        <w:ind w:firstLine="640" w:firstLineChars="200"/>
        <w:rPr>
          <w:rFonts w:ascii="仿宋" w:hAnsi="Times New Roman" w:eastAsia="仿宋" w:cs="仿宋"/>
          <w:sz w:val="32"/>
          <w:szCs w:val="32"/>
        </w:rPr>
      </w:pPr>
      <w:r>
        <w:rPr>
          <w:rFonts w:hint="eastAsia" w:ascii="仿宋" w:hAnsi="Times New Roman" w:eastAsia="仿宋" w:cs="仿宋"/>
          <w:sz w:val="32"/>
          <w:szCs w:val="32"/>
        </w:rPr>
        <w:t>（5）结余分配  0万元</w:t>
      </w:r>
      <w:r>
        <w:rPr>
          <w:rFonts w:hint="eastAsia" w:ascii="仿宋" w:hAnsi="Times New Roman" w:eastAsia="仿宋" w:cs="仿宋"/>
          <w:b/>
          <w:sz w:val="32"/>
          <w:szCs w:val="32"/>
        </w:rPr>
        <w:t>。</w:t>
      </w:r>
      <w:r>
        <w:rPr>
          <w:rFonts w:hint="eastAsia" w:ascii="仿宋" w:hAnsi="Times New Roman" w:eastAsia="仿宋" w:cs="仿宋"/>
          <w:sz w:val="32"/>
          <w:szCs w:val="32"/>
        </w:rPr>
        <w:t>较上年增加（减少） 0 万元，增长（下降）  0%。</w:t>
      </w:r>
    </w:p>
    <w:p>
      <w:pPr>
        <w:autoSpaceDE w:val="0"/>
        <w:autoSpaceDN w:val="0"/>
        <w:adjustRightInd w:val="0"/>
        <w:spacing w:line="560" w:lineRule="exact"/>
        <w:ind w:firstLine="640" w:firstLineChars="200"/>
        <w:rPr>
          <w:rFonts w:ascii="仿宋" w:hAnsi="Times New Roman" w:eastAsia="仿宋" w:cs="仿宋"/>
          <w:sz w:val="32"/>
          <w:szCs w:val="32"/>
        </w:rPr>
      </w:pPr>
      <w:r>
        <w:rPr>
          <w:rFonts w:hint="eastAsia" w:ascii="仿宋" w:hAnsi="Times New Roman" w:eastAsia="仿宋" w:cs="仿宋"/>
          <w:sz w:val="32"/>
          <w:szCs w:val="32"/>
        </w:rPr>
        <w:t>（6）年末结转和结余  155.55万元，主要用于本单位的人员支出和业务费支出</w:t>
      </w:r>
      <w:r>
        <w:rPr>
          <w:rFonts w:hint="eastAsia" w:ascii="仿宋" w:hAnsi="Times New Roman" w:eastAsia="仿宋" w:cs="仿宋"/>
          <w:b/>
          <w:sz w:val="32"/>
          <w:szCs w:val="32"/>
        </w:rPr>
        <w:t>。</w:t>
      </w:r>
      <w:r>
        <w:rPr>
          <w:rFonts w:hint="eastAsia" w:ascii="仿宋" w:hAnsi="Times New Roman" w:eastAsia="仿宋" w:cs="仿宋"/>
          <w:sz w:val="32"/>
          <w:szCs w:val="32"/>
        </w:rPr>
        <w:t>较上年减少7.72万元，下降4.73%，主要原因是人员社会保险增加支出。</w:t>
      </w:r>
    </w:p>
    <w:p>
      <w:pPr>
        <w:autoSpaceDE w:val="0"/>
        <w:autoSpaceDN w:val="0"/>
        <w:adjustRightInd w:val="0"/>
        <w:spacing w:line="560" w:lineRule="exact"/>
        <w:ind w:firstLine="640" w:firstLineChars="200"/>
        <w:rPr>
          <w:rFonts w:ascii="仿宋" w:hAnsi="Times New Roman" w:eastAsia="仿宋" w:cs="仿宋"/>
          <w:sz w:val="32"/>
          <w:szCs w:val="32"/>
        </w:rPr>
      </w:pPr>
      <w:r>
        <w:rPr>
          <w:rFonts w:ascii="仿宋" w:hAnsi="Times New Roman" w:eastAsia="仿宋" w:cs="仿宋"/>
          <w:sz w:val="32"/>
          <w:szCs w:val="32"/>
        </w:rPr>
        <w:t>……</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（二）本年收入决算情况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w:t>
      </w:r>
      <w:r>
        <w:rPr>
          <w:rFonts w:hint="eastAsia" w:ascii="仿宋" w:hAnsi="Times New Roman" w:eastAsia="仿宋" w:cs="仿宋"/>
          <w:color w:val="000000"/>
          <w:sz w:val="32"/>
          <w:szCs w:val="32"/>
        </w:rPr>
        <w:t>6年度本年收入合计247.34万元，其中：财政拨款247.34万元，占100</w:t>
      </w:r>
      <w:r>
        <w:rPr>
          <w:rFonts w:ascii="仿宋" w:hAnsi="Times New Roman" w:eastAsia="仿宋" w:cs="仿宋"/>
          <w:color w:val="000000"/>
          <w:sz w:val="32"/>
          <w:szCs w:val="32"/>
        </w:rPr>
        <w:t>%</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（三）本年支出决算情况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w:t>
      </w:r>
      <w:r>
        <w:rPr>
          <w:rFonts w:hint="eastAsia" w:ascii="仿宋" w:hAnsi="Times New Roman" w:eastAsia="仿宋" w:cs="仿宋"/>
          <w:color w:val="000000"/>
          <w:sz w:val="32"/>
          <w:szCs w:val="32"/>
        </w:rPr>
        <w:t>6年度本年支出合计266.53万元，其中：基本支出186.53万元，占70%；项目支出80万元，占30%。</w:t>
      </w:r>
    </w:p>
    <w:p>
      <w:pPr>
        <w:autoSpaceDE w:val="0"/>
        <w:autoSpaceDN w:val="0"/>
        <w:adjustRightInd w:val="0"/>
        <w:spacing w:line="560" w:lineRule="exact"/>
        <w:ind w:firstLine="630"/>
        <w:rPr>
          <w:rFonts w:ascii="仿宋" w:hAnsi="Times New Roman" w:eastAsia="仿宋" w:cs="仿宋"/>
          <w:color w:val="000000"/>
          <w:sz w:val="32"/>
          <w:szCs w:val="32"/>
        </w:rPr>
      </w:pPr>
      <w:r>
        <w:rPr>
          <w:rFonts w:hint="eastAsia" w:ascii="仿宋" w:hAnsi="Times New Roman" w:eastAsia="仿宋" w:cs="仿宋"/>
          <w:color w:val="000000"/>
          <w:sz w:val="32"/>
          <w:szCs w:val="32"/>
        </w:rPr>
        <w:t>（四）财政拨款收入支出决算情况</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2016年度财政拨款收入合计247.34万元，支出合计266.53万，与上年相比，财政拨款收入增加63.82万，增长34.77％，财政拨款支出增加80.22万，增长43.05％，主要原因是人员增加、养老保险和职业年金补发增加。</w:t>
      </w:r>
    </w:p>
    <w:p>
      <w:pPr>
        <w:autoSpaceDE w:val="0"/>
        <w:autoSpaceDN w:val="0"/>
        <w:adjustRightInd w:val="0"/>
        <w:spacing w:line="560" w:lineRule="exact"/>
        <w:ind w:firstLine="480" w:firstLineChars="150"/>
        <w:rPr>
          <w:rFonts w:ascii="仿宋" w:hAnsi="Times New Roman" w:eastAsia="仿宋" w:cs="仿宋"/>
          <w:color w:val="000000"/>
          <w:sz w:val="32"/>
          <w:szCs w:val="32"/>
        </w:rPr>
      </w:pPr>
      <w:r>
        <w:rPr>
          <w:rFonts w:hint="eastAsia" w:ascii="仿宋" w:hAnsi="Times New Roman" w:eastAsia="仿宋" w:cs="仿宋"/>
          <w:color w:val="000000"/>
          <w:sz w:val="32"/>
          <w:szCs w:val="32"/>
        </w:rPr>
        <w:t>（五）一般公共预算财政拨款支出情况</w:t>
      </w:r>
    </w:p>
    <w:p>
      <w:pPr>
        <w:autoSpaceDE w:val="0"/>
        <w:autoSpaceDN w:val="0"/>
        <w:adjustRightInd w:val="0"/>
        <w:spacing w:line="560" w:lineRule="exact"/>
        <w:ind w:firstLine="480"/>
        <w:rPr>
          <w:rFonts w:ascii="仿宋" w:hAnsi="Times New Roman" w:eastAsia="仿宋" w:cs="仿宋"/>
          <w:sz w:val="32"/>
          <w:szCs w:val="32"/>
        </w:rPr>
      </w:pPr>
      <w:r>
        <w:rPr>
          <w:rFonts w:hint="eastAsia" w:ascii="仿宋" w:hAnsi="Times New Roman" w:eastAsia="仿宋" w:cs="仿宋"/>
          <w:color w:val="FF0000"/>
          <w:sz w:val="32"/>
          <w:szCs w:val="32"/>
        </w:rPr>
        <w:t>　</w:t>
      </w:r>
      <w:r>
        <w:rPr>
          <w:rFonts w:ascii="仿宋" w:hAnsi="Times New Roman" w:eastAsia="仿宋" w:cs="仿宋"/>
          <w:sz w:val="32"/>
          <w:szCs w:val="32"/>
        </w:rPr>
        <w:t>2016年</w:t>
      </w:r>
      <w:r>
        <w:rPr>
          <w:rFonts w:hint="eastAsia" w:ascii="仿宋" w:hAnsi="Times New Roman" w:eastAsia="仿宋" w:cs="仿宋"/>
          <w:sz w:val="32"/>
          <w:szCs w:val="32"/>
        </w:rPr>
        <w:t>度部门决算一般公共预算财政拨款支出决算266.53万元，比年初预算增加36.5万元，增长15.86%。具体情况如下：</w:t>
      </w:r>
    </w:p>
    <w:p>
      <w:pPr>
        <w:autoSpaceDE w:val="0"/>
        <w:autoSpaceDN w:val="0"/>
        <w:adjustRightInd w:val="0"/>
        <w:spacing w:line="560" w:lineRule="exact"/>
        <w:ind w:firstLine="480"/>
        <w:rPr>
          <w:rFonts w:ascii="仿宋" w:hAnsi="Times New Roman" w:eastAsia="仿宋" w:cs="仿宋"/>
          <w:sz w:val="32"/>
          <w:szCs w:val="32"/>
        </w:rPr>
      </w:pPr>
      <w:r>
        <w:rPr>
          <w:rFonts w:ascii="仿宋" w:hAnsi="Times New Roman" w:eastAsia="仿宋" w:cs="仿宋"/>
          <w:sz w:val="32"/>
          <w:szCs w:val="32"/>
        </w:rPr>
        <w:t>1</w:t>
      </w:r>
      <w:r>
        <w:rPr>
          <w:rFonts w:hint="eastAsia" w:ascii="仿宋" w:hAnsi="Times New Roman" w:eastAsia="仿宋" w:cs="仿宋"/>
          <w:sz w:val="32"/>
          <w:szCs w:val="32"/>
        </w:rPr>
        <w:t>．2010301行政运行支出170.26万元，比年初预算增加36万元，增长26.81%。主要是人员增加、养老保险和职业年金增加补扣。</w:t>
      </w:r>
    </w:p>
    <w:p>
      <w:pPr>
        <w:autoSpaceDE w:val="0"/>
        <w:autoSpaceDN w:val="0"/>
        <w:adjustRightInd w:val="0"/>
        <w:spacing w:line="560" w:lineRule="exact"/>
        <w:ind w:firstLine="480"/>
        <w:rPr>
          <w:rFonts w:ascii="仿宋" w:hAnsi="Times New Roman" w:eastAsia="仿宋" w:cs="仿宋"/>
          <w:sz w:val="32"/>
          <w:szCs w:val="32"/>
        </w:rPr>
      </w:pPr>
      <w:r>
        <w:rPr>
          <w:rFonts w:ascii="仿宋" w:hAnsi="Times New Roman" w:eastAsia="仿宋" w:cs="仿宋"/>
          <w:sz w:val="32"/>
          <w:szCs w:val="32"/>
        </w:rPr>
        <w:t>2</w:t>
      </w:r>
      <w:r>
        <w:rPr>
          <w:rFonts w:hint="eastAsia" w:ascii="仿宋" w:hAnsi="Times New Roman" w:eastAsia="仿宋" w:cs="仿宋"/>
          <w:sz w:val="32"/>
          <w:szCs w:val="32"/>
        </w:rPr>
        <w:t>．2010302一般行政管理事务支出  80万元，与年初预算持平。</w:t>
      </w:r>
    </w:p>
    <w:p>
      <w:pPr>
        <w:autoSpaceDE w:val="0"/>
        <w:autoSpaceDN w:val="0"/>
        <w:adjustRightInd w:val="0"/>
        <w:spacing w:line="560" w:lineRule="exact"/>
        <w:ind w:firstLine="480"/>
        <w:rPr>
          <w:rFonts w:ascii="仿宋" w:hAnsi="Times New Roman" w:eastAsia="仿宋" w:cs="仿宋"/>
          <w:sz w:val="32"/>
          <w:szCs w:val="32"/>
        </w:rPr>
      </w:pPr>
      <w:r>
        <w:rPr>
          <w:rFonts w:ascii="仿宋" w:hAnsi="Times New Roman" w:eastAsia="仿宋" w:cs="仿宋"/>
          <w:sz w:val="32"/>
          <w:szCs w:val="32"/>
        </w:rPr>
        <w:t>3</w:t>
      </w:r>
      <w:r>
        <w:rPr>
          <w:rFonts w:hint="eastAsia" w:ascii="仿宋" w:hAnsi="Times New Roman" w:eastAsia="仿宋" w:cs="仿宋"/>
          <w:sz w:val="32"/>
          <w:szCs w:val="32"/>
        </w:rPr>
        <w:t>．2100501行政单位医疗支出  4.81万元，比年初预算增加0.16万元，增长3.44 %。主要是医疗费的调增。</w:t>
      </w:r>
    </w:p>
    <w:p>
      <w:pPr>
        <w:autoSpaceDE w:val="0"/>
        <w:autoSpaceDN w:val="0"/>
        <w:adjustRightInd w:val="0"/>
        <w:spacing w:line="560" w:lineRule="exact"/>
        <w:ind w:firstLine="480"/>
        <w:rPr>
          <w:rFonts w:ascii="仿宋" w:hAnsi="Times New Roman" w:eastAsia="仿宋" w:cs="仿宋"/>
          <w:sz w:val="32"/>
          <w:szCs w:val="32"/>
        </w:rPr>
      </w:pPr>
      <w:r>
        <w:rPr>
          <w:rFonts w:hint="eastAsia" w:ascii="仿宋" w:hAnsi="Times New Roman" w:eastAsia="仿宋" w:cs="仿宋"/>
          <w:sz w:val="32"/>
          <w:szCs w:val="32"/>
        </w:rPr>
        <w:t>4.2210201住房公积金支出11.46万，比年初预算增加0.34万，增长3.05％，主要是住房公积金的调增。</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（六）一般公共预算财政拨款基本支出情况</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2016年度度一般公共预算财政拨款基本支出186.53万元。其中：人员经费174.53万元，公用经费12万元，明细见报表。</w:t>
      </w:r>
    </w:p>
    <w:p>
      <w:pPr>
        <w:autoSpaceDE w:val="0"/>
        <w:autoSpaceDN w:val="0"/>
        <w:adjustRightInd w:val="0"/>
        <w:spacing w:line="360" w:lineRule="auto"/>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（七）政府性基金预算财政拨款收入支出情况</w:t>
      </w:r>
    </w:p>
    <w:p>
      <w:pPr>
        <w:autoSpaceDE w:val="0"/>
        <w:autoSpaceDN w:val="0"/>
        <w:adjustRightInd w:val="0"/>
        <w:spacing w:line="560" w:lineRule="exact"/>
        <w:ind w:firstLine="640" w:firstLineChars="200"/>
        <w:jc w:val="left"/>
        <w:rPr>
          <w:rFonts w:ascii="仿宋" w:hAnsi="Times New Roman" w:eastAsia="仿宋" w:cs="仿宋"/>
          <w:sz w:val="32"/>
          <w:szCs w:val="32"/>
        </w:rPr>
      </w:pPr>
      <w:r>
        <w:rPr>
          <w:rFonts w:ascii="仿宋" w:hAnsi="Times New Roman" w:eastAsia="仿宋" w:cs="仿宋"/>
          <w:sz w:val="32"/>
          <w:szCs w:val="32"/>
        </w:rPr>
        <w:t xml:space="preserve">2016 </w:t>
      </w:r>
      <w:r>
        <w:rPr>
          <w:rFonts w:hint="eastAsia" w:ascii="仿宋" w:hAnsi="Times New Roman" w:eastAsia="仿宋" w:cs="仿宋"/>
          <w:sz w:val="32"/>
          <w:szCs w:val="32"/>
        </w:rPr>
        <w:t>年度政府性基金预算年初结转0万元，本年收入0万元，本年支出0万元，年末结转0万元。</w:t>
      </w:r>
    </w:p>
    <w:p>
      <w:pPr>
        <w:autoSpaceDE w:val="0"/>
        <w:autoSpaceDN w:val="0"/>
        <w:adjustRightInd w:val="0"/>
        <w:spacing w:line="560" w:lineRule="exact"/>
        <w:ind w:firstLine="480"/>
        <w:rPr>
          <w:rFonts w:ascii="仿宋" w:hAnsi="Times New Roman" w:eastAsia="仿宋" w:cs="仿宋"/>
          <w:sz w:val="32"/>
          <w:szCs w:val="32"/>
        </w:rPr>
      </w:pPr>
      <w:r>
        <w:rPr>
          <w:rFonts w:ascii="仿宋" w:hAnsi="Times New Roman" w:eastAsia="仿宋" w:cs="仿宋"/>
          <w:sz w:val="32"/>
          <w:szCs w:val="32"/>
        </w:rPr>
        <w:t>……</w:t>
      </w:r>
    </w:p>
    <w:p>
      <w:pPr>
        <w:autoSpaceDE w:val="0"/>
        <w:autoSpaceDN w:val="0"/>
        <w:adjustRightInd w:val="0"/>
        <w:spacing w:line="560" w:lineRule="exact"/>
        <w:ind w:firstLine="480"/>
        <w:rPr>
          <w:rFonts w:ascii="仿宋" w:hAnsi="Times New Roman" w:eastAsia="仿宋" w:cs="仿宋"/>
          <w:sz w:val="32"/>
          <w:szCs w:val="32"/>
        </w:rPr>
      </w:pPr>
      <w:r>
        <w:rPr>
          <w:rFonts w:hint="eastAsia" w:ascii="仿宋" w:hAnsi="Times New Roman" w:eastAsia="仿宋" w:cs="仿宋"/>
          <w:sz w:val="32"/>
          <w:szCs w:val="32"/>
        </w:rPr>
        <w:t>（八）</w:t>
      </w:r>
      <w:r>
        <w:rPr>
          <w:rFonts w:ascii="仿宋" w:hAnsi="Times New Roman" w:eastAsia="仿宋" w:cs="仿宋"/>
          <w:sz w:val="32"/>
          <w:szCs w:val="32"/>
        </w:rPr>
        <w:t>“</w:t>
      </w:r>
      <w:r>
        <w:rPr>
          <w:rFonts w:hint="eastAsia" w:ascii="仿宋" w:hAnsi="Times New Roman" w:eastAsia="仿宋" w:cs="仿宋"/>
          <w:sz w:val="32"/>
          <w:szCs w:val="32"/>
        </w:rPr>
        <w:t>三公</w:t>
      </w:r>
      <w:r>
        <w:rPr>
          <w:rFonts w:ascii="仿宋" w:hAnsi="Times New Roman" w:eastAsia="仿宋" w:cs="仿宋"/>
          <w:sz w:val="32"/>
          <w:szCs w:val="32"/>
        </w:rPr>
        <w:t>”</w:t>
      </w:r>
      <w:r>
        <w:rPr>
          <w:rFonts w:hint="eastAsia" w:ascii="仿宋" w:hAnsi="Times New Roman" w:eastAsia="仿宋" w:cs="仿宋"/>
          <w:sz w:val="32"/>
          <w:szCs w:val="32"/>
        </w:rPr>
        <w:t>经费决算情况</w:t>
      </w:r>
    </w:p>
    <w:p>
      <w:pPr>
        <w:autoSpaceDE w:val="0"/>
        <w:autoSpaceDN w:val="0"/>
        <w:adjustRightInd w:val="0"/>
        <w:spacing w:line="560" w:lineRule="exact"/>
        <w:ind w:firstLine="600"/>
        <w:rPr>
          <w:rFonts w:ascii="仿宋" w:hAnsi="Times New Roman" w:eastAsia="仿宋" w:cs="仿宋"/>
          <w:sz w:val="30"/>
          <w:szCs w:val="30"/>
          <w:lang w:val="zh-CN"/>
        </w:rPr>
      </w:pPr>
      <w:r>
        <w:rPr>
          <w:rFonts w:ascii="仿宋" w:hAnsi="Times New Roman" w:eastAsia="仿宋" w:cs="仿宋"/>
          <w:sz w:val="32"/>
          <w:szCs w:val="32"/>
        </w:rPr>
        <w:t>1.</w:t>
      </w:r>
      <w:r>
        <w:rPr>
          <w:rFonts w:hint="eastAsia" w:ascii="仿宋" w:hAnsi="Times New Roman" w:eastAsia="仿宋" w:cs="仿宋"/>
          <w:sz w:val="32"/>
          <w:szCs w:val="32"/>
        </w:rPr>
        <w:t>因公出国（境）费用：</w:t>
      </w:r>
      <w:r>
        <w:rPr>
          <w:rFonts w:hint="eastAsia" w:ascii="仿宋" w:hAnsi="Times New Roman" w:eastAsia="仿宋" w:cs="仿宋"/>
          <w:kern w:val="0"/>
          <w:sz w:val="32"/>
          <w:szCs w:val="32"/>
        </w:rPr>
        <w:t>根据外事部门安排的因公出国计划和实际工作需要，</w:t>
      </w:r>
      <w:r>
        <w:rPr>
          <w:rFonts w:ascii="仿宋" w:hAnsi="Times New Roman" w:eastAsia="仿宋" w:cs="仿宋"/>
          <w:kern w:val="0"/>
          <w:sz w:val="32"/>
          <w:szCs w:val="32"/>
        </w:rPr>
        <w:t>2016年</w:t>
      </w:r>
      <w:r>
        <w:rPr>
          <w:rFonts w:hint="eastAsia" w:ascii="仿宋" w:hAnsi="Times New Roman" w:eastAsia="仿宋" w:cs="仿宋"/>
          <w:kern w:val="0"/>
          <w:sz w:val="32"/>
          <w:szCs w:val="32"/>
        </w:rPr>
        <w:t>度因公出国（境）支出0万元，</w:t>
      </w:r>
      <w:r>
        <w:rPr>
          <w:rFonts w:hint="eastAsia" w:ascii="仿宋" w:hAnsi="Times New Roman" w:eastAsia="仿宋" w:cs="仿宋"/>
          <w:sz w:val="32"/>
          <w:szCs w:val="32"/>
        </w:rPr>
        <w:t>比年初预算增加（减少）0万元，增长（下降） 0%，比上年决算数增加（减少）0万元，增长（下降）</w:t>
      </w:r>
      <w:r>
        <w:rPr>
          <w:rFonts w:ascii="仿宋" w:hAnsi="Times New Roman" w:eastAsia="仿宋" w:cs="仿宋"/>
          <w:sz w:val="32"/>
          <w:szCs w:val="32"/>
        </w:rPr>
        <w:t xml:space="preserve">  </w:t>
      </w:r>
      <w:r>
        <w:rPr>
          <w:rFonts w:hint="eastAsia" w:ascii="仿宋" w:hAnsi="Times New Roman" w:eastAsia="仿宋" w:cs="仿宋"/>
          <w:sz w:val="32"/>
          <w:szCs w:val="32"/>
        </w:rPr>
        <w:t>0</w:t>
      </w:r>
      <w:r>
        <w:rPr>
          <w:rFonts w:ascii="仿宋" w:hAnsi="Times New Roman" w:eastAsia="仿宋" w:cs="仿宋"/>
          <w:sz w:val="32"/>
          <w:szCs w:val="32"/>
        </w:rPr>
        <w:t>%</w:t>
      </w:r>
      <w:r>
        <w:rPr>
          <w:rFonts w:hint="eastAsia" w:ascii="仿宋" w:hAnsi="Times New Roman" w:eastAsia="仿宋" w:cs="仿宋"/>
          <w:sz w:val="32"/>
          <w:szCs w:val="32"/>
        </w:rPr>
        <w:t>，因公出国（境）费用</w:t>
      </w:r>
      <w:r>
        <w:rPr>
          <w:rFonts w:hint="eastAsia" w:ascii="仿宋" w:hAnsi="Times New Roman" w:eastAsia="仿宋" w:cs="仿宋"/>
          <w:kern w:val="0"/>
          <w:sz w:val="32"/>
          <w:szCs w:val="32"/>
        </w:rPr>
        <w:t>主要用于机关及下属预算单位人员的公务出国（境）的住宿费、国际旅费、培训费、公杂费等支出。本部门全年组织因公出国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团组个；本部门全年因公出国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累计0人次，较上年增加（或减少） 0 人次。</w:t>
      </w:r>
    </w:p>
    <w:p>
      <w:pPr>
        <w:tabs>
          <w:tab w:val="left" w:pos="2706"/>
        </w:tabs>
        <w:autoSpaceDE w:val="0"/>
        <w:autoSpaceDN w:val="0"/>
        <w:adjustRightInd w:val="0"/>
        <w:spacing w:line="560" w:lineRule="exact"/>
        <w:ind w:firstLine="600"/>
        <w:jc w:val="left"/>
        <w:rPr>
          <w:rFonts w:ascii="仿宋" w:hAnsi="Times New Roman" w:eastAsia="仿宋" w:cs="仿宋"/>
          <w:sz w:val="32"/>
          <w:szCs w:val="32"/>
        </w:rPr>
      </w:pPr>
      <w:r>
        <w:rPr>
          <w:rFonts w:ascii="仿宋" w:hAnsi="Times New Roman" w:eastAsia="仿宋" w:cs="仿宋"/>
          <w:sz w:val="32"/>
          <w:szCs w:val="32"/>
        </w:rPr>
        <w:t>2.</w:t>
      </w:r>
      <w:r>
        <w:rPr>
          <w:rFonts w:hint="eastAsia" w:ascii="仿宋" w:hAnsi="Times New Roman" w:eastAsia="仿宋" w:cs="仿宋"/>
          <w:sz w:val="32"/>
          <w:szCs w:val="32"/>
        </w:rPr>
        <w:t>公务接待费：</w:t>
      </w:r>
      <w:r>
        <w:rPr>
          <w:rFonts w:ascii="仿宋" w:hAnsi="Times New Roman" w:eastAsia="仿宋" w:cs="仿宋"/>
          <w:sz w:val="32"/>
          <w:szCs w:val="32"/>
        </w:rPr>
        <w:t>2016年</w:t>
      </w:r>
      <w:r>
        <w:rPr>
          <w:rFonts w:hint="eastAsia" w:ascii="仿宋" w:hAnsi="Times New Roman" w:eastAsia="仿宋" w:cs="仿宋"/>
          <w:sz w:val="32"/>
          <w:szCs w:val="32"/>
        </w:rPr>
        <w:t>度公务接待费支出14.83万元，比年初预算减少0.17万元，下降1.13 %，主要原因是节约支出；比上年决算数增加4.7万元，增长46.39</w:t>
      </w:r>
      <w:r>
        <w:rPr>
          <w:rFonts w:ascii="仿宋" w:hAnsi="Times New Roman" w:eastAsia="仿宋" w:cs="仿宋"/>
          <w:sz w:val="32"/>
          <w:szCs w:val="32"/>
        </w:rPr>
        <w:t>%</w:t>
      </w:r>
      <w:r>
        <w:rPr>
          <w:rFonts w:hint="eastAsia" w:ascii="仿宋" w:hAnsi="Times New Roman" w:eastAsia="仿宋" w:cs="仿宋"/>
          <w:sz w:val="32"/>
          <w:szCs w:val="32"/>
        </w:rPr>
        <w:t>，增加的主要原因是接待量增加。公务接待费主要用于接待市委四套班子领导赴杭公务接待及省市有关部门政务联络的工作餐等支出。</w:t>
      </w:r>
      <w:r>
        <w:rPr>
          <w:rFonts w:hint="eastAsia" w:ascii="仿宋" w:hAnsi="Times New Roman" w:eastAsia="仿宋" w:cs="仿宋"/>
          <w:kern w:val="0"/>
          <w:sz w:val="32"/>
          <w:szCs w:val="32"/>
        </w:rPr>
        <w:t>其中，本部门国内公务接待161批次，1119人次，支出14.83万元；国（境）外事接待0批次，0人次，支出0万元。</w:t>
      </w:r>
    </w:p>
    <w:p>
      <w:pPr>
        <w:autoSpaceDE w:val="0"/>
        <w:autoSpaceDN w:val="0"/>
        <w:adjustRightInd w:val="0"/>
        <w:spacing w:line="560" w:lineRule="exact"/>
        <w:ind w:firstLine="600"/>
        <w:rPr>
          <w:rFonts w:ascii="仿宋" w:hAnsi="Times New Roman" w:eastAsia="仿宋" w:cs="仿宋"/>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2016年</w:t>
      </w:r>
      <w:r>
        <w:rPr>
          <w:rFonts w:hint="eastAsia" w:ascii="仿宋" w:hAnsi="Times New Roman" w:eastAsia="仿宋" w:cs="仿宋"/>
          <w:kern w:val="0"/>
          <w:sz w:val="32"/>
          <w:szCs w:val="32"/>
        </w:rPr>
        <w:t>度公务用车购置及运行维护费支出8.38万元，</w:t>
      </w:r>
      <w:r>
        <w:rPr>
          <w:rFonts w:hint="eastAsia" w:ascii="仿宋" w:hAnsi="Times New Roman" w:eastAsia="仿宋" w:cs="仿宋"/>
          <w:sz w:val="32"/>
          <w:szCs w:val="32"/>
        </w:rPr>
        <w:t>比年初预算减少1.62万元，下降16.2%，主要原因是节约支出，比上年决算数增加0.15万元，增长1.82</w:t>
      </w:r>
      <w:r>
        <w:rPr>
          <w:rFonts w:ascii="仿宋" w:hAnsi="Times New Roman" w:eastAsia="仿宋" w:cs="仿宋"/>
          <w:sz w:val="32"/>
          <w:szCs w:val="32"/>
        </w:rPr>
        <w:t>%</w:t>
      </w:r>
      <w:r>
        <w:rPr>
          <w:rFonts w:hint="eastAsia" w:ascii="仿宋" w:hAnsi="Times New Roman" w:eastAsia="仿宋" w:cs="仿宋"/>
          <w:sz w:val="32"/>
          <w:szCs w:val="32"/>
        </w:rPr>
        <w:t>。增加的主要原因是车辆修理增加。具体内容如下：</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公务用车购置支出0万元。</w:t>
      </w:r>
    </w:p>
    <w:p>
      <w:pPr>
        <w:autoSpaceDE w:val="0"/>
        <w:autoSpaceDN w:val="0"/>
        <w:adjustRightInd w:val="0"/>
        <w:spacing w:line="560" w:lineRule="exact"/>
        <w:ind w:firstLine="600"/>
        <w:rPr>
          <w:rFonts w:ascii="仿宋" w:hAnsi="Times New Roman" w:eastAsia="仿宋" w:cs="仿宋"/>
          <w:sz w:val="30"/>
          <w:szCs w:val="30"/>
          <w:lang w:val="zh-CN"/>
        </w:rPr>
      </w:pPr>
      <w:r>
        <w:rPr>
          <w:rFonts w:hint="eastAsia" w:ascii="仿宋" w:hAnsi="Times New Roman" w:eastAsia="仿宋" w:cs="仿宋"/>
          <w:kern w:val="0"/>
          <w:sz w:val="32"/>
          <w:szCs w:val="32"/>
        </w:rPr>
        <w:t>公务用车运行维护费支出8.38万元，主要用于公务车所需的公务用车租用费、燃料费、维修费、过路过桥费、保险费、安全奖励费用等支出。</w:t>
      </w:r>
      <w:r>
        <w:rPr>
          <w:rFonts w:ascii="仿宋" w:hAnsi="Times New Roman" w:eastAsia="仿宋" w:cs="仿宋"/>
          <w:kern w:val="0"/>
          <w:sz w:val="32"/>
          <w:szCs w:val="32"/>
        </w:rPr>
        <w:t>2016年</w:t>
      </w:r>
      <w:r>
        <w:rPr>
          <w:rFonts w:hint="eastAsia" w:ascii="仿宋" w:hAnsi="Times New Roman" w:eastAsia="仿宋" w:cs="仿宋"/>
          <w:kern w:val="0"/>
          <w:sz w:val="32"/>
          <w:szCs w:val="32"/>
        </w:rPr>
        <w:t>度，本级及所属单位</w:t>
      </w:r>
      <w:r>
        <w:rPr>
          <w:rFonts w:hint="eastAsia" w:ascii="仿宋" w:hAnsi="Times New Roman" w:eastAsia="仿宋" w:cs="仿宋"/>
          <w:sz w:val="32"/>
          <w:szCs w:val="32"/>
          <w:lang w:val="zh-CN"/>
        </w:rPr>
        <w:t>公务用车保有量为2</w:t>
      </w:r>
      <w:r>
        <w:rPr>
          <w:rFonts w:hint="eastAsia" w:ascii="仿宋" w:hAnsi="Times New Roman" w:eastAsia="仿宋" w:cs="仿宋"/>
          <w:sz w:val="32"/>
          <w:szCs w:val="32"/>
        </w:rPr>
        <w:t>辆，较上年</w:t>
      </w:r>
      <w:r>
        <w:rPr>
          <w:rFonts w:hint="eastAsia" w:ascii="仿宋" w:hAnsi="Times New Roman" w:eastAsia="仿宋" w:cs="仿宋"/>
          <w:kern w:val="0"/>
          <w:sz w:val="32"/>
          <w:szCs w:val="32"/>
        </w:rPr>
        <w:t>相同。</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（九）其他重要事项情况说明</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1、机关运行经费支出情况</w:t>
      </w:r>
      <w:r>
        <w:rPr>
          <w:rFonts w:hint="eastAsia" w:ascii="仿宋" w:hAnsi="Times New Roman" w:eastAsia="仿宋" w:cs="仿宋"/>
          <w:sz w:val="32"/>
          <w:szCs w:val="32"/>
        </w:rPr>
        <w:t>（无发生，也需说明）</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2016年度驻杭办</w:t>
      </w:r>
      <w:r>
        <w:rPr>
          <w:rFonts w:hint="eastAsia" w:ascii="仿宋" w:eastAsia="仿宋" w:cs="仿宋"/>
          <w:kern w:val="0"/>
          <w:sz w:val="32"/>
          <w:szCs w:val="32"/>
        </w:rPr>
        <w:t>机关</w:t>
      </w:r>
      <w:r>
        <w:rPr>
          <w:rFonts w:hint="eastAsia" w:ascii="仿宋" w:hAnsi="Times New Roman" w:eastAsia="仿宋" w:cs="仿宋"/>
          <w:kern w:val="0"/>
          <w:sz w:val="32"/>
          <w:szCs w:val="32"/>
        </w:rPr>
        <w:t>运行经费支出12万元，比上年减少7.49万元，下降38.42%，主要原因是今年与上年科目放置不同。</w:t>
      </w:r>
    </w:p>
    <w:p>
      <w:pPr>
        <w:autoSpaceDE w:val="0"/>
        <w:autoSpaceDN w:val="0"/>
        <w:adjustRightIn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2、政府采购情况</w:t>
      </w:r>
      <w:r>
        <w:rPr>
          <w:rFonts w:hint="eastAsia" w:ascii="仿宋" w:hAnsi="Times New Roman" w:eastAsia="仿宋" w:cs="仿宋"/>
          <w:sz w:val="32"/>
          <w:szCs w:val="32"/>
        </w:rPr>
        <w:t>（无发生，也需说明）</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2016年度</w:t>
      </w:r>
      <w:r>
        <w:rPr>
          <w:rFonts w:hint="eastAsia" w:ascii="仿宋" w:eastAsia="仿宋" w:cs="仿宋"/>
          <w:kern w:val="0"/>
          <w:sz w:val="32"/>
          <w:szCs w:val="32"/>
        </w:rPr>
        <w:t>本预算单位没有</w:t>
      </w:r>
      <w:r>
        <w:rPr>
          <w:rFonts w:hint="eastAsia" w:ascii="仿宋" w:hAnsi="Times New Roman" w:eastAsia="仿宋" w:cs="仿宋"/>
          <w:kern w:val="0"/>
          <w:sz w:val="32"/>
          <w:szCs w:val="32"/>
        </w:rPr>
        <w:t>政府采购预算 。</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3、国有资产占用情况（无资产，也需说明）</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截</w:t>
      </w:r>
      <w:r>
        <w:rPr>
          <w:rFonts w:hint="eastAsia" w:ascii="仿宋" w:hAnsi="Times New Roman" w:eastAsia="仿宋" w:cs="仿宋"/>
          <w:kern w:val="0"/>
          <w:sz w:val="32"/>
          <w:szCs w:val="32"/>
          <w:lang w:eastAsia="zh-CN"/>
        </w:rPr>
        <w:t>至</w:t>
      </w:r>
      <w:bookmarkStart w:id="0" w:name="_GoBack"/>
      <w:bookmarkEnd w:id="0"/>
      <w:r>
        <w:rPr>
          <w:rFonts w:hint="eastAsia" w:ascii="仿宋" w:hAnsi="Times New Roman" w:eastAsia="仿宋" w:cs="仿宋"/>
          <w:kern w:val="0"/>
          <w:sz w:val="32"/>
          <w:szCs w:val="32"/>
        </w:rPr>
        <w:t>2016年底，</w:t>
      </w:r>
      <w:r>
        <w:rPr>
          <w:rFonts w:hint="eastAsia" w:ascii="仿宋" w:eastAsia="仿宋" w:cs="仿宋"/>
          <w:kern w:val="0"/>
          <w:sz w:val="32"/>
          <w:szCs w:val="32"/>
        </w:rPr>
        <w:t>驻杭办</w:t>
      </w:r>
      <w:r>
        <w:rPr>
          <w:rFonts w:hint="eastAsia" w:ascii="仿宋" w:hAnsi="Times New Roman" w:eastAsia="仿宋" w:cs="仿宋"/>
          <w:kern w:val="0"/>
          <w:sz w:val="32"/>
          <w:szCs w:val="32"/>
        </w:rPr>
        <w:t>资产合计   384.24万元，比上年下降4.77%，主要原因是固定资产的报废。其中：流动资产  157.16万元，占总资产的  40.9%；固定资产  227.07万元，占总资产的 59.1 %。固定资产含：车辆  2 辆，其中一般公务用车  2辆。</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4、绩效评价结果情况（无评价项目，也需说明）</w:t>
      </w:r>
    </w:p>
    <w:p>
      <w:pPr>
        <w:spacing w:line="600" w:lineRule="exact"/>
        <w:ind w:firstLine="640" w:firstLineChars="200"/>
        <w:rPr>
          <w:rFonts w:hint="eastAsia" w:ascii="仿宋" w:hAnsi="Times New Roman" w:eastAsia="仿宋" w:cs="仿宋"/>
          <w:kern w:val="0"/>
          <w:sz w:val="32"/>
          <w:szCs w:val="32"/>
        </w:rPr>
      </w:pPr>
      <w:r>
        <w:rPr>
          <w:rFonts w:hint="eastAsia" w:ascii="仿宋" w:hAnsi="Times New Roman" w:eastAsia="仿宋" w:cs="仿宋"/>
          <w:kern w:val="0"/>
          <w:sz w:val="32"/>
          <w:szCs w:val="32"/>
        </w:rPr>
        <w:t>2016年度本部门没有实施支出绩效评价的项目 。</w:t>
      </w:r>
    </w:p>
    <w:p>
      <w:pPr>
        <w:spacing w:line="600" w:lineRule="exact"/>
        <w:ind w:firstLine="640" w:firstLineChars="200"/>
        <w:rPr>
          <w:rFonts w:ascii="黑体" w:eastAsia="黑体"/>
          <w:bCs/>
          <w:sz w:val="32"/>
          <w:szCs w:val="32"/>
        </w:rPr>
      </w:pPr>
      <w:r>
        <w:rPr>
          <w:rFonts w:hint="eastAsia" w:ascii="黑体" w:hAnsi="Times New Roman" w:eastAsia="黑体" w:cs="黑体"/>
          <w:color w:val="000000"/>
          <w:sz w:val="32"/>
          <w:szCs w:val="32"/>
        </w:rPr>
        <w:t>四、名词解释</w:t>
      </w:r>
      <w:r>
        <w:rPr>
          <w:rFonts w:hint="eastAsia" w:ascii="仿宋_GB2312" w:hAnsi="仿宋_GB2312" w:eastAsia="仿宋_GB2312"/>
          <w:b/>
          <w:sz w:val="32"/>
          <w:szCs w:val="32"/>
        </w:rPr>
        <w:t>（所列具体项目由各部门按本部门情况有选择使用）</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1.财政拨款收入：从同级财政部门取得的财政预算资金，包括公共预算财政拨款和政府性基金预算财政拨款。</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2.事业收入：事业单位开展专业业务活动及辅助活动所取得的收入（含事业单位收到的财政专户实际核拨的资金）。</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3其他收入：预算单位在“财政拨款”、“事业收入”、“经营收入”、“附属单位上缴收入”等之外取得的各项收入。</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4年初结转和结余：预算单位以前年度尚未完成、结转到本年仍按原规定用途继续使用的资金，或项目已完成等产生的结余资金。</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5结余分配：事业单位按照国家规定应交所得税和提取事业基金、专用基金的分配情况和结果。</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6.年末结转和结余：预算单位本年底前的收入预算未执行完毕，需结转下年度按照原用途继续使用的资金，或项目已完成等产生的结余资金。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7.基本支出：是预算单位为保障其正常运转，完成日常工作任务所发生的支出，包括人员支出和日常公用支出。</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8.项目支出：是预算单位为完成其特定的行政工作任务或事业发展目标所发生的支出。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rPr>
        <w:t>9.因公出国（境）费用：反映单位公务出国（境）的国际旅费、国外城市间交通费、住宿费、伙食费、培训费、公杂费</w:t>
      </w:r>
      <w:r>
        <w:rPr>
          <w:rFonts w:hint="eastAsia" w:ascii="仿宋_GB2312" w:hAnsi="仿宋_GB2312" w:eastAsia="仿宋_GB2312"/>
          <w:sz w:val="32"/>
          <w:szCs w:val="32"/>
        </w:rPr>
        <w:t>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10.公务接待费：反映单位按规定开支的各类公务接待（含外宾接待）费用。</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11.公务用车购置：反映公务用车车辆购置支出（含车辆购置税）。</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12.公务用车运行维护费：反映按规定保留的公务用车燃料费、维修费、过桥过路费、保险费、安全奖励费用等支出。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15.固定资产：是指使用期限超过1年（不含1年），单位价值在规定标准以上，并且在使用过程中基本保持原有物质形态的资产。</w:t>
      </w:r>
    </w:p>
    <w:p>
      <w:pPr>
        <w:autoSpaceDE w:val="0"/>
        <w:autoSpaceDN w:val="0"/>
        <w:adjustRightInd w:val="0"/>
        <w:spacing w:line="560" w:lineRule="exact"/>
        <w:ind w:firstLine="600"/>
        <w:rPr>
          <w:rFonts w:hint="eastAsia" w:ascii="仿宋" w:hAnsi="Times New Roman" w:eastAsia="仿宋" w:cs="仿宋"/>
          <w:color w:val="FF0000"/>
          <w:kern w:val="0"/>
          <w:sz w:val="32"/>
          <w:szCs w:val="32"/>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4eff_5b8b_GB2312">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wNDIxMDQ4YjliZjBkMmE1ZGY4NTQ1Y2FmYTU1OTkifQ=="/>
  </w:docVars>
  <w:rsids>
    <w:rsidRoot w:val="00881F0B"/>
    <w:rsid w:val="00046671"/>
    <w:rsid w:val="00053EFE"/>
    <w:rsid w:val="0005554A"/>
    <w:rsid w:val="00061F66"/>
    <w:rsid w:val="00062042"/>
    <w:rsid w:val="00064128"/>
    <w:rsid w:val="000651D8"/>
    <w:rsid w:val="0007101E"/>
    <w:rsid w:val="00072BCA"/>
    <w:rsid w:val="000835BE"/>
    <w:rsid w:val="000906B6"/>
    <w:rsid w:val="000E188B"/>
    <w:rsid w:val="000E18A3"/>
    <w:rsid w:val="000E3F5F"/>
    <w:rsid w:val="000F6A4F"/>
    <w:rsid w:val="001016A7"/>
    <w:rsid w:val="00120C66"/>
    <w:rsid w:val="00120CDC"/>
    <w:rsid w:val="001602EE"/>
    <w:rsid w:val="00176822"/>
    <w:rsid w:val="0018164C"/>
    <w:rsid w:val="0018273E"/>
    <w:rsid w:val="00184183"/>
    <w:rsid w:val="001902D7"/>
    <w:rsid w:val="00190775"/>
    <w:rsid w:val="001920D4"/>
    <w:rsid w:val="00192FAE"/>
    <w:rsid w:val="001A2286"/>
    <w:rsid w:val="001A45E9"/>
    <w:rsid w:val="001D5629"/>
    <w:rsid w:val="001E74C5"/>
    <w:rsid w:val="001F527C"/>
    <w:rsid w:val="002007DE"/>
    <w:rsid w:val="002046F3"/>
    <w:rsid w:val="00207B27"/>
    <w:rsid w:val="00214241"/>
    <w:rsid w:val="00221B85"/>
    <w:rsid w:val="00226076"/>
    <w:rsid w:val="00241245"/>
    <w:rsid w:val="00250207"/>
    <w:rsid w:val="00257A58"/>
    <w:rsid w:val="002738A3"/>
    <w:rsid w:val="002746F1"/>
    <w:rsid w:val="00276750"/>
    <w:rsid w:val="00282B23"/>
    <w:rsid w:val="00294E07"/>
    <w:rsid w:val="00295463"/>
    <w:rsid w:val="002A7BA1"/>
    <w:rsid w:val="002D12A4"/>
    <w:rsid w:val="002D6A30"/>
    <w:rsid w:val="002E00D5"/>
    <w:rsid w:val="00327825"/>
    <w:rsid w:val="00330A19"/>
    <w:rsid w:val="00331ABC"/>
    <w:rsid w:val="00342CD2"/>
    <w:rsid w:val="00344F37"/>
    <w:rsid w:val="0034725A"/>
    <w:rsid w:val="00361F65"/>
    <w:rsid w:val="00371925"/>
    <w:rsid w:val="00373442"/>
    <w:rsid w:val="00375B36"/>
    <w:rsid w:val="003775A0"/>
    <w:rsid w:val="0038512D"/>
    <w:rsid w:val="00386388"/>
    <w:rsid w:val="0038715C"/>
    <w:rsid w:val="003A4B20"/>
    <w:rsid w:val="003A6FA2"/>
    <w:rsid w:val="003B0DD8"/>
    <w:rsid w:val="003B1368"/>
    <w:rsid w:val="003C4F54"/>
    <w:rsid w:val="003D31D7"/>
    <w:rsid w:val="003D5271"/>
    <w:rsid w:val="003E6F76"/>
    <w:rsid w:val="003F53B9"/>
    <w:rsid w:val="004044EE"/>
    <w:rsid w:val="00417507"/>
    <w:rsid w:val="00420D41"/>
    <w:rsid w:val="0043621A"/>
    <w:rsid w:val="00450FEA"/>
    <w:rsid w:val="00452B9D"/>
    <w:rsid w:val="00456AF9"/>
    <w:rsid w:val="004614FB"/>
    <w:rsid w:val="00482F4B"/>
    <w:rsid w:val="00492845"/>
    <w:rsid w:val="00493E30"/>
    <w:rsid w:val="004B6E1B"/>
    <w:rsid w:val="004C62D1"/>
    <w:rsid w:val="004D09A8"/>
    <w:rsid w:val="004D22EE"/>
    <w:rsid w:val="004D6F91"/>
    <w:rsid w:val="004E0E8D"/>
    <w:rsid w:val="004F1790"/>
    <w:rsid w:val="004F2CCF"/>
    <w:rsid w:val="004F54CB"/>
    <w:rsid w:val="00514AEC"/>
    <w:rsid w:val="00515175"/>
    <w:rsid w:val="00516246"/>
    <w:rsid w:val="005174AB"/>
    <w:rsid w:val="00522E02"/>
    <w:rsid w:val="00586939"/>
    <w:rsid w:val="00595EAD"/>
    <w:rsid w:val="005A1EB3"/>
    <w:rsid w:val="005B180D"/>
    <w:rsid w:val="005B1CD6"/>
    <w:rsid w:val="005B602D"/>
    <w:rsid w:val="005D0BDB"/>
    <w:rsid w:val="005E3140"/>
    <w:rsid w:val="006048A5"/>
    <w:rsid w:val="00604C57"/>
    <w:rsid w:val="0061194C"/>
    <w:rsid w:val="0061672A"/>
    <w:rsid w:val="006267B8"/>
    <w:rsid w:val="00632156"/>
    <w:rsid w:val="006405C2"/>
    <w:rsid w:val="006463AB"/>
    <w:rsid w:val="00684360"/>
    <w:rsid w:val="00685EAF"/>
    <w:rsid w:val="00692C5F"/>
    <w:rsid w:val="0069448C"/>
    <w:rsid w:val="0069528E"/>
    <w:rsid w:val="006970D0"/>
    <w:rsid w:val="006C34A6"/>
    <w:rsid w:val="006C527F"/>
    <w:rsid w:val="006D6A2F"/>
    <w:rsid w:val="006E6574"/>
    <w:rsid w:val="006F1F48"/>
    <w:rsid w:val="006F532A"/>
    <w:rsid w:val="006F76FC"/>
    <w:rsid w:val="007013D3"/>
    <w:rsid w:val="007033AA"/>
    <w:rsid w:val="007079F8"/>
    <w:rsid w:val="00741108"/>
    <w:rsid w:val="00741B55"/>
    <w:rsid w:val="00746CBE"/>
    <w:rsid w:val="00761B9C"/>
    <w:rsid w:val="00765C83"/>
    <w:rsid w:val="0077771C"/>
    <w:rsid w:val="00780470"/>
    <w:rsid w:val="00787897"/>
    <w:rsid w:val="00794BF7"/>
    <w:rsid w:val="007B0FA4"/>
    <w:rsid w:val="007B33DE"/>
    <w:rsid w:val="007B3679"/>
    <w:rsid w:val="007C44E9"/>
    <w:rsid w:val="007D348B"/>
    <w:rsid w:val="007E6CDF"/>
    <w:rsid w:val="008214A4"/>
    <w:rsid w:val="008223CC"/>
    <w:rsid w:val="00822CEF"/>
    <w:rsid w:val="008261B6"/>
    <w:rsid w:val="008337B3"/>
    <w:rsid w:val="008346BD"/>
    <w:rsid w:val="00854686"/>
    <w:rsid w:val="00873DF9"/>
    <w:rsid w:val="00881F0B"/>
    <w:rsid w:val="00886526"/>
    <w:rsid w:val="00887089"/>
    <w:rsid w:val="00893EDB"/>
    <w:rsid w:val="008C2CF4"/>
    <w:rsid w:val="008C6F42"/>
    <w:rsid w:val="008D18B5"/>
    <w:rsid w:val="008D48F1"/>
    <w:rsid w:val="008E5369"/>
    <w:rsid w:val="008E54B4"/>
    <w:rsid w:val="008E7BC8"/>
    <w:rsid w:val="008F1E0E"/>
    <w:rsid w:val="0090349E"/>
    <w:rsid w:val="009125B1"/>
    <w:rsid w:val="009128F8"/>
    <w:rsid w:val="00923634"/>
    <w:rsid w:val="00951A76"/>
    <w:rsid w:val="009714DE"/>
    <w:rsid w:val="00973476"/>
    <w:rsid w:val="0097416C"/>
    <w:rsid w:val="0097677D"/>
    <w:rsid w:val="009809AE"/>
    <w:rsid w:val="00982B21"/>
    <w:rsid w:val="009845D7"/>
    <w:rsid w:val="00990DDE"/>
    <w:rsid w:val="00997B30"/>
    <w:rsid w:val="009A37C6"/>
    <w:rsid w:val="009B28E1"/>
    <w:rsid w:val="009B570B"/>
    <w:rsid w:val="009B781D"/>
    <w:rsid w:val="009C4CFD"/>
    <w:rsid w:val="009D180F"/>
    <w:rsid w:val="009D2B85"/>
    <w:rsid w:val="009F33E5"/>
    <w:rsid w:val="00A0740C"/>
    <w:rsid w:val="00A13DD9"/>
    <w:rsid w:val="00A309C1"/>
    <w:rsid w:val="00A34BA9"/>
    <w:rsid w:val="00A713D5"/>
    <w:rsid w:val="00A71EB2"/>
    <w:rsid w:val="00A749BF"/>
    <w:rsid w:val="00A828DF"/>
    <w:rsid w:val="00A8425F"/>
    <w:rsid w:val="00AA03BD"/>
    <w:rsid w:val="00AC012E"/>
    <w:rsid w:val="00AC03C2"/>
    <w:rsid w:val="00AC30C7"/>
    <w:rsid w:val="00AF106F"/>
    <w:rsid w:val="00AF2F79"/>
    <w:rsid w:val="00AF77F1"/>
    <w:rsid w:val="00B136EC"/>
    <w:rsid w:val="00B33DD1"/>
    <w:rsid w:val="00B5679A"/>
    <w:rsid w:val="00B93A85"/>
    <w:rsid w:val="00BB1A58"/>
    <w:rsid w:val="00BB4E1E"/>
    <w:rsid w:val="00BB5CDA"/>
    <w:rsid w:val="00BC6167"/>
    <w:rsid w:val="00BD301D"/>
    <w:rsid w:val="00BE1E21"/>
    <w:rsid w:val="00BF6CE9"/>
    <w:rsid w:val="00BF7B7E"/>
    <w:rsid w:val="00C03C0A"/>
    <w:rsid w:val="00C13E7E"/>
    <w:rsid w:val="00C31791"/>
    <w:rsid w:val="00C33E6D"/>
    <w:rsid w:val="00C362CE"/>
    <w:rsid w:val="00C450CC"/>
    <w:rsid w:val="00C55036"/>
    <w:rsid w:val="00C5682A"/>
    <w:rsid w:val="00C72E80"/>
    <w:rsid w:val="00C80187"/>
    <w:rsid w:val="00C81C6E"/>
    <w:rsid w:val="00C85CCC"/>
    <w:rsid w:val="00CA1E85"/>
    <w:rsid w:val="00CC6E31"/>
    <w:rsid w:val="00CD3F92"/>
    <w:rsid w:val="00CD70CB"/>
    <w:rsid w:val="00CE47C0"/>
    <w:rsid w:val="00CE4D3C"/>
    <w:rsid w:val="00D05B10"/>
    <w:rsid w:val="00D20C25"/>
    <w:rsid w:val="00D366CD"/>
    <w:rsid w:val="00D41B69"/>
    <w:rsid w:val="00D54C56"/>
    <w:rsid w:val="00D568DC"/>
    <w:rsid w:val="00D61851"/>
    <w:rsid w:val="00D70031"/>
    <w:rsid w:val="00D81005"/>
    <w:rsid w:val="00D82028"/>
    <w:rsid w:val="00D82442"/>
    <w:rsid w:val="00D826D8"/>
    <w:rsid w:val="00D878BC"/>
    <w:rsid w:val="00D91495"/>
    <w:rsid w:val="00D914B2"/>
    <w:rsid w:val="00D95E1E"/>
    <w:rsid w:val="00DA127F"/>
    <w:rsid w:val="00DA450D"/>
    <w:rsid w:val="00DA64A4"/>
    <w:rsid w:val="00DD55A4"/>
    <w:rsid w:val="00DE1E92"/>
    <w:rsid w:val="00DE4BF0"/>
    <w:rsid w:val="00DF03E0"/>
    <w:rsid w:val="00DF1E61"/>
    <w:rsid w:val="00DF4F09"/>
    <w:rsid w:val="00E0018C"/>
    <w:rsid w:val="00E06FC6"/>
    <w:rsid w:val="00E11F7A"/>
    <w:rsid w:val="00E1339E"/>
    <w:rsid w:val="00E2537B"/>
    <w:rsid w:val="00E3509E"/>
    <w:rsid w:val="00E66100"/>
    <w:rsid w:val="00E71FA7"/>
    <w:rsid w:val="00E72A06"/>
    <w:rsid w:val="00EA41D6"/>
    <w:rsid w:val="00EB6701"/>
    <w:rsid w:val="00EB7242"/>
    <w:rsid w:val="00EF3F12"/>
    <w:rsid w:val="00F019FA"/>
    <w:rsid w:val="00F030F9"/>
    <w:rsid w:val="00F0772E"/>
    <w:rsid w:val="00F20479"/>
    <w:rsid w:val="00F20E78"/>
    <w:rsid w:val="00F30F2B"/>
    <w:rsid w:val="00F770F2"/>
    <w:rsid w:val="00F77DA7"/>
    <w:rsid w:val="00F91079"/>
    <w:rsid w:val="00F92B83"/>
    <w:rsid w:val="00F96E70"/>
    <w:rsid w:val="00F97ACF"/>
    <w:rsid w:val="00FB2A8A"/>
    <w:rsid w:val="00FB6DE5"/>
    <w:rsid w:val="00FB7D78"/>
    <w:rsid w:val="00FC7092"/>
    <w:rsid w:val="00FC74BF"/>
    <w:rsid w:val="00FD4D65"/>
    <w:rsid w:val="00FF14DD"/>
    <w:rsid w:val="00FF3C3B"/>
    <w:rsid w:val="0BD8012D"/>
    <w:rsid w:val="10691BD6"/>
    <w:rsid w:val="1F0D48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1400</Words>
  <Characters>7984</Characters>
  <Lines>66</Lines>
  <Paragraphs>18</Paragraphs>
  <TotalTime>0</TotalTime>
  <ScaleCrop>false</ScaleCrop>
  <LinksUpToDate>false</LinksUpToDate>
  <CharactersWithSpaces>9366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2017-09-20T06:19:00Z</dcterms:created>
  <dc:creator>张静</dc:creator>
  <cp:lastModifiedBy>Administrator</cp:lastModifiedBy>
  <cp:lastPrinted>2016-07-07T09:09:00Z</cp:lastPrinted>
  <dcterms:modified xsi:type="dcterms:W3CDTF">2022-05-26T02:04:34Z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301AAA69296D4D7C8241EC7677122135</vt:lpwstr>
  </property>
</Properties>
</file>