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napToGrid w:val="0"/>
        <w:spacing w:before="0" w:beforeAutospacing="1" w:after="0" w:afterAutospacing="1"/>
        <w:ind w:left="0" w:right="0"/>
        <w:jc w:val="center"/>
        <w:rPr>
          <w:rFonts w:hint="eastAsia" w:ascii="宋体" w:hAnsi="宋体" w:eastAsia="宋体" w:cs="宋体"/>
          <w:kern w:val="0"/>
          <w:sz w:val="24"/>
          <w:szCs w:val="24"/>
        </w:rPr>
      </w:pPr>
      <w:bookmarkStart w:id="0" w:name="_GoBack"/>
      <w:r>
        <w:rPr>
          <w:rFonts w:hint="eastAsia" w:ascii="黑体" w:hAnsi="宋体" w:eastAsia="黑体" w:cs="黑体"/>
          <w:kern w:val="0"/>
          <w:sz w:val="44"/>
          <w:szCs w:val="44"/>
          <w:lang w:val="en-US" w:eastAsia="zh-CN" w:bidi="ar"/>
        </w:rPr>
        <w:t xml:space="preserve">温州市人民政府国有资产监督管理委员会2017年度部门决算 </w:t>
      </w:r>
    </w:p>
    <w:bookmarkEnd w:id="0"/>
    <w:p>
      <w:pPr>
        <w:pStyle w:val="2"/>
        <w:keepNext w:val="0"/>
        <w:keepLines w:val="0"/>
        <w:widowControl/>
        <w:suppressLineNumbers w:val="0"/>
        <w:snapToGrid w:val="0"/>
        <w:spacing w:before="0" w:beforeAutospacing="1"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 </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Style w:val="6"/>
          <w:rFonts w:hint="eastAsia" w:ascii="宋体" w:hAnsi="宋体" w:eastAsia="宋体" w:cs="宋体"/>
          <w:b/>
          <w:kern w:val="0"/>
          <w:sz w:val="32"/>
          <w:szCs w:val="32"/>
          <w:lang w:val="en-US" w:eastAsia="zh-CN" w:bidi="ar"/>
        </w:rPr>
        <w:t xml:space="preserve">一、2017年度部门决算概况 </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Style w:val="6"/>
          <w:rFonts w:hint="eastAsia" w:ascii="楷体" w:hAnsi="楷体" w:eastAsia="楷体" w:cs="楷体"/>
          <w:b/>
          <w:kern w:val="0"/>
          <w:sz w:val="32"/>
          <w:szCs w:val="32"/>
          <w:lang w:val="en-US" w:eastAsia="zh-CN" w:bidi="ar"/>
        </w:rPr>
        <w:t>（一）主要职能</w:t>
      </w:r>
      <w:r>
        <w:rPr>
          <w:rStyle w:val="6"/>
          <w:rFonts w:hint="eastAsia" w:ascii="楷体" w:hAnsi="楷体" w:eastAsia="楷体" w:cs="Arial"/>
          <w:b/>
          <w:kern w:val="0"/>
          <w:sz w:val="32"/>
          <w:szCs w:val="32"/>
          <w:lang w:val="en-US" w:eastAsia="zh-CN" w:bidi="ar"/>
        </w:rPr>
        <w:t xml:space="preserve"> </w:t>
      </w:r>
    </w:p>
    <w:p>
      <w:pPr>
        <w:keepNext w:val="0"/>
        <w:keepLines w:val="0"/>
        <w:widowControl/>
        <w:suppressLineNumbers w:val="0"/>
        <w:adjustRightInd w:val="0"/>
        <w:snapToGrid w:val="0"/>
        <w:spacing w:before="0" w:beforeAutospacing="0" w:after="0" w:afterAutospacing="0" w:line="560" w:lineRule="exact"/>
        <w:ind w:left="0" w:right="0" w:firstLine="588"/>
        <w:jc w:val="left"/>
        <w:rPr>
          <w:rFonts w:hint="eastAsia" w:ascii="仿宋" w:hAnsi="Times New Roman" w:eastAsia="仿宋" w:cs="仿宋"/>
          <w:kern w:val="0"/>
          <w:sz w:val="32"/>
          <w:szCs w:val="32"/>
        </w:rPr>
      </w:pPr>
      <w:r>
        <w:rPr>
          <w:rFonts w:hint="eastAsia" w:ascii="仿宋" w:hAnsi="Times New Roman" w:eastAsia="仿宋" w:cs="仿宋"/>
          <w:kern w:val="0"/>
          <w:sz w:val="32"/>
          <w:szCs w:val="32"/>
          <w:lang w:val="en-US" w:eastAsia="zh-CN" w:bidi="ar"/>
        </w:rPr>
        <w:t>1、</w:t>
      </w:r>
      <w:r>
        <w:rPr>
          <w:rFonts w:hint="eastAsia" w:ascii="仿宋" w:hAnsi="仿宋" w:eastAsia="仿宋" w:cs="仿宋"/>
          <w:kern w:val="0"/>
          <w:sz w:val="32"/>
          <w:szCs w:val="32"/>
          <w:lang w:val="en-US" w:eastAsia="zh-CN" w:bidi="ar"/>
        </w:rPr>
        <w:t>根据市政府授权，依照《中华人民共和国公司法》和《企业国有资产监督管理暂行条例》等法律、法规和市委、市政府有关规定，履行出资人职责。</w:t>
      </w:r>
      <w:r>
        <w:rPr>
          <w:rFonts w:hint="eastAsia" w:ascii="仿宋" w:hAnsi="Times New Roman"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 xml:space="preserve">  </w:t>
      </w:r>
      <w:r>
        <w:rPr>
          <w:rFonts w:hint="eastAsia" w:ascii="仿宋" w:hAnsi="Times New Roman" w:eastAsia="仿宋" w:cs="仿宋"/>
          <w:kern w:val="0"/>
          <w:sz w:val="32"/>
          <w:szCs w:val="32"/>
          <w:lang w:val="en-US" w:eastAsia="zh-CN" w:bidi="ar"/>
        </w:rPr>
        <w:t>2、</w:t>
      </w:r>
      <w:r>
        <w:rPr>
          <w:rFonts w:hint="eastAsia" w:ascii="仿宋" w:hAnsi="仿宋" w:eastAsia="仿宋" w:cs="仿宋"/>
          <w:kern w:val="0"/>
          <w:sz w:val="32"/>
          <w:szCs w:val="32"/>
          <w:lang w:val="en-US" w:eastAsia="zh-CN" w:bidi="ar"/>
        </w:rPr>
        <w:t>指导推进国有企业改革和重组；对监管企业（含企业化管理的事业单位，下同）国有资产的保值增值进行监督，加强国有资产的管理工作；指导和促进国有企业现代企业制度建设，完善公司法人治理结构；推动市属国有经济结构和布局的战略性调整。</w:t>
      </w:r>
      <w:r>
        <w:rPr>
          <w:rFonts w:hint="eastAsia" w:ascii="仿宋" w:hAnsi="Times New Roman"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 xml:space="preserve">  </w:t>
      </w:r>
      <w:r>
        <w:rPr>
          <w:rFonts w:hint="eastAsia" w:ascii="仿宋" w:hAnsi="Times New Roman" w:eastAsia="仿宋" w:cs="仿宋"/>
          <w:kern w:val="0"/>
          <w:sz w:val="32"/>
          <w:szCs w:val="32"/>
          <w:lang w:val="en-US" w:eastAsia="zh-CN" w:bidi="ar"/>
        </w:rPr>
        <w:t>3、</w:t>
      </w:r>
      <w:r>
        <w:rPr>
          <w:rFonts w:hint="eastAsia" w:ascii="仿宋" w:hAnsi="仿宋" w:eastAsia="仿宋" w:cs="仿宋"/>
          <w:kern w:val="0"/>
          <w:sz w:val="32"/>
          <w:szCs w:val="32"/>
          <w:lang w:val="en-US" w:eastAsia="zh-CN" w:bidi="ar"/>
        </w:rPr>
        <w:t>根据市委的规定，依照法定程序对监管企业负责人进行考核、任免并根据其经营业绩进行奖惩；审核监管企业工资总额及主要负责人工资水平，研究制定并组织实施监管企业经营者收入分配政策，配合有关部门做好对企业化管理事业单位收入分配政策和工资水平的制订；建立符合社会主义市场经济体制和现代企业制度要求的选人、用人机制，完善经营者激励和约束制度。</w:t>
      </w:r>
      <w:r>
        <w:rPr>
          <w:rFonts w:hint="eastAsia" w:ascii="仿宋" w:hAnsi="Times New Roman"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 xml:space="preserve"> </w:t>
      </w:r>
      <w:r>
        <w:rPr>
          <w:rFonts w:hint="eastAsia" w:ascii="仿宋" w:hAnsi="Times New Roman" w:eastAsia="仿宋" w:cs="仿宋"/>
          <w:kern w:val="0"/>
          <w:sz w:val="32"/>
          <w:szCs w:val="32"/>
          <w:lang w:val="en-US" w:eastAsia="zh-CN" w:bidi="ar"/>
        </w:rPr>
        <w:t xml:space="preserve">  4、</w:t>
      </w:r>
      <w:r>
        <w:rPr>
          <w:rFonts w:hint="eastAsia" w:ascii="仿宋" w:hAnsi="仿宋" w:eastAsia="仿宋" w:cs="仿宋"/>
          <w:kern w:val="0"/>
          <w:sz w:val="32"/>
          <w:szCs w:val="32"/>
          <w:lang w:val="en-US" w:eastAsia="zh-CN" w:bidi="ar"/>
        </w:rPr>
        <w:t>负责监管企业党的建设工作。</w:t>
      </w:r>
      <w:r>
        <w:rPr>
          <w:rFonts w:hint="eastAsia" w:ascii="仿宋" w:hAnsi="Times New Roman" w:eastAsia="仿宋" w:cs="仿宋"/>
          <w:kern w:val="0"/>
          <w:sz w:val="32"/>
          <w:szCs w:val="32"/>
          <w:lang w:val="en-US" w:eastAsia="zh-CN" w:bidi="ar"/>
        </w:rPr>
        <w:br w:type="textWrapping"/>
      </w:r>
      <w:r>
        <w:rPr>
          <w:rFonts w:hint="eastAsia" w:ascii="仿宋" w:hAnsi="Times New Roman" w:eastAsia="仿宋" w:cs="仿宋"/>
          <w:kern w:val="0"/>
          <w:sz w:val="32"/>
          <w:szCs w:val="32"/>
          <w:lang w:val="en-US" w:eastAsia="zh-CN" w:bidi="ar"/>
        </w:rPr>
        <w:t xml:space="preserve">  </w:t>
      </w:r>
      <w:r>
        <w:rPr>
          <w:rFonts w:hint="eastAsia" w:ascii="仿宋" w:hAnsi="仿宋" w:eastAsia="仿宋" w:cs="仿宋"/>
          <w:kern w:val="0"/>
          <w:sz w:val="32"/>
          <w:szCs w:val="32"/>
          <w:lang w:val="en-US" w:eastAsia="zh-CN" w:bidi="ar"/>
        </w:rPr>
        <w:t xml:space="preserve"> </w:t>
      </w:r>
      <w:r>
        <w:rPr>
          <w:rFonts w:hint="eastAsia" w:ascii="仿宋" w:hAnsi="Times New Roman" w:eastAsia="仿宋" w:cs="仿宋"/>
          <w:kern w:val="0"/>
          <w:sz w:val="32"/>
          <w:szCs w:val="32"/>
          <w:lang w:val="en-US" w:eastAsia="zh-CN" w:bidi="ar"/>
        </w:rPr>
        <w:t>5、</w:t>
      </w:r>
      <w:r>
        <w:rPr>
          <w:rFonts w:hint="eastAsia" w:ascii="仿宋" w:hAnsi="仿宋" w:eastAsia="仿宋" w:cs="仿宋"/>
          <w:kern w:val="0"/>
          <w:sz w:val="32"/>
          <w:szCs w:val="32"/>
          <w:lang w:val="en-US" w:eastAsia="zh-CN" w:bidi="ar"/>
        </w:rPr>
        <w:t>代表市政府向监管全资、控股、参股企业派出监事与财务总监、产权代表与董事，参与企业重大决策，监管国有资产。</w:t>
      </w:r>
      <w:r>
        <w:rPr>
          <w:rFonts w:hint="eastAsia" w:ascii="仿宋" w:hAnsi="Times New Roman" w:eastAsia="仿宋" w:cs="仿宋"/>
          <w:kern w:val="0"/>
          <w:sz w:val="32"/>
          <w:szCs w:val="32"/>
          <w:lang w:val="en-US" w:eastAsia="zh-CN" w:bidi="ar"/>
        </w:rPr>
        <w:br w:type="textWrapping"/>
      </w:r>
      <w:r>
        <w:rPr>
          <w:rFonts w:hint="eastAsia" w:ascii="仿宋" w:hAnsi="Times New Roman" w:eastAsia="仿宋" w:cs="仿宋"/>
          <w:kern w:val="0"/>
          <w:sz w:val="32"/>
          <w:szCs w:val="32"/>
          <w:lang w:val="en-US" w:eastAsia="zh-CN" w:bidi="ar"/>
        </w:rPr>
        <w:t xml:space="preserve">    6、</w:t>
      </w:r>
      <w:r>
        <w:rPr>
          <w:rFonts w:hint="eastAsia" w:ascii="仿宋" w:hAnsi="仿宋" w:eastAsia="仿宋" w:cs="仿宋"/>
          <w:kern w:val="0"/>
          <w:sz w:val="32"/>
          <w:szCs w:val="32"/>
          <w:lang w:val="en-US" w:eastAsia="zh-CN" w:bidi="ar"/>
        </w:rPr>
        <w:t>建立和完善国有资产保值增值指标体系，拟订考核标准和办法；通过统计、稽核，对监管企业国有资产的保值增值情况进行监管；负责对监管企业国有资产进行预算管理，编制国有资本经营预算。</w:t>
      </w:r>
      <w:r>
        <w:rPr>
          <w:rFonts w:hint="eastAsia" w:ascii="仿宋" w:hAnsi="Times New Roman" w:eastAsia="仿宋" w:cs="仿宋"/>
          <w:kern w:val="0"/>
          <w:sz w:val="32"/>
          <w:szCs w:val="32"/>
          <w:lang w:val="en-US" w:eastAsia="zh-CN" w:bidi="ar"/>
        </w:rPr>
        <w:br w:type="textWrapping"/>
      </w:r>
      <w:r>
        <w:rPr>
          <w:rFonts w:hint="eastAsia" w:ascii="仿宋" w:hAnsi="Times New Roman" w:eastAsia="仿宋" w:cs="仿宋"/>
          <w:kern w:val="0"/>
          <w:sz w:val="32"/>
          <w:szCs w:val="32"/>
          <w:lang w:val="en-US" w:eastAsia="zh-CN" w:bidi="ar"/>
        </w:rPr>
        <w:t xml:space="preserve">    7、</w:t>
      </w:r>
      <w:r>
        <w:rPr>
          <w:rFonts w:hint="eastAsia" w:ascii="仿宋" w:hAnsi="仿宋" w:eastAsia="仿宋" w:cs="仿宋"/>
          <w:kern w:val="0"/>
          <w:sz w:val="32"/>
          <w:szCs w:val="32"/>
          <w:lang w:val="en-US" w:eastAsia="zh-CN" w:bidi="ar"/>
        </w:rPr>
        <w:t>负责收缴监管企业国有资本金收益和占用费及产权转让收益，并对资本收益进行监督、管理、调度使用，维护国有资产出资人的权益。</w:t>
      </w:r>
      <w:r>
        <w:rPr>
          <w:rFonts w:hint="eastAsia" w:ascii="仿宋" w:hAnsi="Times New Roman"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 xml:space="preserve">  </w:t>
      </w:r>
      <w:r>
        <w:rPr>
          <w:rFonts w:hint="eastAsia" w:ascii="仿宋" w:hAnsi="Times New Roman" w:eastAsia="仿宋" w:cs="仿宋"/>
          <w:kern w:val="0"/>
          <w:sz w:val="32"/>
          <w:szCs w:val="32"/>
          <w:lang w:val="en-US" w:eastAsia="zh-CN" w:bidi="ar"/>
        </w:rPr>
        <w:t>8、</w:t>
      </w:r>
      <w:r>
        <w:rPr>
          <w:rFonts w:hint="eastAsia" w:ascii="仿宋" w:hAnsi="仿宋" w:eastAsia="仿宋" w:cs="仿宋"/>
          <w:kern w:val="0"/>
          <w:sz w:val="32"/>
          <w:szCs w:val="32"/>
          <w:lang w:val="en-US" w:eastAsia="zh-CN" w:bidi="ar"/>
        </w:rPr>
        <w:t>贯彻执行国家国有资产管理的法律、法规和政策；研究制定国有资产管理的规范性文件和有关规章制度；依法对县（市、区）国有资产管理机构进行指导和监督。</w:t>
      </w:r>
      <w:r>
        <w:rPr>
          <w:rFonts w:hint="eastAsia" w:ascii="仿宋" w:hAnsi="Times New Roman"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 xml:space="preserve">  </w:t>
      </w:r>
      <w:r>
        <w:rPr>
          <w:rFonts w:hint="eastAsia" w:ascii="仿宋" w:hAnsi="Times New Roman" w:eastAsia="仿宋" w:cs="仿宋"/>
          <w:kern w:val="0"/>
          <w:sz w:val="32"/>
          <w:szCs w:val="32"/>
          <w:lang w:val="en-US" w:eastAsia="zh-CN" w:bidi="ar"/>
        </w:rPr>
        <w:t>9、</w:t>
      </w:r>
      <w:r>
        <w:rPr>
          <w:rFonts w:hint="eastAsia" w:ascii="仿宋" w:hAnsi="仿宋" w:eastAsia="仿宋" w:cs="仿宋"/>
          <w:kern w:val="0"/>
          <w:sz w:val="32"/>
          <w:szCs w:val="32"/>
          <w:lang w:val="en-US" w:eastAsia="zh-CN" w:bidi="ar"/>
        </w:rPr>
        <w:t>承办市委、市政府和省国有资产监督管理委员会交办的其他事项。</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Style w:val="6"/>
          <w:rFonts w:hint="eastAsia" w:ascii="楷体" w:hAnsi="楷体" w:eastAsia="楷体" w:cs="楷体"/>
          <w:b/>
          <w:kern w:val="0"/>
          <w:sz w:val="32"/>
          <w:szCs w:val="32"/>
          <w:lang w:val="en-US" w:eastAsia="zh-CN" w:bidi="ar"/>
        </w:rPr>
        <w:t>（二）部门决算单位构成</w:t>
      </w:r>
      <w:r>
        <w:rPr>
          <w:rStyle w:val="6"/>
          <w:rFonts w:hint="eastAsia" w:ascii="楷体" w:hAnsi="楷体" w:eastAsia="楷体" w:cs="Arial"/>
          <w:b/>
          <w:kern w:val="0"/>
          <w:sz w:val="32"/>
          <w:szCs w:val="32"/>
          <w:lang w:val="en-US" w:eastAsia="zh-CN" w:bidi="ar"/>
        </w:rPr>
        <w:t xml:space="preserve"> </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2017年度温州市人民政府国有资产监督管理委员会部门决算包括：本级决算1个行政单位，具体如下：温州市人民政府国有资产监督管理委员本级。</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b/>
          <w:kern w:val="0"/>
          <w:sz w:val="32"/>
          <w:szCs w:val="32"/>
        </w:rPr>
      </w:pPr>
      <w:r>
        <w:rPr>
          <w:rStyle w:val="6"/>
          <w:rFonts w:hint="eastAsia" w:ascii="宋体" w:hAnsi="宋体" w:eastAsia="宋体" w:cs="宋体"/>
          <w:b/>
          <w:kern w:val="0"/>
          <w:sz w:val="32"/>
          <w:szCs w:val="32"/>
          <w:lang w:val="en-US" w:eastAsia="zh-CN" w:bidi="ar"/>
        </w:rPr>
        <w:t xml:space="preserve">二、2017年度部门决算报表 </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bidi="ar"/>
        </w:rPr>
        <w:t>见附件</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Style w:val="6"/>
          <w:rFonts w:hint="eastAsia" w:ascii="宋体" w:hAnsi="宋体" w:eastAsia="宋体" w:cs="宋体"/>
          <w:b/>
          <w:kern w:val="0"/>
          <w:sz w:val="32"/>
          <w:szCs w:val="32"/>
          <w:lang w:val="en-US" w:eastAsia="zh-CN" w:bidi="ar"/>
        </w:rPr>
        <w:t xml:space="preserve">三、2017年度部门决算情况说明 </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Style w:val="6"/>
          <w:rFonts w:hint="eastAsia" w:ascii="楷体" w:hAnsi="楷体" w:eastAsia="楷体" w:cs="楷体"/>
          <w:b/>
          <w:kern w:val="0"/>
          <w:sz w:val="32"/>
          <w:szCs w:val="32"/>
          <w:lang w:val="en-US" w:eastAsia="zh-CN" w:bidi="ar"/>
        </w:rPr>
        <w:t>（一）收入支出决算总体情况</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1、2017年度收入总计2,313.37万元,具体情况如下：</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（1）财政拨款收入2,304.83万元，较上年增加121.36万元，增长5.56%，主要原因是人员经费增加。</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（2）其他收入0.76万元，较上年增加0.17万元，增长28.00%,主要原因是基本户利息增加。</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（3）年初结转和结余7.78万元，较上年减少75.18万元，下降90.62%,主要原因是社保经费减少。</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2、2017年度支出总计2,313.37万元，具体情况如下：</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（1）206</w:t>
      </w:r>
      <w:r>
        <w:rPr>
          <w:rFonts w:hint="eastAsia" w:ascii="仿宋" w:hAnsi="仿宋" w:eastAsia="仿宋" w:cs="仿宋"/>
          <w:kern w:val="0"/>
          <w:sz w:val="32"/>
          <w:szCs w:val="32"/>
          <w:shd w:val="clear"/>
          <w:lang w:val="en-US" w:eastAsia="zh-CN" w:bidi="ar"/>
        </w:rPr>
        <w:t>科学技术支出</w:t>
      </w:r>
      <w:r>
        <w:rPr>
          <w:rFonts w:hint="eastAsia" w:ascii="仿宋" w:hAnsi="仿宋" w:eastAsia="仿宋" w:cs="仿宋"/>
          <w:kern w:val="0"/>
          <w:sz w:val="32"/>
          <w:szCs w:val="32"/>
          <w:lang w:val="en-US" w:eastAsia="zh-CN" w:bidi="ar"/>
        </w:rPr>
        <w:t>4.90 万元，主要用于国资监管信息化项目支出。较上年增加4.90万元，主要原因是国资监管信息化项目支出增加。</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bidi="ar"/>
        </w:rPr>
        <w:t>（2）208用于社会保障和就业支出3万元，主要委机关和下属事业单位人员基本养老保险和职业年金缴费支出。较上年增加3万元，主要原因是机关事业单位基本养老保险和职业年金缴费支出增加。</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（3）210</w:t>
      </w:r>
      <w:r>
        <w:rPr>
          <w:rFonts w:hint="eastAsia" w:ascii="仿宋" w:hAnsi="仿宋" w:eastAsia="仿宋" w:cs="仿宋"/>
          <w:color w:val="000000"/>
          <w:kern w:val="0"/>
          <w:sz w:val="32"/>
          <w:szCs w:val="32"/>
          <w:lang w:val="en-US" w:eastAsia="zh-CN" w:bidi="ar"/>
        </w:rPr>
        <w:t>医疗卫生与计划生育支出</w:t>
      </w:r>
      <w:r>
        <w:rPr>
          <w:rFonts w:hint="eastAsia" w:ascii="仿宋" w:hAnsi="仿宋" w:eastAsia="仿宋" w:cs="仿宋"/>
          <w:kern w:val="0"/>
          <w:sz w:val="32"/>
          <w:szCs w:val="32"/>
          <w:lang w:val="en-US" w:eastAsia="zh-CN" w:bidi="ar"/>
        </w:rPr>
        <w:t>57.94万元，主要用于委机关和下属事业单位人员医疗费用支出。较上年减少0.09万元，下降0.02%。</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Times New Roman" w:eastAsia="仿宋" w:cs="仿宋"/>
          <w:color w:val="000000"/>
          <w:kern w:val="0"/>
          <w:sz w:val="32"/>
          <w:szCs w:val="32"/>
        </w:rPr>
      </w:pPr>
      <w:r>
        <w:rPr>
          <w:rFonts w:hint="eastAsia" w:ascii="仿宋" w:hAnsi="仿宋" w:eastAsia="仿宋" w:cs="仿宋"/>
          <w:kern w:val="0"/>
          <w:sz w:val="32"/>
          <w:szCs w:val="32"/>
          <w:lang w:val="en-US" w:eastAsia="zh-CN" w:bidi="ar"/>
        </w:rPr>
        <w:t>（4）</w:t>
      </w:r>
      <w:r>
        <w:rPr>
          <w:rFonts w:hint="eastAsia" w:ascii="仿宋" w:hAnsi="Times New Roman" w:eastAsia="仿宋" w:cs="仿宋"/>
          <w:color w:val="000000"/>
          <w:kern w:val="0"/>
          <w:sz w:val="32"/>
          <w:szCs w:val="32"/>
          <w:lang w:val="en-US" w:eastAsia="zh-CN" w:bidi="ar"/>
        </w:rPr>
        <w:t>215</w:t>
      </w:r>
      <w:r>
        <w:rPr>
          <w:rFonts w:hint="eastAsia" w:ascii="仿宋" w:hAnsi="仿宋" w:eastAsia="仿宋" w:cs="仿宋"/>
          <w:color w:val="000000"/>
          <w:kern w:val="0"/>
          <w:sz w:val="32"/>
          <w:szCs w:val="32"/>
          <w:lang w:val="en-US" w:eastAsia="zh-CN" w:bidi="ar"/>
        </w:rPr>
        <w:t>资源勘探信息等支出</w:t>
      </w:r>
      <w:r>
        <w:rPr>
          <w:rFonts w:hint="eastAsia" w:ascii="仿宋" w:hAnsi="Times New Roman" w:eastAsia="仿宋" w:cs="仿宋"/>
          <w:color w:val="000000"/>
          <w:kern w:val="0"/>
          <w:sz w:val="32"/>
          <w:szCs w:val="32"/>
          <w:lang w:val="en-US" w:eastAsia="zh-CN" w:bidi="ar"/>
        </w:rPr>
        <w:t>1996.34</w:t>
      </w:r>
      <w:r>
        <w:rPr>
          <w:rFonts w:hint="eastAsia" w:ascii="仿宋" w:hAnsi="仿宋" w:eastAsia="仿宋" w:cs="仿宋"/>
          <w:color w:val="000000"/>
          <w:kern w:val="0"/>
          <w:sz w:val="32"/>
          <w:szCs w:val="32"/>
          <w:lang w:val="en-US" w:eastAsia="zh-CN" w:bidi="ar"/>
        </w:rPr>
        <w:t>万元，主要用于国有资产监管经费支出。较上年减少</w:t>
      </w:r>
      <w:r>
        <w:rPr>
          <w:rFonts w:hint="eastAsia" w:ascii="仿宋" w:hAnsi="Times New Roman" w:eastAsia="仿宋" w:cs="仿宋"/>
          <w:color w:val="000000"/>
          <w:kern w:val="0"/>
          <w:sz w:val="32"/>
          <w:szCs w:val="32"/>
          <w:lang w:val="en-US" w:eastAsia="zh-CN" w:bidi="ar"/>
        </w:rPr>
        <w:t>101.26</w:t>
      </w:r>
      <w:r>
        <w:rPr>
          <w:rFonts w:hint="eastAsia" w:ascii="仿宋" w:hAnsi="仿宋" w:eastAsia="仿宋" w:cs="仿宋"/>
          <w:color w:val="000000"/>
          <w:kern w:val="0"/>
          <w:sz w:val="32"/>
          <w:szCs w:val="32"/>
          <w:lang w:val="en-US" w:eastAsia="zh-CN" w:bidi="ar"/>
        </w:rPr>
        <w:t>万元，下降</w:t>
      </w:r>
      <w:r>
        <w:rPr>
          <w:rFonts w:hint="eastAsia" w:ascii="仿宋" w:hAnsi="Times New Roman" w:eastAsia="仿宋" w:cs="仿宋"/>
          <w:color w:val="000000"/>
          <w:kern w:val="0"/>
          <w:sz w:val="32"/>
          <w:szCs w:val="32"/>
          <w:lang w:val="en-US" w:eastAsia="zh-CN" w:bidi="ar"/>
        </w:rPr>
        <w:t>4.84%，主要原因</w:t>
      </w:r>
      <w:r>
        <w:rPr>
          <w:rFonts w:hint="eastAsia" w:ascii="仿宋" w:hAnsi="仿宋" w:eastAsia="仿宋" w:cs="仿宋"/>
          <w:color w:val="000000"/>
          <w:kern w:val="0"/>
          <w:sz w:val="32"/>
          <w:szCs w:val="32"/>
          <w:lang w:val="en-US" w:eastAsia="zh-CN" w:bidi="ar"/>
        </w:rPr>
        <w:t>是项目经费减少。</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Times New Roman" w:eastAsia="仿宋" w:cs="仿宋"/>
          <w:color w:val="000000"/>
          <w:kern w:val="0"/>
          <w:sz w:val="32"/>
          <w:szCs w:val="32"/>
        </w:rPr>
      </w:pPr>
      <w:r>
        <w:rPr>
          <w:rFonts w:hint="eastAsia" w:ascii="仿宋" w:hAnsi="仿宋" w:eastAsia="仿宋" w:cs="仿宋"/>
          <w:color w:val="000000"/>
          <w:kern w:val="0"/>
          <w:sz w:val="32"/>
          <w:szCs w:val="32"/>
          <w:lang w:val="en-US" w:eastAsia="zh-CN" w:bidi="ar"/>
        </w:rPr>
        <w:t>（</w:t>
      </w:r>
      <w:r>
        <w:rPr>
          <w:rFonts w:hint="eastAsia" w:ascii="仿宋" w:hAnsi="Times New Roman"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w:t>
      </w:r>
      <w:r>
        <w:rPr>
          <w:rFonts w:hint="eastAsia" w:ascii="仿宋" w:hAnsi="Times New Roman" w:eastAsia="仿宋" w:cs="仿宋"/>
          <w:color w:val="000000"/>
          <w:kern w:val="0"/>
          <w:sz w:val="32"/>
          <w:szCs w:val="32"/>
          <w:lang w:val="en-US" w:eastAsia="zh-CN" w:bidi="ar"/>
        </w:rPr>
        <w:t>221</w:t>
      </w:r>
      <w:r>
        <w:rPr>
          <w:rFonts w:hint="eastAsia" w:ascii="仿宋" w:hAnsi="仿宋" w:eastAsia="仿宋" w:cs="仿宋"/>
          <w:color w:val="000000"/>
          <w:kern w:val="0"/>
          <w:sz w:val="32"/>
          <w:szCs w:val="32"/>
          <w:lang w:val="en-US" w:eastAsia="zh-CN" w:bidi="ar"/>
        </w:rPr>
        <w:t>住房保障支出</w:t>
      </w:r>
      <w:r>
        <w:rPr>
          <w:rFonts w:hint="eastAsia" w:ascii="仿宋" w:hAnsi="Times New Roman" w:eastAsia="仿宋" w:cs="仿宋"/>
          <w:color w:val="000000"/>
          <w:kern w:val="0"/>
          <w:sz w:val="32"/>
          <w:szCs w:val="32"/>
          <w:lang w:val="en-US" w:eastAsia="zh-CN" w:bidi="ar"/>
        </w:rPr>
        <w:t>109.48</w:t>
      </w:r>
      <w:r>
        <w:rPr>
          <w:rFonts w:hint="eastAsia" w:ascii="仿宋" w:hAnsi="仿宋" w:eastAsia="仿宋" w:cs="仿宋"/>
          <w:color w:val="000000"/>
          <w:kern w:val="0"/>
          <w:sz w:val="32"/>
          <w:szCs w:val="32"/>
          <w:lang w:val="en-US" w:eastAsia="zh-CN" w:bidi="ar"/>
        </w:rPr>
        <w:t>万元，主要用于</w:t>
      </w:r>
      <w:r>
        <w:rPr>
          <w:rFonts w:hint="eastAsia" w:ascii="仿宋" w:hAnsi="仿宋" w:eastAsia="仿宋" w:cs="仿宋"/>
          <w:kern w:val="0"/>
          <w:sz w:val="32"/>
          <w:szCs w:val="32"/>
          <w:lang w:val="en-US" w:eastAsia="zh-CN" w:bidi="ar"/>
        </w:rPr>
        <w:t>委机关和下属事业单位人员住房保障支出</w:t>
      </w:r>
      <w:r>
        <w:rPr>
          <w:rFonts w:hint="eastAsia" w:ascii="仿宋" w:hAnsi="仿宋" w:eastAsia="仿宋" w:cs="仿宋"/>
          <w:color w:val="000000"/>
          <w:kern w:val="0"/>
          <w:sz w:val="32"/>
          <w:szCs w:val="32"/>
          <w:lang w:val="en-US" w:eastAsia="zh-CN" w:bidi="ar"/>
        </w:rPr>
        <w:t>。较上年增加</w:t>
      </w:r>
      <w:r>
        <w:rPr>
          <w:rFonts w:hint="eastAsia" w:ascii="仿宋" w:hAnsi="Times New Roman" w:eastAsia="仿宋" w:cs="仿宋"/>
          <w:color w:val="000000"/>
          <w:kern w:val="0"/>
          <w:sz w:val="32"/>
          <w:szCs w:val="32"/>
          <w:lang w:val="en-US" w:eastAsia="zh-CN" w:bidi="ar"/>
        </w:rPr>
        <w:t>10.56</w:t>
      </w:r>
      <w:r>
        <w:rPr>
          <w:rFonts w:hint="eastAsia" w:ascii="仿宋" w:hAnsi="仿宋" w:eastAsia="仿宋" w:cs="仿宋"/>
          <w:color w:val="000000"/>
          <w:kern w:val="0"/>
          <w:sz w:val="32"/>
          <w:szCs w:val="32"/>
          <w:lang w:val="en-US" w:eastAsia="zh-CN" w:bidi="ar"/>
        </w:rPr>
        <w:t>万元，增长</w:t>
      </w:r>
      <w:r>
        <w:rPr>
          <w:rFonts w:hint="eastAsia" w:ascii="仿宋" w:hAnsi="Times New Roman" w:eastAsia="仿宋" w:cs="仿宋"/>
          <w:color w:val="000000"/>
          <w:kern w:val="0"/>
          <w:sz w:val="32"/>
          <w:szCs w:val="32"/>
          <w:lang w:val="en-US" w:eastAsia="zh-CN" w:bidi="ar"/>
        </w:rPr>
        <w:t>10.68%，主要原因</w:t>
      </w:r>
      <w:r>
        <w:rPr>
          <w:rFonts w:hint="eastAsia" w:ascii="仿宋" w:hAnsi="仿宋" w:eastAsia="仿宋" w:cs="仿宋"/>
          <w:color w:val="000000"/>
          <w:kern w:val="0"/>
          <w:sz w:val="32"/>
          <w:szCs w:val="32"/>
          <w:lang w:val="en-US" w:eastAsia="zh-CN" w:bidi="ar"/>
        </w:rPr>
        <w:t>是缴费额度调高。</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Times New Roman" w:eastAsia="仿宋" w:cs="仿宋"/>
          <w:color w:val="000000"/>
          <w:kern w:val="0"/>
          <w:sz w:val="32"/>
          <w:szCs w:val="32"/>
        </w:rPr>
      </w:pPr>
      <w:r>
        <w:rPr>
          <w:rFonts w:hint="eastAsia" w:ascii="仿宋" w:hAnsi="仿宋" w:eastAsia="仿宋" w:cs="仿宋"/>
          <w:color w:val="000000"/>
          <w:kern w:val="0"/>
          <w:sz w:val="32"/>
          <w:szCs w:val="32"/>
          <w:lang w:val="en-US" w:eastAsia="zh-CN" w:bidi="ar"/>
        </w:rPr>
        <w:t>（</w:t>
      </w:r>
      <w:r>
        <w:rPr>
          <w:rFonts w:hint="eastAsia" w:ascii="仿宋" w:hAnsi="Times New Roman" w:eastAsia="仿宋" w:cs="仿宋"/>
          <w:color w:val="000000"/>
          <w:kern w:val="0"/>
          <w:sz w:val="32"/>
          <w:szCs w:val="32"/>
          <w:lang w:val="en-US" w:eastAsia="zh-CN" w:bidi="ar"/>
        </w:rPr>
        <w:t>6）229</w:t>
      </w:r>
      <w:r>
        <w:rPr>
          <w:rFonts w:hint="eastAsia" w:ascii="仿宋" w:hAnsi="仿宋" w:eastAsia="仿宋" w:cs="仿宋"/>
          <w:color w:val="000000"/>
          <w:kern w:val="0"/>
          <w:sz w:val="32"/>
          <w:szCs w:val="32"/>
          <w:lang w:val="en-US" w:eastAsia="zh-CN" w:bidi="ar"/>
        </w:rPr>
        <w:t>其他支出</w:t>
      </w:r>
      <w:r>
        <w:rPr>
          <w:rFonts w:hint="eastAsia" w:ascii="仿宋" w:hAnsi="Times New Roman" w:eastAsia="仿宋" w:cs="仿宋"/>
          <w:color w:val="000000"/>
          <w:kern w:val="0"/>
          <w:sz w:val="32"/>
          <w:szCs w:val="32"/>
          <w:lang w:val="en-US" w:eastAsia="zh-CN" w:bidi="ar"/>
        </w:rPr>
        <w:t>138.07</w:t>
      </w:r>
      <w:r>
        <w:rPr>
          <w:rFonts w:hint="eastAsia" w:ascii="仿宋" w:hAnsi="仿宋" w:eastAsia="仿宋" w:cs="仿宋"/>
          <w:color w:val="000000"/>
          <w:kern w:val="0"/>
          <w:sz w:val="32"/>
          <w:szCs w:val="32"/>
          <w:lang w:val="en-US" w:eastAsia="zh-CN" w:bidi="ar"/>
        </w:rPr>
        <w:t>万元，主要用于</w:t>
      </w:r>
      <w:r>
        <w:rPr>
          <w:rFonts w:hint="eastAsia" w:ascii="仿宋" w:hAnsi="仿宋" w:eastAsia="仿宋" w:cs="仿宋"/>
          <w:kern w:val="0"/>
          <w:sz w:val="32"/>
          <w:szCs w:val="32"/>
          <w:lang w:val="en-US" w:eastAsia="zh-CN" w:bidi="ar"/>
        </w:rPr>
        <w:t>委机关和下属事业单位人员经费支出</w:t>
      </w:r>
      <w:r>
        <w:rPr>
          <w:rFonts w:hint="eastAsia" w:ascii="仿宋" w:hAnsi="仿宋" w:eastAsia="仿宋" w:cs="仿宋"/>
          <w:color w:val="000000"/>
          <w:kern w:val="0"/>
          <w:sz w:val="32"/>
          <w:szCs w:val="32"/>
          <w:lang w:val="en-US" w:eastAsia="zh-CN" w:bidi="ar"/>
        </w:rPr>
        <w:t>。较上年增加</w:t>
      </w:r>
      <w:r>
        <w:rPr>
          <w:rFonts w:hint="eastAsia" w:ascii="仿宋" w:hAnsi="Times New Roman" w:eastAsia="仿宋" w:cs="仿宋"/>
          <w:color w:val="000000"/>
          <w:kern w:val="0"/>
          <w:sz w:val="32"/>
          <w:szCs w:val="32"/>
          <w:lang w:val="en-US" w:eastAsia="zh-CN" w:bidi="ar"/>
        </w:rPr>
        <w:t>138.07</w:t>
      </w:r>
      <w:r>
        <w:rPr>
          <w:rFonts w:hint="eastAsia" w:ascii="仿宋" w:hAnsi="仿宋" w:eastAsia="仿宋" w:cs="仿宋"/>
          <w:color w:val="000000"/>
          <w:kern w:val="0"/>
          <w:sz w:val="32"/>
          <w:szCs w:val="32"/>
          <w:lang w:val="en-US" w:eastAsia="zh-CN" w:bidi="ar"/>
        </w:rPr>
        <w:t>万元，主要原因是人员经费增加。</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（7）年末结转和结余3.64万元，主要是历年银行利息。较上年减少8.46万元，下降69.93%，主要原因是项目支出结转和结余减少。</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Style w:val="6"/>
          <w:rFonts w:hint="eastAsia" w:ascii="楷体" w:hAnsi="楷体" w:eastAsia="楷体" w:cs="楷体"/>
          <w:b/>
          <w:kern w:val="0"/>
          <w:sz w:val="32"/>
          <w:szCs w:val="32"/>
          <w:lang w:val="en-US" w:eastAsia="zh-CN" w:bidi="ar"/>
        </w:rPr>
        <w:t>（二）本年收入决算情况</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2017年度本年收入合计2,305.59万元，其中：财政拨款2,304.83万元，占99.97%；其他收入0.76万元，占0.03%。</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Style w:val="6"/>
          <w:rFonts w:hint="eastAsia" w:ascii="楷体" w:hAnsi="楷体" w:eastAsia="楷体" w:cs="楷体"/>
          <w:b/>
          <w:kern w:val="0"/>
          <w:sz w:val="32"/>
          <w:szCs w:val="32"/>
          <w:lang w:val="en-US" w:eastAsia="zh-CN" w:bidi="ar"/>
        </w:rPr>
        <w:t>（三）本年支出决算情况</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2017年度本年支出合计2,309.73万元，其中：基本支出1,731.17万元，占74.95%；项目支出578.57万元，占25.05%。</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Style w:val="6"/>
          <w:rFonts w:hint="eastAsia" w:ascii="楷体" w:hAnsi="楷体" w:eastAsia="楷体" w:cs="楷体"/>
          <w:b/>
          <w:kern w:val="0"/>
          <w:sz w:val="32"/>
          <w:szCs w:val="32"/>
          <w:lang w:val="en-US" w:eastAsia="zh-CN" w:bidi="ar"/>
        </w:rPr>
        <w:t>（四）财政拨款收入支出决算情况</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2017年度财政拨款收入总计2,309.73万元，支出总计2,309.73万元，与上年相比，财政拨款收、支总计各增45.59万元，增长2.01%，主要原因是人员支出增加。</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楷体" w:hAnsi="楷体" w:eastAsia="楷体" w:cs="Arial"/>
          <w:b/>
          <w:kern w:val="0"/>
          <w:sz w:val="32"/>
          <w:szCs w:val="32"/>
        </w:rPr>
      </w:pPr>
      <w:r>
        <w:rPr>
          <w:rStyle w:val="6"/>
          <w:rFonts w:hint="eastAsia" w:ascii="楷体" w:hAnsi="楷体" w:eastAsia="楷体" w:cs="楷体"/>
          <w:b/>
          <w:kern w:val="0"/>
          <w:sz w:val="32"/>
          <w:szCs w:val="32"/>
          <w:lang w:val="en-US" w:eastAsia="zh-CN" w:bidi="ar"/>
        </w:rPr>
        <w:t>（五）一般公共预算财政拨款支出情况</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2017年度部门决算一般公共预算财政拨款支出决算2,171.66万元，比年初预算增加112.07万元，增长5.44%。具体情况如下：</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1．2069999其他科学技术支出4.90 万元，比年初预算增加4.90万元。主要是上年结转和结余支出。</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bidi="ar"/>
        </w:rPr>
        <w:t>2．2080505机关事业单位基本养老保险缴费支出2.00万元，比年初预算增加2.00万元。主要是机关事业单位基本养老保险缴费支出增加。</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bidi="ar"/>
        </w:rPr>
        <w:t>3．2080506机关事业单位职业年金缴费支出1.00万元，比年初预算增加1.00万元。主要是机关事业单位职业年金缴费支出增加。</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bidi="ar"/>
        </w:rPr>
        <w:t>4．2101101行政单位医疗支出57.94万元，与年初预算持平。</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bidi="ar"/>
        </w:rPr>
        <w:t xml:space="preserve">5．2150701国有资产监管行政运行支出1422.67万元，比年初预算增加95.86万元，增长7.22%。主要是人员经费支出增加。   </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bidi="ar"/>
        </w:rPr>
        <w:t>6．2150702国有资产监管一般行政管理事务支出573.67万元，比年初预算减少9.27万元，下降1.59%。主要是部分项目经费有结余。</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bidi="ar"/>
        </w:rPr>
        <w:t>7．2210201住房公积金支出99.44万元，比年初预算增加14.34万元，增长16.85%。主要是人员增加。</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bidi="ar"/>
        </w:rPr>
        <w:t>8．2210203购房补贴支出10.03万元，比年初预算增加3.23万元，增长47.50%。主要是人员增加。</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Style w:val="6"/>
          <w:rFonts w:hint="eastAsia" w:ascii="楷体" w:hAnsi="楷体" w:eastAsia="楷体" w:cs="楷体"/>
          <w:b/>
          <w:kern w:val="0"/>
          <w:sz w:val="32"/>
          <w:szCs w:val="32"/>
          <w:lang w:val="en-US" w:eastAsia="zh-CN" w:bidi="ar"/>
        </w:rPr>
        <w:t>（六）一般公共预算财政拨款基本支出情况</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2017年度度一般公共预算财政拨款基本支出1,593.09万元。其中：人员经费1,405.85万元，包括</w:t>
      </w:r>
      <w:r>
        <w:rPr>
          <w:rFonts w:hint="eastAsia" w:ascii="仿宋" w:hAnsi="仿宋" w:eastAsia="仿宋" w:cs="仿宋"/>
          <w:color w:val="000000"/>
          <w:kern w:val="0"/>
          <w:sz w:val="32"/>
          <w:szCs w:val="32"/>
          <w:lang w:val="en-US" w:eastAsia="zh-CN" w:bidi="ar"/>
        </w:rPr>
        <w:t>工资福利支出、社会保障支出</w:t>
      </w:r>
      <w:r>
        <w:rPr>
          <w:rFonts w:hint="eastAsia" w:ascii="仿宋" w:hAnsi="仿宋" w:eastAsia="仿宋" w:cs="仿宋"/>
          <w:kern w:val="0"/>
          <w:sz w:val="32"/>
          <w:szCs w:val="32"/>
          <w:lang w:val="en-US" w:eastAsia="zh-CN" w:bidi="ar"/>
        </w:rPr>
        <w:t>；公用经费187.24万元，包括</w:t>
      </w:r>
      <w:r>
        <w:rPr>
          <w:rFonts w:hint="eastAsia" w:ascii="仿宋" w:hAnsi="仿宋" w:eastAsia="仿宋" w:cs="仿宋"/>
          <w:color w:val="000000"/>
          <w:kern w:val="0"/>
          <w:sz w:val="32"/>
          <w:szCs w:val="32"/>
          <w:lang w:val="en-US" w:eastAsia="zh-CN" w:bidi="ar"/>
        </w:rPr>
        <w:t>商品和服务支出、对个人和家庭的补助支出</w:t>
      </w:r>
      <w:r>
        <w:rPr>
          <w:rFonts w:hint="eastAsia" w:ascii="仿宋" w:hAnsi="仿宋" w:eastAsia="仿宋" w:cs="仿宋"/>
          <w:kern w:val="0"/>
          <w:sz w:val="32"/>
          <w:szCs w:val="32"/>
          <w:lang w:val="en-US" w:eastAsia="zh-CN" w:bidi="ar"/>
        </w:rPr>
        <w:t>。</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楷体" w:hAnsi="楷体" w:eastAsia="楷体" w:cs="Arial"/>
          <w:b/>
          <w:kern w:val="0"/>
          <w:sz w:val="32"/>
          <w:szCs w:val="32"/>
        </w:rPr>
      </w:pPr>
      <w:r>
        <w:rPr>
          <w:rStyle w:val="6"/>
          <w:rFonts w:hint="eastAsia" w:ascii="楷体" w:hAnsi="楷体" w:eastAsia="楷体" w:cs="楷体"/>
          <w:b/>
          <w:kern w:val="0"/>
          <w:sz w:val="32"/>
          <w:szCs w:val="32"/>
          <w:lang w:val="en-US" w:eastAsia="zh-CN" w:bidi="ar"/>
        </w:rPr>
        <w:t>（七）政府性基金预算财政拨款收入支出情况</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2017年度政府性基金预算年初结转0万元，本年收入138.08万元，本年支出138.08万元，年末结转0万元。支出具体情况如下：</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1．2290400其他政府性基金及对应专项债务收入安排的支出138.08万元。比年初预算增加138.08万元。主要是人员经费增加。</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Style w:val="6"/>
          <w:rFonts w:hint="eastAsia" w:ascii="楷体" w:hAnsi="楷体" w:eastAsia="楷体" w:cs="楷体"/>
          <w:b/>
          <w:kern w:val="0"/>
          <w:sz w:val="32"/>
          <w:szCs w:val="32"/>
          <w:lang w:val="en-US" w:eastAsia="zh-CN" w:bidi="ar"/>
        </w:rPr>
        <w:t>（八）一般公共预算</w:t>
      </w:r>
      <w:r>
        <w:rPr>
          <w:rStyle w:val="6"/>
          <w:rFonts w:hint="eastAsia" w:ascii="楷体" w:hAnsi="楷体" w:eastAsia="楷体" w:cs="Arial"/>
          <w:b/>
          <w:kern w:val="0"/>
          <w:sz w:val="32"/>
          <w:szCs w:val="32"/>
          <w:lang w:val="en-US" w:eastAsia="zh-CN" w:bidi="ar"/>
        </w:rPr>
        <w:t xml:space="preserve"> “三公”经费决算情况 </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1.因公出国（境）费用：根据外事部门安排的因公出国计划和实际工作需要，2017年度一般公共预算财政拨款因公出国（境）支出0.96万元，比年初预算减少3.04万元，下降76.06%，主要原因是出国（境）人员比计划少；比上年决算数增加0.96万元，增长100%，主要原因是2017年度有1人出访香港，2016年无人出国（境）。因公出国（境）费用主要用于机关人员公务出国（境）的住宿费、国际旅费、培训费、公杂费等支出。本部门全年组织因公出国(境)团组0个；本部门全年因公出国(境)累计1人次。</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2.公务接待费：2017年度一般公共预算财政拨款公务接待费支出 0.47万元，比年初预算减少5.03万元，下降91.41%，主要原因是来访单位比预算中的少；比上年决算数减少0.47万元，下降50.13%，减少的主要原因是来访单位比上年少。公务接待费主要用于接待其他地区来访单位等支出。其中，本部门国内公务接待4批次，23人次，支出0.47万元；国（境）外事接待0批次，0人次，支出0万元。</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3.公务用车购置及运行维护费：2017年度一般公共预算财政拨款公务用车购置及运行维护费支出0万元，与年初预算持平；与上年决算数持平。具体内容如下：</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highlight w:val="none"/>
          <w:lang w:val="en-US" w:eastAsia="zh-CN" w:bidi="ar"/>
        </w:rPr>
      </w:pPr>
      <w:r>
        <w:rPr>
          <w:rFonts w:hint="eastAsia" w:ascii="仿宋" w:hAnsi="仿宋" w:eastAsia="仿宋" w:cs="仿宋"/>
          <w:kern w:val="0"/>
          <w:sz w:val="32"/>
          <w:szCs w:val="32"/>
          <w:highlight w:val="none"/>
          <w:lang w:val="en-US" w:eastAsia="zh-CN" w:bidi="ar"/>
        </w:rPr>
        <w:t>公务用车购置支出0万元（含购置税等附加费用）</w:t>
      </w:r>
      <w:r>
        <w:rPr>
          <w:rFonts w:hint="eastAsia" w:ascii="仿宋" w:hAnsi="Times New Roman" w:eastAsia="仿宋" w:cs="仿宋"/>
          <w:kern w:val="0"/>
          <w:sz w:val="32"/>
          <w:szCs w:val="32"/>
          <w:highlight w:val="none"/>
        </w:rPr>
        <w:t>，主要用于经批准购置的</w:t>
      </w:r>
      <w:r>
        <w:rPr>
          <w:rFonts w:hint="eastAsia" w:ascii="仿宋" w:hAnsi="Times New Roman" w:eastAsia="仿宋" w:cs="仿宋"/>
          <w:kern w:val="0"/>
          <w:sz w:val="32"/>
          <w:szCs w:val="32"/>
          <w:highlight w:val="none"/>
          <w:lang w:val="en-US" w:eastAsia="zh-CN"/>
        </w:rPr>
        <w:t>0</w:t>
      </w:r>
      <w:r>
        <w:rPr>
          <w:rFonts w:hint="eastAsia" w:ascii="仿宋" w:hAnsi="Times New Roman" w:eastAsia="仿宋" w:cs="仿宋"/>
          <w:kern w:val="0"/>
          <w:sz w:val="32"/>
          <w:szCs w:val="32"/>
          <w:highlight w:val="none"/>
        </w:rPr>
        <w:t>辆公务用车</w:t>
      </w:r>
      <w:r>
        <w:rPr>
          <w:rFonts w:hint="eastAsia" w:ascii="仿宋" w:hAnsi="仿宋" w:eastAsia="仿宋" w:cs="仿宋"/>
          <w:kern w:val="0"/>
          <w:sz w:val="32"/>
          <w:szCs w:val="32"/>
          <w:highlight w:val="none"/>
          <w:lang w:val="en-US" w:eastAsia="zh-CN" w:bidi="ar"/>
        </w:rPr>
        <w:t>。</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color w:val="FF0000"/>
          <w:kern w:val="0"/>
          <w:sz w:val="32"/>
          <w:szCs w:val="32"/>
          <w:lang w:val="en-US" w:eastAsia="zh-CN" w:bidi="ar"/>
        </w:rPr>
      </w:pPr>
      <w:r>
        <w:rPr>
          <w:rFonts w:hint="eastAsia" w:ascii="仿宋" w:hAnsi="仿宋" w:eastAsia="仿宋" w:cs="仿宋"/>
          <w:kern w:val="0"/>
          <w:sz w:val="32"/>
          <w:szCs w:val="32"/>
          <w:lang w:val="en-US" w:eastAsia="zh-CN" w:bidi="ar"/>
        </w:rPr>
        <w:t>公务用车运行维护费支出0万元。2017年度，本级及所属单位使用一般公共预算资金开支费用的</w:t>
      </w:r>
      <w:r>
        <w:rPr>
          <w:rFonts w:hint="eastAsia" w:ascii="仿宋" w:hAnsi="仿宋" w:eastAsia="仿宋" w:cs="仿宋"/>
          <w:kern w:val="0"/>
          <w:sz w:val="32"/>
          <w:szCs w:val="32"/>
          <w:lang w:val="zh-CN" w:eastAsia="zh-CN" w:bidi="ar"/>
        </w:rPr>
        <w:t>公务用车保有量为</w:t>
      </w:r>
      <w:r>
        <w:rPr>
          <w:rFonts w:hint="eastAsia" w:ascii="仿宋" w:hAnsi="仿宋" w:eastAsia="仿宋" w:cs="仿宋"/>
          <w:kern w:val="0"/>
          <w:sz w:val="32"/>
          <w:szCs w:val="32"/>
          <w:lang w:val="en-US" w:eastAsia="zh-CN" w:bidi="ar"/>
        </w:rPr>
        <w:t>0辆。</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Style w:val="6"/>
          <w:rFonts w:hint="eastAsia" w:ascii="楷体" w:hAnsi="楷体" w:eastAsia="楷体" w:cs="楷体"/>
          <w:b/>
          <w:kern w:val="0"/>
          <w:sz w:val="32"/>
          <w:szCs w:val="32"/>
          <w:lang w:val="en-US" w:eastAsia="zh-CN" w:bidi="ar"/>
        </w:rPr>
        <w:t>（九）其他重要事项情况说明</w:t>
      </w:r>
      <w:r>
        <w:rPr>
          <w:rStyle w:val="6"/>
          <w:rFonts w:hint="eastAsia" w:ascii="楷体" w:hAnsi="楷体" w:eastAsia="楷体" w:cs="Arial"/>
          <w:b/>
          <w:kern w:val="0"/>
          <w:sz w:val="32"/>
          <w:szCs w:val="32"/>
          <w:lang w:val="en-US" w:eastAsia="zh-CN" w:bidi="ar"/>
        </w:rPr>
        <w:t xml:space="preserve"> </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1、机关运行经费支出情况</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2017年度温州市国资委机关等1家行政单位的机关运行经费支出187.24万元，比上年减少2.64万元，下降1.39%。</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 xml:space="preserve">2、政府采购情况 </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2017年度温州市国资委本级及所属各预算单位政府采购预算376.51万元，采购支出总额333.18万元。其中：货物采购支出23.88万元；服务采购支出309.30万元。</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3、国有资产占用情况</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截止2017年底，温州市国资委本级资产合计855.10万元，比上年增长25.80%，主要原因是接收市环保局调拨资产及新采购办公设备。其中：流动资产58.36万元，占总资产的6.83%；固定资产796.74万元，占总资产的93.17%。固定资产含：单位价值100万元（含）以上专用设备1套。</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4、绩效评价结果情况</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(1)部门开展的绩效自评情况。</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根据预算管理要求，本部门组织对2017年度一般公共预算项目支出开展了绩效自评，自评项目13个，共涉及资金573.67万元，占项目支出预算总额的100%。</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(2)财政部门组织开展的绩效评价情况</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2017年度本部门由财政部门组织开展的绩效评价项目 1个，为外部董事薪酬项目，主要用于支付我委聘用的市属国有企业外部董事劳务报酬，支出金额共计111.13万元，评价等次为良好。</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Style w:val="6"/>
          <w:rFonts w:hint="eastAsia" w:ascii="宋体" w:hAnsi="宋体" w:eastAsia="宋体" w:cs="宋体"/>
          <w:b/>
          <w:kern w:val="0"/>
          <w:sz w:val="32"/>
          <w:szCs w:val="32"/>
          <w:lang w:val="en-US" w:eastAsia="zh-CN" w:bidi="ar"/>
        </w:rPr>
        <w:t>四、名词解释</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1.财政拨款收入：从同级财政部门取得的财政拨款，包括一般公共预算财政拨款和政府性基金预算财政拨款。</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2.其他收入：预算单位在“财政拨款”、“事业收入”、“经营收入”、“附属单位上缴收入”等之外取得的各项收入。</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3.年初结转和结余：预算单位以前年度尚未完成、结转到本年按有关规定继续使用的资金。</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4.年末结转和结余：指单位按有关规定结转到下年或以后年度继续使用的资金。</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5.基本支出：是预算单位为保障其正常运转，完成日常工作任务所发生的支出，包括人员支出和日常公用支出。</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 xml:space="preserve">6.项目支出：是预算单位为完成其特定的行政工作任务或事业发展目标，在基本支出之外发生的各项支出。 </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7.因公出国（境）费用：反映单位公务出国（境）的国际旅费、国外城市间交通费、住宿费、伙食费、培训费、公杂费等支出。</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8.公务接待费：反映单位按规定开支的各类公务接待（含外宾接待）费用。</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9.公务用车购置：反映公务用车购置支出（含车辆购置税、牌照费）。</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10.公务用车运行维护费：反映按规定保留的公务用车燃料费、维修费、过桥过路费、保险费、安全奖励费用等支出。</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11.机关运行经费：为保障行政单位和参照公务员法管理的事业单位运行使用一般公共预算财政拨款资金购买货物和服务的各项经费，即使用一般公共预算财政拨款资金安排的基本支出中的日常公用经费。</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12.流动资产：是指一年以内变现或耗用的资产，包括库存现金、银行存款、零余额用款额度、财政应返还额度、应收及预付款项、存货等。</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13.固定资产：是指使用期限超过1年（不含1年），单位价值在规定标准以上，并且在使用过程中基本保持原有物质形态的资产。</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bidi="ar"/>
        </w:rPr>
        <w:t>14. 2069999其他科学技术支出中，主要用于国资监管信息化项目。</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宋体" w:hAnsi="宋体" w:eastAsia="宋体" w:cs="宋体"/>
          <w:kern w:val="0"/>
          <w:sz w:val="24"/>
          <w:szCs w:val="24"/>
        </w:rPr>
      </w:pPr>
      <w:r>
        <w:rPr>
          <w:rFonts w:hint="eastAsia" w:ascii="仿宋" w:hAnsi="仿宋" w:eastAsia="仿宋" w:cs="仿宋"/>
          <w:kern w:val="0"/>
          <w:sz w:val="32"/>
          <w:szCs w:val="32"/>
          <w:lang w:val="en-US" w:eastAsia="zh-CN" w:bidi="ar"/>
        </w:rPr>
        <w:t>15．2080505机关事业单位基本养老保险缴费支出，主要用于委机关及下属事业单位人员基本养老保险缴费支出。</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rPr>
      </w:pPr>
      <w:r>
        <w:rPr>
          <w:rFonts w:hint="eastAsia" w:ascii="仿宋" w:hAnsi="仿宋" w:eastAsia="仿宋" w:cs="仿宋"/>
          <w:kern w:val="0"/>
          <w:sz w:val="32"/>
          <w:szCs w:val="32"/>
          <w:lang w:val="en-US" w:eastAsia="zh-CN" w:bidi="ar"/>
        </w:rPr>
        <w:t>16．2080506机关事业单位职业年金缴费支出，主要用于委机关及下属事业单位人员职业年金缴费支出。</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default" w:ascii="仿宋_GB2312" w:eastAsia="仿宋_GB2312" w:cs="宋体"/>
          <w:kern w:val="0"/>
          <w:sz w:val="32"/>
          <w:szCs w:val="32"/>
        </w:rPr>
      </w:pPr>
      <w:r>
        <w:rPr>
          <w:rFonts w:hint="default" w:ascii="仿宋_GB2312" w:hAnsi="宋体" w:eastAsia="仿宋_GB2312" w:cs="宋体"/>
          <w:kern w:val="0"/>
          <w:sz w:val="32"/>
          <w:szCs w:val="32"/>
          <w:lang w:val="en-US" w:eastAsia="zh-CN" w:bidi="ar"/>
        </w:rPr>
        <w:t>17</w:t>
      </w:r>
      <w:r>
        <w:rPr>
          <w:rFonts w:hint="default" w:ascii="仿宋_GB2312" w:hAnsi="宋体" w:eastAsia="仿宋_GB2312" w:cs="仿宋_GB2312"/>
          <w:kern w:val="0"/>
          <w:sz w:val="32"/>
          <w:szCs w:val="32"/>
          <w:lang w:val="en-US" w:eastAsia="zh-CN" w:bidi="ar"/>
        </w:rPr>
        <w:t>．</w:t>
      </w:r>
      <w:r>
        <w:rPr>
          <w:rFonts w:hint="default" w:ascii="仿宋_GB2312" w:hAnsi="宋体" w:eastAsia="仿宋_GB2312" w:cs="宋体"/>
          <w:kern w:val="0"/>
          <w:sz w:val="32"/>
          <w:szCs w:val="32"/>
          <w:lang w:val="en-US" w:eastAsia="zh-CN" w:bidi="ar"/>
        </w:rPr>
        <w:t>2100501行政单位医疗</w:t>
      </w:r>
      <w:r>
        <w:rPr>
          <w:rFonts w:hint="eastAsia" w:ascii="仿宋_GB2312" w:hAnsi="宋体" w:eastAsia="仿宋_GB2312" w:cs="宋体"/>
          <w:kern w:val="0"/>
          <w:sz w:val="32"/>
          <w:szCs w:val="32"/>
          <w:lang w:val="en-US" w:eastAsia="zh-CN" w:bidi="ar"/>
        </w:rPr>
        <w:t>,</w:t>
      </w:r>
      <w:r>
        <w:rPr>
          <w:rFonts w:hint="default" w:ascii="仿宋_GB2312" w:hAnsi="宋体" w:eastAsia="仿宋_GB2312" w:cs="宋体"/>
          <w:kern w:val="0"/>
          <w:sz w:val="32"/>
          <w:szCs w:val="32"/>
          <w:lang w:val="en-US" w:eastAsia="zh-CN" w:bidi="ar"/>
        </w:rPr>
        <w:t>主要用于</w:t>
      </w:r>
      <w:r>
        <w:rPr>
          <w:rFonts w:hint="eastAsia" w:ascii="仿宋" w:hAnsi="仿宋" w:eastAsia="仿宋" w:cs="仿宋"/>
          <w:kern w:val="0"/>
          <w:sz w:val="32"/>
          <w:szCs w:val="32"/>
          <w:lang w:val="en-US" w:eastAsia="zh-CN" w:bidi="ar"/>
        </w:rPr>
        <w:t>委机关及下属事业单位人员医疗费用支出</w:t>
      </w:r>
      <w:r>
        <w:rPr>
          <w:rFonts w:hint="default" w:ascii="仿宋_GB2312" w:hAnsi="宋体" w:eastAsia="仿宋_GB2312" w:cs="宋体"/>
          <w:kern w:val="0"/>
          <w:sz w:val="32"/>
          <w:szCs w:val="32"/>
          <w:lang w:val="en-US" w:eastAsia="zh-CN" w:bidi="ar"/>
        </w:rPr>
        <w:t>。</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default" w:ascii="仿宋_GB2312" w:eastAsia="仿宋_GB2312" w:cs="宋体"/>
          <w:kern w:val="0"/>
          <w:sz w:val="32"/>
          <w:szCs w:val="32"/>
        </w:rPr>
      </w:pPr>
      <w:r>
        <w:rPr>
          <w:rFonts w:hint="default" w:ascii="仿宋_GB2312" w:hAnsi="宋体" w:eastAsia="仿宋_GB2312" w:cs="宋体"/>
          <w:kern w:val="0"/>
          <w:sz w:val="32"/>
          <w:szCs w:val="32"/>
          <w:lang w:val="en-US" w:eastAsia="zh-CN" w:bidi="ar"/>
        </w:rPr>
        <w:t>18</w:t>
      </w:r>
      <w:r>
        <w:rPr>
          <w:rFonts w:hint="default" w:ascii="仿宋_GB2312" w:hAnsi="宋体" w:eastAsia="仿宋_GB2312" w:cs="仿宋_GB2312"/>
          <w:kern w:val="0"/>
          <w:sz w:val="32"/>
          <w:szCs w:val="32"/>
          <w:lang w:val="en-US" w:eastAsia="zh-CN" w:bidi="ar"/>
        </w:rPr>
        <w:t>．</w:t>
      </w:r>
      <w:r>
        <w:rPr>
          <w:rFonts w:hint="default" w:ascii="仿宋_GB2312" w:hAnsi="宋体" w:eastAsia="仿宋_GB2312" w:cs="宋体"/>
          <w:kern w:val="0"/>
          <w:sz w:val="32"/>
          <w:szCs w:val="32"/>
          <w:lang w:val="en-US" w:eastAsia="zh-CN" w:bidi="ar"/>
        </w:rPr>
        <w:t>2150701</w:t>
      </w:r>
      <w:r>
        <w:rPr>
          <w:rFonts w:hint="eastAsia" w:ascii="仿宋_GB2312" w:hAnsi="宋体" w:eastAsia="仿宋_GB2312" w:cs="宋体"/>
          <w:kern w:val="0"/>
          <w:sz w:val="32"/>
          <w:szCs w:val="32"/>
          <w:lang w:val="en-US" w:eastAsia="zh-CN" w:bidi="ar"/>
        </w:rPr>
        <w:t>国有资产监管</w:t>
      </w:r>
      <w:r>
        <w:rPr>
          <w:rFonts w:hint="default" w:ascii="仿宋_GB2312" w:hAnsi="宋体" w:eastAsia="仿宋_GB2312" w:cs="宋体"/>
          <w:kern w:val="0"/>
          <w:sz w:val="32"/>
          <w:szCs w:val="32"/>
          <w:lang w:val="en-US" w:eastAsia="zh-CN" w:bidi="ar"/>
        </w:rPr>
        <w:t>行政运行</w:t>
      </w:r>
      <w:r>
        <w:rPr>
          <w:rFonts w:hint="eastAsia" w:ascii="仿宋_GB2312" w:hAnsi="宋体" w:eastAsia="仿宋_GB2312" w:cs="宋体"/>
          <w:kern w:val="0"/>
          <w:sz w:val="32"/>
          <w:szCs w:val="32"/>
          <w:lang w:val="en-US" w:eastAsia="zh-CN" w:bidi="ar"/>
        </w:rPr>
        <w:t>，</w:t>
      </w:r>
      <w:r>
        <w:rPr>
          <w:rFonts w:hint="default" w:ascii="仿宋_GB2312" w:hAnsi="宋体" w:eastAsia="仿宋_GB2312" w:cs="宋体"/>
          <w:kern w:val="0"/>
          <w:sz w:val="32"/>
          <w:szCs w:val="32"/>
          <w:lang w:val="en-US" w:eastAsia="zh-CN" w:bidi="ar"/>
        </w:rPr>
        <w:t>主要用于</w:t>
      </w:r>
      <w:r>
        <w:rPr>
          <w:rFonts w:hint="eastAsia" w:ascii="仿宋_GB2312" w:hAnsi="宋体" w:eastAsia="仿宋_GB2312" w:cs="宋体"/>
          <w:kern w:val="0"/>
          <w:sz w:val="32"/>
          <w:szCs w:val="32"/>
          <w:lang w:val="en-US" w:eastAsia="zh-CN" w:bidi="ar"/>
        </w:rPr>
        <w:t>国有资产监管人员工资福利、社保及公用经费支出</w:t>
      </w:r>
      <w:r>
        <w:rPr>
          <w:rFonts w:hint="default" w:ascii="仿宋_GB2312" w:hAnsi="宋体" w:eastAsia="仿宋_GB2312" w:cs="宋体"/>
          <w:kern w:val="0"/>
          <w:sz w:val="32"/>
          <w:szCs w:val="32"/>
          <w:lang w:val="en-US" w:eastAsia="zh-CN" w:bidi="ar"/>
        </w:rPr>
        <w:t>。</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default" w:ascii="仿宋_GB2312" w:eastAsia="仿宋_GB2312" w:cs="宋体"/>
          <w:kern w:val="0"/>
          <w:sz w:val="32"/>
          <w:szCs w:val="32"/>
        </w:rPr>
      </w:pPr>
      <w:r>
        <w:rPr>
          <w:rFonts w:hint="default" w:ascii="仿宋_GB2312" w:hAnsi="宋体" w:eastAsia="仿宋_GB2312" w:cs="宋体"/>
          <w:kern w:val="0"/>
          <w:sz w:val="32"/>
          <w:szCs w:val="32"/>
          <w:lang w:val="en-US" w:eastAsia="zh-CN" w:bidi="ar"/>
        </w:rPr>
        <w:t>19</w:t>
      </w:r>
      <w:r>
        <w:rPr>
          <w:rFonts w:hint="default" w:ascii="仿宋_GB2312" w:hAnsi="宋体" w:eastAsia="仿宋_GB2312" w:cs="仿宋_GB2312"/>
          <w:kern w:val="0"/>
          <w:sz w:val="32"/>
          <w:szCs w:val="32"/>
          <w:lang w:val="en-US" w:eastAsia="zh-CN" w:bidi="ar"/>
        </w:rPr>
        <w:t>．</w:t>
      </w:r>
      <w:r>
        <w:rPr>
          <w:rFonts w:hint="default" w:ascii="仿宋_GB2312" w:hAnsi="宋体" w:eastAsia="仿宋_GB2312" w:cs="宋体"/>
          <w:kern w:val="0"/>
          <w:sz w:val="32"/>
          <w:szCs w:val="32"/>
          <w:lang w:val="en-US" w:eastAsia="zh-CN" w:bidi="ar"/>
        </w:rPr>
        <w:t>2150702</w:t>
      </w:r>
      <w:r>
        <w:rPr>
          <w:rFonts w:hint="eastAsia" w:ascii="仿宋_GB2312" w:hAnsi="宋体" w:eastAsia="仿宋_GB2312" w:cs="宋体"/>
          <w:kern w:val="0"/>
          <w:sz w:val="32"/>
          <w:szCs w:val="32"/>
          <w:lang w:val="en-US" w:eastAsia="zh-CN" w:bidi="ar"/>
        </w:rPr>
        <w:t>国有资产监管</w:t>
      </w:r>
      <w:r>
        <w:rPr>
          <w:rFonts w:hint="default" w:ascii="仿宋_GB2312" w:hAnsi="宋体" w:eastAsia="仿宋_GB2312" w:cs="宋体"/>
          <w:kern w:val="0"/>
          <w:sz w:val="32"/>
          <w:szCs w:val="32"/>
          <w:lang w:val="en-US" w:eastAsia="zh-CN" w:bidi="ar"/>
        </w:rPr>
        <w:t>一般行政管理事务</w:t>
      </w:r>
      <w:r>
        <w:rPr>
          <w:rFonts w:hint="eastAsia" w:ascii="仿宋_GB2312" w:hAnsi="宋体" w:eastAsia="仿宋_GB2312" w:cs="宋体"/>
          <w:kern w:val="0"/>
          <w:sz w:val="32"/>
          <w:szCs w:val="32"/>
          <w:lang w:val="en-US" w:eastAsia="zh-CN" w:bidi="ar"/>
        </w:rPr>
        <w:t>，</w:t>
      </w:r>
      <w:r>
        <w:rPr>
          <w:rFonts w:hint="default" w:ascii="仿宋_GB2312" w:hAnsi="宋体" w:eastAsia="仿宋_GB2312" w:cs="宋体"/>
          <w:kern w:val="0"/>
          <w:sz w:val="32"/>
          <w:szCs w:val="32"/>
          <w:lang w:val="en-US" w:eastAsia="zh-CN" w:bidi="ar"/>
        </w:rPr>
        <w:t>主要用于</w:t>
      </w:r>
      <w:r>
        <w:rPr>
          <w:rFonts w:hint="eastAsia" w:ascii="仿宋_GB2312" w:hAnsi="宋体" w:eastAsia="仿宋_GB2312" w:cs="宋体"/>
          <w:kern w:val="0"/>
          <w:sz w:val="32"/>
          <w:szCs w:val="32"/>
          <w:lang w:val="en-US" w:eastAsia="zh-CN" w:bidi="ar"/>
        </w:rPr>
        <w:t>国有资产监管项目经费支出</w:t>
      </w:r>
      <w:r>
        <w:rPr>
          <w:rFonts w:hint="default" w:ascii="仿宋_GB2312" w:hAnsi="宋体" w:eastAsia="仿宋_GB2312" w:cs="宋体"/>
          <w:kern w:val="0"/>
          <w:sz w:val="32"/>
          <w:szCs w:val="32"/>
          <w:lang w:val="en-US" w:eastAsia="zh-CN" w:bidi="ar"/>
        </w:rPr>
        <w:t>。</w:t>
      </w:r>
    </w:p>
    <w:p>
      <w:pPr>
        <w:keepNext w:val="0"/>
        <w:keepLines w:val="0"/>
        <w:widowControl/>
        <w:suppressLineNumbers w:val="0"/>
        <w:snapToGrid w:val="0"/>
        <w:spacing w:before="0" w:beforeAutospacing="0" w:after="0" w:afterAutospacing="0" w:line="600" w:lineRule="exact"/>
        <w:ind w:left="0" w:right="0" w:firstLine="640" w:firstLineChars="200"/>
        <w:jc w:val="left"/>
        <w:rPr>
          <w:rFonts w:hint="default" w:ascii="仿宋_GB2312" w:eastAsia="仿宋_GB2312" w:cs="宋体"/>
          <w:kern w:val="0"/>
          <w:sz w:val="32"/>
          <w:szCs w:val="32"/>
        </w:rPr>
      </w:pPr>
      <w:r>
        <w:rPr>
          <w:rFonts w:hint="default" w:ascii="仿宋_GB2312" w:hAnsi="宋体" w:eastAsia="仿宋_GB2312" w:cs="宋体"/>
          <w:kern w:val="0"/>
          <w:sz w:val="32"/>
          <w:szCs w:val="32"/>
          <w:lang w:val="en-US" w:eastAsia="zh-CN" w:bidi="ar"/>
        </w:rPr>
        <w:t>20</w:t>
      </w:r>
      <w:r>
        <w:rPr>
          <w:rFonts w:hint="default" w:ascii="仿宋_GB2312" w:hAnsi="宋体" w:eastAsia="仿宋_GB2312" w:cs="仿宋_GB2312"/>
          <w:kern w:val="0"/>
          <w:sz w:val="32"/>
          <w:szCs w:val="32"/>
          <w:lang w:val="en-US" w:eastAsia="zh-CN" w:bidi="ar"/>
        </w:rPr>
        <w:t>．</w:t>
      </w:r>
      <w:r>
        <w:rPr>
          <w:rFonts w:hint="default" w:ascii="仿宋_GB2312" w:hAnsi="宋体" w:eastAsia="仿宋_GB2312" w:cs="宋体"/>
          <w:kern w:val="0"/>
          <w:sz w:val="32"/>
          <w:szCs w:val="32"/>
          <w:lang w:val="en-US" w:eastAsia="zh-CN" w:bidi="ar"/>
        </w:rPr>
        <w:t>2210201住房公积金</w:t>
      </w:r>
      <w:r>
        <w:rPr>
          <w:rFonts w:hint="eastAsia" w:ascii="仿宋_GB2312" w:hAnsi="宋体" w:eastAsia="仿宋_GB2312" w:cs="宋体"/>
          <w:kern w:val="0"/>
          <w:sz w:val="32"/>
          <w:szCs w:val="32"/>
          <w:lang w:val="en-US" w:eastAsia="zh-CN" w:bidi="ar"/>
        </w:rPr>
        <w:t>，</w:t>
      </w:r>
      <w:r>
        <w:rPr>
          <w:rFonts w:hint="default" w:ascii="仿宋_GB2312" w:hAnsi="宋体" w:eastAsia="仿宋_GB2312" w:cs="宋体"/>
          <w:kern w:val="0"/>
          <w:sz w:val="32"/>
          <w:szCs w:val="32"/>
          <w:lang w:val="en-US" w:eastAsia="zh-CN" w:bidi="ar"/>
        </w:rPr>
        <w:t>主要用于</w:t>
      </w:r>
      <w:r>
        <w:rPr>
          <w:rFonts w:hint="eastAsia" w:ascii="仿宋_GB2312" w:hAnsi="宋体" w:eastAsia="仿宋_GB2312" w:cs="宋体"/>
          <w:kern w:val="0"/>
          <w:sz w:val="32"/>
          <w:szCs w:val="32"/>
          <w:lang w:val="en-US" w:eastAsia="zh-CN" w:bidi="ar"/>
        </w:rPr>
        <w:t>委机关及下属事业单位人员住房公积金缴费支出</w:t>
      </w:r>
      <w:r>
        <w:rPr>
          <w:rFonts w:hint="default" w:ascii="仿宋_GB2312" w:hAnsi="宋体" w:eastAsia="仿宋_GB2312" w:cs="宋体"/>
          <w:kern w:val="0"/>
          <w:sz w:val="32"/>
          <w:szCs w:val="32"/>
          <w:lang w:val="en-US" w:eastAsia="zh-CN" w:bidi="ar"/>
        </w:rPr>
        <w:t>。</w:t>
      </w:r>
    </w:p>
    <w:p>
      <w:pPr>
        <w:keepNext w:val="0"/>
        <w:keepLines w:val="0"/>
        <w:widowControl/>
        <w:suppressLineNumbers w:val="0"/>
        <w:snapToGrid w:val="0"/>
        <w:spacing w:before="0" w:beforeAutospacing="0" w:after="0" w:afterAutospacing="0" w:line="600" w:lineRule="atLeast"/>
        <w:ind w:left="0" w:right="0" w:firstLine="640"/>
        <w:jc w:val="both"/>
        <w:rPr>
          <w:rFonts w:hint="eastAsia" w:ascii="仿宋" w:hAnsi="仿宋" w:eastAsia="仿宋" w:cs="仿宋"/>
          <w:kern w:val="0"/>
          <w:sz w:val="32"/>
          <w:szCs w:val="32"/>
        </w:rPr>
      </w:pPr>
      <w:r>
        <w:rPr>
          <w:rFonts w:hint="default" w:ascii="仿宋_GB2312" w:hAnsi="宋体" w:eastAsia="仿宋_GB2312" w:cs="宋体"/>
          <w:kern w:val="0"/>
          <w:sz w:val="32"/>
          <w:szCs w:val="32"/>
          <w:lang w:val="en-US" w:eastAsia="zh-CN" w:bidi="ar"/>
        </w:rPr>
        <w:t>21</w:t>
      </w:r>
      <w:r>
        <w:rPr>
          <w:rFonts w:hint="default" w:ascii="仿宋_GB2312" w:hAnsi="宋体" w:eastAsia="仿宋_GB2312" w:cs="仿宋_GB2312"/>
          <w:kern w:val="0"/>
          <w:sz w:val="32"/>
          <w:szCs w:val="32"/>
          <w:lang w:val="en-US" w:eastAsia="zh-CN" w:bidi="ar"/>
        </w:rPr>
        <w:t>．</w:t>
      </w:r>
      <w:r>
        <w:rPr>
          <w:rFonts w:hint="default" w:ascii="仿宋_GB2312" w:hAnsi="宋体" w:eastAsia="仿宋_GB2312" w:cs="宋体"/>
          <w:kern w:val="0"/>
          <w:sz w:val="32"/>
          <w:szCs w:val="32"/>
          <w:lang w:val="en-US" w:eastAsia="zh-CN" w:bidi="ar"/>
        </w:rPr>
        <w:t>2210203购房补贴</w:t>
      </w:r>
      <w:r>
        <w:rPr>
          <w:rFonts w:hint="eastAsia" w:ascii="仿宋_GB2312" w:hAnsi="宋体" w:eastAsia="仿宋_GB2312" w:cs="宋体"/>
          <w:kern w:val="0"/>
          <w:sz w:val="32"/>
          <w:szCs w:val="32"/>
          <w:lang w:val="en-US" w:eastAsia="zh-CN" w:bidi="ar"/>
        </w:rPr>
        <w:t>，</w:t>
      </w:r>
      <w:r>
        <w:rPr>
          <w:rFonts w:hint="default" w:ascii="仿宋_GB2312" w:hAnsi="宋体" w:eastAsia="仿宋_GB2312" w:cs="宋体"/>
          <w:kern w:val="0"/>
          <w:sz w:val="32"/>
          <w:szCs w:val="32"/>
          <w:lang w:val="en-US" w:eastAsia="zh-CN" w:bidi="ar"/>
        </w:rPr>
        <w:t>主要用于</w:t>
      </w:r>
      <w:r>
        <w:rPr>
          <w:rFonts w:hint="eastAsia" w:ascii="仿宋_GB2312" w:hAnsi="宋体" w:eastAsia="仿宋_GB2312" w:cs="宋体"/>
          <w:kern w:val="0"/>
          <w:sz w:val="32"/>
          <w:szCs w:val="32"/>
          <w:lang w:val="en-US" w:eastAsia="zh-CN" w:bidi="ar"/>
        </w:rPr>
        <w:t>委机关及下属事业单位人员购房补贴支出</w:t>
      </w:r>
      <w:r>
        <w:rPr>
          <w:rFonts w:hint="default" w:ascii="仿宋_GB2312" w:hAnsi="宋体" w:eastAsia="仿宋_GB2312" w:cs="宋体"/>
          <w:kern w:val="0"/>
          <w:sz w:val="32"/>
          <w:szCs w:val="32"/>
          <w:lang w:val="en-US" w:eastAsia="zh-CN" w:bidi="ar"/>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0B4F0B"/>
    <w:rsid w:val="16E54C20"/>
    <w:rsid w:val="450B4F0B"/>
    <w:rsid w:val="6D7A622E"/>
    <w:rsid w:val="70021F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rFonts w:hint="default" w:ascii="宋体" w:hAnsi="宋体" w:eastAsia="宋体" w:cs="宋体"/>
      <w:kern w:val="0"/>
      <w:sz w:val="24"/>
      <w:lang w:val="en-US" w:eastAsia="zh-CN" w:bidi="ar"/>
    </w:rPr>
  </w:style>
  <w:style w:type="character" w:customStyle="1" w:styleId="5">
    <w:name w:val="10"/>
    <w:basedOn w:val="4"/>
    <w:qFormat/>
    <w:uiPriority w:val="0"/>
    <w:rPr>
      <w:rFonts w:hint="default" w:ascii="Times New Roman" w:hAnsi="Times New Roman" w:cs="Times New Roman"/>
    </w:rPr>
  </w:style>
  <w:style w:type="character" w:customStyle="1" w:styleId="6">
    <w:name w:val="15"/>
    <w:basedOn w:val="4"/>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2018-09-14T05:07:00Z</dcterms:created>
  <dc:creator>温州市人民政府国有资产监督管理委员会</dc:creator>
  <cp:lastModifiedBy>a</cp:lastModifiedBy>
  <dcterms:modified xsi:type="dcterms:W3CDTF">2019-02-21T01:24:55Z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