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0D" w:rsidRDefault="00297A5D" w:rsidP="005B180D">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温州市国资委</w:t>
      </w:r>
      <w:r w:rsidR="00881F0B">
        <w:rPr>
          <w:rFonts w:ascii="黑体" w:eastAsia="黑体" w:cs="黑体"/>
          <w:spacing w:val="15"/>
          <w:sz w:val="44"/>
          <w:szCs w:val="44"/>
        </w:rPr>
        <w:t>2015</w:t>
      </w:r>
      <w:r w:rsidR="00881F0B">
        <w:rPr>
          <w:rFonts w:ascii="黑体" w:eastAsia="黑体" w:cs="黑体" w:hint="eastAsia"/>
          <w:spacing w:val="15"/>
          <w:sz w:val="44"/>
          <w:szCs w:val="44"/>
        </w:rPr>
        <w:t>年度部门决算</w:t>
      </w:r>
    </w:p>
    <w:p w:rsidR="00881F0B" w:rsidRPr="00881F0B" w:rsidRDefault="00881F0B" w:rsidP="00881F0B">
      <w:pPr>
        <w:autoSpaceDE w:val="0"/>
        <w:autoSpaceDN w:val="0"/>
        <w:adjustRightInd w:val="0"/>
        <w:spacing w:line="560" w:lineRule="exact"/>
        <w:ind w:firstLine="590"/>
        <w:rPr>
          <w:rFonts w:ascii="Times New Roman" w:eastAsia="黑体" w:hAnsi="Times New Roman" w:cs="Times New Roman"/>
          <w:b/>
          <w:bCs/>
          <w:color w:val="000000"/>
          <w:sz w:val="30"/>
          <w:szCs w:val="30"/>
        </w:rPr>
      </w:pPr>
      <w:bookmarkStart w:id="0" w:name="_GoBack"/>
      <w:bookmarkEnd w:id="0"/>
    </w:p>
    <w:p w:rsidR="00881F0B" w:rsidRDefault="00881F0B" w:rsidP="00881F0B">
      <w:pPr>
        <w:autoSpaceDE w:val="0"/>
        <w:autoSpaceDN w:val="0"/>
        <w:adjustRightInd w:val="0"/>
        <w:spacing w:line="560" w:lineRule="exact"/>
        <w:ind w:firstLine="627"/>
        <w:rPr>
          <w:rFonts w:ascii="黑体" w:eastAsia="黑体" w:hAnsi="Times New Roman" w:cs="黑体"/>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2015</w:t>
      </w:r>
      <w:r w:rsidR="00E71FA7">
        <w:rPr>
          <w:rFonts w:ascii="黑体" w:eastAsia="黑体" w:hAnsi="Times New Roman" w:cs="黑体" w:hint="eastAsia"/>
          <w:color w:val="000000"/>
          <w:sz w:val="32"/>
          <w:szCs w:val="32"/>
        </w:rPr>
        <w:t>年度部门决算</w:t>
      </w:r>
      <w:r>
        <w:rPr>
          <w:rFonts w:ascii="黑体" w:eastAsia="黑体" w:hAnsi="Times New Roman" w:cs="黑体" w:hint="eastAsia"/>
          <w:color w:val="000000"/>
          <w:sz w:val="32"/>
          <w:szCs w:val="32"/>
        </w:rPr>
        <w:t>概况</w:t>
      </w:r>
    </w:p>
    <w:p w:rsidR="00881F0B" w:rsidRDefault="00881F0B" w:rsidP="00881F0B">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hint="eastAsia"/>
          <w:sz w:val="32"/>
          <w:szCs w:val="32"/>
        </w:rPr>
        <w:t>（一）主要职能</w:t>
      </w:r>
    </w:p>
    <w:p w:rsidR="00297A5D" w:rsidRPr="00385021" w:rsidRDefault="00297A5D" w:rsidP="00881F0B">
      <w:pPr>
        <w:autoSpaceDE w:val="0"/>
        <w:autoSpaceDN w:val="0"/>
        <w:adjustRightInd w:val="0"/>
        <w:spacing w:line="560" w:lineRule="exact"/>
        <w:ind w:firstLine="588"/>
        <w:rPr>
          <w:rFonts w:ascii="仿宋_GB2312" w:eastAsia="仿宋_GB2312"/>
          <w:sz w:val="32"/>
          <w:szCs w:val="32"/>
        </w:rPr>
      </w:pPr>
      <w:r w:rsidRPr="00385021">
        <w:rPr>
          <w:rFonts w:ascii="仿宋_GB2312" w:eastAsia="仿宋_GB2312" w:hint="eastAsia"/>
          <w:sz w:val="32"/>
          <w:szCs w:val="32"/>
        </w:rPr>
        <w:t>温州市国资委为市政府直属正县级特设机构。市政府授权市国资委代表国家履行国有资产出资人职责，实行管资产与管人、管事相结合。</w:t>
      </w:r>
    </w:p>
    <w:p w:rsidR="00881F0B" w:rsidRPr="00BB25FA" w:rsidRDefault="00F20479" w:rsidP="00881F0B">
      <w:pPr>
        <w:autoSpaceDE w:val="0"/>
        <w:autoSpaceDN w:val="0"/>
        <w:adjustRightInd w:val="0"/>
        <w:spacing w:line="560" w:lineRule="exact"/>
        <w:ind w:firstLine="588"/>
        <w:rPr>
          <w:rFonts w:ascii="仿宋_GB2312" w:eastAsia="仿宋_GB2312" w:hAnsi="Times New Roman" w:cs="仿宋"/>
          <w:sz w:val="32"/>
          <w:szCs w:val="32"/>
        </w:rPr>
      </w:pPr>
      <w:r w:rsidRPr="00BB25FA">
        <w:rPr>
          <w:rFonts w:ascii="仿宋_GB2312" w:eastAsia="仿宋_GB2312" w:hAnsi="Times New Roman" w:cs="仿宋" w:hint="eastAsia"/>
          <w:sz w:val="32"/>
          <w:szCs w:val="32"/>
        </w:rPr>
        <w:t>（</w:t>
      </w:r>
      <w:r w:rsidR="008C2CF4" w:rsidRPr="00BB25FA">
        <w:rPr>
          <w:rFonts w:ascii="仿宋_GB2312" w:eastAsia="仿宋_GB2312" w:hAnsi="Times New Roman" w:cs="仿宋" w:hint="eastAsia"/>
          <w:sz w:val="32"/>
          <w:szCs w:val="32"/>
        </w:rPr>
        <w:t>二</w:t>
      </w:r>
      <w:r w:rsidRPr="00BB25FA">
        <w:rPr>
          <w:rFonts w:ascii="仿宋_GB2312" w:eastAsia="仿宋_GB2312" w:hAnsi="Times New Roman" w:cs="仿宋" w:hint="eastAsia"/>
          <w:sz w:val="32"/>
          <w:szCs w:val="32"/>
        </w:rPr>
        <w:t>）</w:t>
      </w:r>
      <w:r w:rsidR="00881F0B" w:rsidRPr="00BB25FA">
        <w:rPr>
          <w:rFonts w:ascii="仿宋_GB2312" w:eastAsia="仿宋_GB2312" w:hAnsi="Times New Roman" w:cs="仿宋" w:hint="eastAsia"/>
          <w:sz w:val="32"/>
          <w:szCs w:val="32"/>
        </w:rPr>
        <w:t>部门决算单位构成</w:t>
      </w:r>
    </w:p>
    <w:p w:rsidR="00642FED" w:rsidRDefault="00881F0B" w:rsidP="00642FED">
      <w:pPr>
        <w:autoSpaceDE w:val="0"/>
        <w:autoSpaceDN w:val="0"/>
        <w:adjustRightInd w:val="0"/>
        <w:spacing w:afterLines="100" w:line="560" w:lineRule="exact"/>
        <w:ind w:firstLine="590"/>
        <w:rPr>
          <w:rFonts w:ascii="仿宋" w:eastAsia="仿宋" w:hAnsi="Times New Roman" w:cs="仿宋" w:hint="eastAsia"/>
          <w:sz w:val="32"/>
          <w:szCs w:val="32"/>
        </w:rPr>
      </w:pPr>
      <w:r w:rsidRPr="00BB25FA">
        <w:rPr>
          <w:rFonts w:ascii="仿宋_GB2312" w:eastAsia="仿宋_GB2312" w:hAnsi="Times New Roman" w:cs="仿宋" w:hint="eastAsia"/>
          <w:sz w:val="32"/>
          <w:szCs w:val="32"/>
          <w:lang w:val="zh-CN"/>
        </w:rPr>
        <w:t>2015年度</w:t>
      </w:r>
      <w:r w:rsidR="00297A5D" w:rsidRPr="00BB25FA">
        <w:rPr>
          <w:rFonts w:ascii="仿宋_GB2312" w:eastAsia="仿宋_GB2312" w:hAnsi="Times New Roman" w:cs="仿宋" w:hint="eastAsia"/>
          <w:sz w:val="32"/>
          <w:szCs w:val="32"/>
          <w:lang w:val="zh-CN"/>
        </w:rPr>
        <w:t>温州市国资委</w:t>
      </w:r>
      <w:r w:rsidRPr="00BB25FA">
        <w:rPr>
          <w:rFonts w:ascii="仿宋_GB2312" w:eastAsia="仿宋_GB2312" w:hAnsi="Times New Roman" w:cs="仿宋" w:hint="eastAsia"/>
          <w:sz w:val="32"/>
          <w:szCs w:val="32"/>
        </w:rPr>
        <w:t>决算</w:t>
      </w:r>
      <w:r w:rsidR="00297A5D" w:rsidRPr="00BB25FA">
        <w:rPr>
          <w:rFonts w:ascii="仿宋_GB2312" w:eastAsia="仿宋_GB2312" w:hAnsi="Times New Roman" w:cs="仿宋" w:hint="eastAsia"/>
          <w:sz w:val="32"/>
          <w:szCs w:val="32"/>
        </w:rPr>
        <w:t>为</w:t>
      </w:r>
      <w:r w:rsidRPr="00BB25FA">
        <w:rPr>
          <w:rFonts w:ascii="仿宋_GB2312" w:eastAsia="仿宋_GB2312" w:hAnsi="Times New Roman" w:cs="仿宋" w:hint="eastAsia"/>
          <w:sz w:val="32"/>
          <w:szCs w:val="32"/>
        </w:rPr>
        <w:t>本级决算</w:t>
      </w:r>
      <w:r w:rsidR="00297A5D" w:rsidRPr="00BB25FA">
        <w:rPr>
          <w:rFonts w:ascii="仿宋_GB2312" w:eastAsia="仿宋_GB2312" w:hAnsi="Times New Roman" w:cs="仿宋" w:hint="eastAsia"/>
          <w:sz w:val="32"/>
          <w:szCs w:val="32"/>
        </w:rPr>
        <w:t>单位1个。</w:t>
      </w:r>
      <w:r w:rsidR="00642FED">
        <w:rPr>
          <w:rFonts w:ascii="仿宋" w:eastAsia="仿宋" w:hAnsi="Times New Roman" w:cs="仿宋" w:hint="eastAsia"/>
          <w:sz w:val="32"/>
          <w:szCs w:val="32"/>
        </w:rPr>
        <w:t>具体如下：</w:t>
      </w:r>
    </w:p>
    <w:tbl>
      <w:tblPr>
        <w:tblW w:w="6578" w:type="dxa"/>
        <w:jc w:val="center"/>
        <w:tblInd w:w="93" w:type="dxa"/>
        <w:tblLook w:val="04A0"/>
      </w:tblPr>
      <w:tblGrid>
        <w:gridCol w:w="1078"/>
        <w:gridCol w:w="5500"/>
      </w:tblGrid>
      <w:tr w:rsidR="00642FED" w:rsidRPr="0069528E" w:rsidTr="00642FED">
        <w:trPr>
          <w:trHeight w:val="510"/>
          <w:jc w:val="center"/>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FED" w:rsidRPr="00642FED" w:rsidRDefault="00642FED" w:rsidP="00533E63">
            <w:pPr>
              <w:widowControl/>
              <w:jc w:val="center"/>
              <w:rPr>
                <w:rFonts w:ascii="仿宋_GB2312" w:eastAsia="仿宋_GB2312" w:hAnsi="宋体" w:cs="Arial" w:hint="eastAsia"/>
                <w:color w:val="000000"/>
                <w:kern w:val="0"/>
                <w:sz w:val="32"/>
                <w:szCs w:val="32"/>
              </w:rPr>
            </w:pPr>
            <w:r w:rsidRPr="00642FED">
              <w:rPr>
                <w:rFonts w:ascii="仿宋_GB2312" w:eastAsia="仿宋_GB2312" w:hAnsi="宋体" w:cs="Arial" w:hint="eastAsia"/>
                <w:color w:val="000000"/>
                <w:kern w:val="0"/>
                <w:sz w:val="32"/>
                <w:szCs w:val="32"/>
              </w:rPr>
              <w:t>序号</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642FED" w:rsidRPr="00642FED" w:rsidRDefault="00642FED" w:rsidP="00533E63">
            <w:pPr>
              <w:widowControl/>
              <w:jc w:val="center"/>
              <w:rPr>
                <w:rFonts w:ascii="仿宋_GB2312" w:eastAsia="仿宋_GB2312" w:hAnsi="宋体" w:cs="Arial" w:hint="eastAsia"/>
                <w:color w:val="000000"/>
                <w:kern w:val="0"/>
                <w:sz w:val="32"/>
                <w:szCs w:val="32"/>
              </w:rPr>
            </w:pPr>
            <w:r w:rsidRPr="00642FED">
              <w:rPr>
                <w:rFonts w:ascii="仿宋_GB2312" w:eastAsia="仿宋_GB2312" w:hAnsi="宋体" w:cs="Arial" w:hint="eastAsia"/>
                <w:color w:val="000000"/>
                <w:kern w:val="0"/>
                <w:sz w:val="32"/>
                <w:szCs w:val="32"/>
              </w:rPr>
              <w:t>单位名称</w:t>
            </w:r>
          </w:p>
        </w:tc>
      </w:tr>
      <w:tr w:rsidR="00642FED" w:rsidRPr="0069528E" w:rsidTr="00642FED">
        <w:trPr>
          <w:trHeight w:val="510"/>
          <w:jc w:val="center"/>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FED" w:rsidRPr="00642FED" w:rsidRDefault="00642FED" w:rsidP="00533E63">
            <w:pPr>
              <w:widowControl/>
              <w:jc w:val="center"/>
              <w:rPr>
                <w:rFonts w:ascii="仿宋_GB2312" w:eastAsia="仿宋_GB2312" w:hAnsi="宋体" w:cs="Arial" w:hint="eastAsia"/>
                <w:color w:val="000000"/>
                <w:kern w:val="0"/>
                <w:sz w:val="32"/>
                <w:szCs w:val="32"/>
              </w:rPr>
            </w:pPr>
            <w:r w:rsidRPr="00642FED">
              <w:rPr>
                <w:rFonts w:ascii="仿宋_GB2312" w:eastAsia="仿宋_GB2312" w:hAnsi="宋体" w:cs="Arial" w:hint="eastAsia"/>
                <w:color w:val="000000"/>
                <w:kern w:val="0"/>
                <w:sz w:val="32"/>
                <w:szCs w:val="32"/>
              </w:rPr>
              <w:t>01</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642FED" w:rsidRPr="00642FED" w:rsidRDefault="00642FED" w:rsidP="00533E63">
            <w:pPr>
              <w:widowControl/>
              <w:jc w:val="center"/>
              <w:rPr>
                <w:rFonts w:ascii="仿宋_GB2312" w:eastAsia="仿宋_GB2312" w:hAnsi="宋体" w:cs="Arial" w:hint="eastAsia"/>
                <w:color w:val="000000"/>
                <w:kern w:val="0"/>
                <w:sz w:val="32"/>
                <w:szCs w:val="32"/>
              </w:rPr>
            </w:pPr>
            <w:r w:rsidRPr="00642FED">
              <w:rPr>
                <w:rFonts w:ascii="仿宋_GB2312" w:eastAsia="仿宋_GB2312" w:hAnsi="宋体" w:cs="Arial" w:hint="eastAsia"/>
                <w:color w:val="000000"/>
                <w:kern w:val="0"/>
                <w:sz w:val="32"/>
                <w:szCs w:val="32"/>
              </w:rPr>
              <w:t>温州市国资委</w:t>
            </w:r>
          </w:p>
        </w:tc>
      </w:tr>
    </w:tbl>
    <w:p w:rsidR="00604C57" w:rsidRDefault="00881F0B" w:rsidP="00642FED">
      <w:pPr>
        <w:autoSpaceDE w:val="0"/>
        <w:autoSpaceDN w:val="0"/>
        <w:adjustRightInd w:val="0"/>
        <w:spacing w:beforeLines="150" w:line="560" w:lineRule="exact"/>
        <w:ind w:firstLine="629"/>
        <w:rPr>
          <w:rFonts w:ascii="仿宋" w:eastAsia="仿宋" w:hAnsi="Times New Roman" w:cs="仿宋"/>
          <w:sz w:val="24"/>
          <w:szCs w:val="24"/>
        </w:rPr>
      </w:pPr>
      <w:r>
        <w:rPr>
          <w:rFonts w:ascii="黑体" w:eastAsia="黑体" w:hAnsi="Times New Roman" w:cs="黑体" w:hint="eastAsia"/>
          <w:color w:val="000000"/>
          <w:sz w:val="32"/>
          <w:szCs w:val="32"/>
        </w:rPr>
        <w:t>二、</w:t>
      </w:r>
      <w:r>
        <w:rPr>
          <w:rFonts w:ascii="黑体" w:eastAsia="黑体" w:hAnsi="Times New Roman" w:cs="黑体"/>
          <w:sz w:val="32"/>
          <w:szCs w:val="32"/>
          <w:lang w:val="zh-CN"/>
        </w:rPr>
        <w:t>2015</w:t>
      </w:r>
      <w:r>
        <w:rPr>
          <w:rFonts w:ascii="黑体" w:eastAsia="黑体" w:hAnsi="Times New Roman" w:cs="黑体" w:hint="eastAsia"/>
          <w:sz w:val="32"/>
          <w:szCs w:val="32"/>
          <w:lang w:val="zh-CN"/>
        </w:rPr>
        <w:t>年度部门决算</w:t>
      </w:r>
      <w:r w:rsidR="00604C57">
        <w:rPr>
          <w:rFonts w:ascii="黑体" w:eastAsia="黑体" w:hAnsi="Times New Roman" w:cs="黑体" w:hint="eastAsia"/>
          <w:sz w:val="32"/>
          <w:szCs w:val="32"/>
          <w:lang w:val="zh-CN"/>
        </w:rPr>
        <w:t>报表</w:t>
      </w:r>
    </w:p>
    <w:p w:rsidR="00385021" w:rsidRPr="00385021" w:rsidRDefault="00385021" w:rsidP="00881F0B">
      <w:pPr>
        <w:autoSpaceDE w:val="0"/>
        <w:autoSpaceDN w:val="0"/>
        <w:adjustRightInd w:val="0"/>
        <w:spacing w:line="560" w:lineRule="exact"/>
        <w:ind w:firstLine="627"/>
        <w:rPr>
          <w:rFonts w:ascii="黑体" w:eastAsia="黑体" w:hAnsi="Times New Roman" w:cs="黑体"/>
          <w:sz w:val="32"/>
          <w:szCs w:val="32"/>
          <w:lang w:val="zh-CN"/>
        </w:rPr>
      </w:pPr>
      <w:r w:rsidRPr="00385021">
        <w:rPr>
          <w:rFonts w:ascii="仿宋" w:eastAsia="仿宋" w:hAnsi="Times New Roman" w:cs="仿宋" w:hint="eastAsia"/>
          <w:sz w:val="32"/>
          <w:szCs w:val="32"/>
        </w:rPr>
        <w:t>见附件</w:t>
      </w:r>
    </w:p>
    <w:p w:rsidR="003F53B9" w:rsidRDefault="00604C57" w:rsidP="003F53B9">
      <w:pPr>
        <w:autoSpaceDE w:val="0"/>
        <w:autoSpaceDN w:val="0"/>
        <w:adjustRightInd w:val="0"/>
        <w:spacing w:line="560" w:lineRule="exact"/>
        <w:ind w:firstLine="627"/>
        <w:rPr>
          <w:rFonts w:ascii="仿宋" w:eastAsia="仿宋" w:hAnsi="Times New Roman" w:cs="仿宋"/>
          <w:color w:val="000000"/>
          <w:sz w:val="32"/>
          <w:szCs w:val="32"/>
        </w:rPr>
      </w:pPr>
      <w:r>
        <w:rPr>
          <w:rFonts w:ascii="黑体" w:eastAsia="黑体" w:hAnsi="Times New Roman" w:cs="黑体" w:hint="eastAsia"/>
          <w:sz w:val="32"/>
          <w:szCs w:val="32"/>
          <w:lang w:val="zh-CN"/>
        </w:rPr>
        <w:t>三、</w:t>
      </w:r>
      <w:r w:rsidR="00881F0B">
        <w:rPr>
          <w:rFonts w:ascii="黑体" w:eastAsia="黑体" w:hAnsi="Times New Roman" w:cs="黑体"/>
          <w:color w:val="000000"/>
          <w:sz w:val="32"/>
          <w:szCs w:val="32"/>
        </w:rPr>
        <w:t>2015</w:t>
      </w:r>
      <w:r>
        <w:rPr>
          <w:rFonts w:ascii="黑体" w:eastAsia="黑体" w:hAnsi="Times New Roman" w:cs="黑体" w:hint="eastAsia"/>
          <w:color w:val="000000"/>
          <w:sz w:val="32"/>
          <w:szCs w:val="32"/>
        </w:rPr>
        <w:t>年度部门决算</w:t>
      </w:r>
      <w:r w:rsidR="00881F0B">
        <w:rPr>
          <w:rFonts w:ascii="黑体" w:eastAsia="黑体" w:hAnsi="Times New Roman" w:cs="黑体" w:hint="eastAsia"/>
          <w:color w:val="000000"/>
          <w:sz w:val="32"/>
          <w:szCs w:val="32"/>
        </w:rPr>
        <w:t>情况说明</w:t>
      </w:r>
      <w:r w:rsidR="00881F0B">
        <w:rPr>
          <w:rFonts w:ascii="Times New Roman" w:eastAsia="黑体" w:hAnsi="Times New Roman" w:cs="Times New Roman"/>
          <w:color w:val="000000"/>
          <w:sz w:val="32"/>
          <w:szCs w:val="32"/>
        </w:rPr>
        <w:br/>
      </w:r>
      <w:r w:rsidR="00881F0B">
        <w:rPr>
          <w:rFonts w:ascii="仿宋_GB2312" w:eastAsia="仿宋_GB2312" w:hAnsi="Times New Roman" w:cs="仿宋_GB2312" w:hint="eastAsia"/>
          <w:color w:val="000000"/>
          <w:sz w:val="32"/>
          <w:szCs w:val="32"/>
        </w:rPr>
        <w:t xml:space="preserve">　　</w:t>
      </w:r>
      <w:r w:rsidR="00E0018C">
        <w:rPr>
          <w:rFonts w:ascii="仿宋" w:eastAsia="仿宋" w:hAnsi="Times New Roman" w:cs="仿宋" w:hint="eastAsia"/>
          <w:color w:val="000000"/>
          <w:sz w:val="32"/>
          <w:szCs w:val="32"/>
        </w:rPr>
        <w:t>（一）</w:t>
      </w:r>
      <w:r w:rsidR="003F53B9">
        <w:rPr>
          <w:rFonts w:ascii="仿宋" w:eastAsia="仿宋" w:hAnsi="Times New Roman" w:cs="仿宋" w:hint="eastAsia"/>
          <w:color w:val="000000"/>
          <w:sz w:val="32"/>
          <w:szCs w:val="32"/>
        </w:rPr>
        <w:t>收入支出决算总体情况</w:t>
      </w:r>
    </w:p>
    <w:p w:rsidR="003F53B9" w:rsidRPr="008C4D75" w:rsidRDefault="009D180F" w:rsidP="003F53B9">
      <w:pPr>
        <w:autoSpaceDE w:val="0"/>
        <w:autoSpaceDN w:val="0"/>
        <w:adjustRightInd w:val="0"/>
        <w:spacing w:line="560" w:lineRule="exact"/>
        <w:ind w:firstLine="627"/>
        <w:rPr>
          <w:rFonts w:ascii="仿宋" w:eastAsia="仿宋" w:hAnsi="Times New Roman" w:cs="仿宋"/>
          <w:sz w:val="32"/>
          <w:szCs w:val="32"/>
        </w:rPr>
      </w:pPr>
      <w:r>
        <w:rPr>
          <w:rFonts w:ascii="仿宋" w:eastAsia="仿宋" w:hAnsi="Times New Roman" w:cs="仿宋" w:hint="eastAsia"/>
          <w:color w:val="000000"/>
          <w:sz w:val="32"/>
          <w:szCs w:val="32"/>
        </w:rPr>
        <w:t>2015</w:t>
      </w:r>
      <w:r w:rsidR="003F53B9">
        <w:rPr>
          <w:rFonts w:ascii="仿宋" w:eastAsia="仿宋" w:hAnsi="Times New Roman" w:cs="仿宋" w:hint="eastAsia"/>
          <w:color w:val="000000"/>
          <w:sz w:val="32"/>
          <w:szCs w:val="32"/>
        </w:rPr>
        <w:t>年度收入总计</w:t>
      </w:r>
      <w:r w:rsidR="00385021">
        <w:rPr>
          <w:rFonts w:ascii="仿宋" w:eastAsia="仿宋" w:hAnsi="Times New Roman" w:cs="仿宋" w:hint="eastAsia"/>
          <w:color w:val="000000"/>
          <w:sz w:val="32"/>
          <w:szCs w:val="32"/>
        </w:rPr>
        <w:t>1794.90</w:t>
      </w:r>
      <w:r w:rsidR="003F53B9">
        <w:rPr>
          <w:rFonts w:ascii="仿宋" w:eastAsia="仿宋" w:hAnsi="Times New Roman" w:cs="仿宋" w:hint="eastAsia"/>
          <w:color w:val="000000"/>
          <w:sz w:val="32"/>
          <w:szCs w:val="32"/>
        </w:rPr>
        <w:t>万元，支出总计</w:t>
      </w:r>
      <w:r w:rsidR="00385021">
        <w:rPr>
          <w:rFonts w:ascii="仿宋" w:eastAsia="仿宋" w:hAnsi="Times New Roman" w:cs="仿宋" w:hint="eastAsia"/>
          <w:color w:val="000000"/>
          <w:sz w:val="32"/>
          <w:szCs w:val="32"/>
        </w:rPr>
        <w:t>1794.90</w:t>
      </w:r>
      <w:r w:rsidR="003F53B9">
        <w:rPr>
          <w:rFonts w:ascii="仿宋" w:eastAsia="仿宋" w:hAnsi="Times New Roman" w:cs="仿宋" w:hint="eastAsia"/>
          <w:color w:val="000000"/>
          <w:sz w:val="32"/>
          <w:szCs w:val="32"/>
        </w:rPr>
        <w:t>万元。与上年相比，收</w:t>
      </w:r>
      <w:r w:rsidR="0061194C">
        <w:rPr>
          <w:rFonts w:ascii="仿宋" w:eastAsia="仿宋" w:hAnsi="Times New Roman" w:cs="仿宋" w:hint="eastAsia"/>
          <w:color w:val="000000"/>
          <w:sz w:val="32"/>
          <w:szCs w:val="32"/>
        </w:rPr>
        <w:t>支总计</w:t>
      </w:r>
      <w:r w:rsidR="003D5271">
        <w:rPr>
          <w:rFonts w:ascii="仿宋" w:eastAsia="仿宋" w:hAnsi="Times New Roman" w:cs="仿宋" w:hint="eastAsia"/>
          <w:color w:val="000000"/>
          <w:sz w:val="32"/>
          <w:szCs w:val="32"/>
        </w:rPr>
        <w:t>各</w:t>
      </w:r>
      <w:r w:rsidR="003F53B9">
        <w:rPr>
          <w:rFonts w:ascii="仿宋" w:eastAsia="仿宋" w:hAnsi="Times New Roman" w:cs="仿宋" w:hint="eastAsia"/>
          <w:color w:val="000000"/>
          <w:sz w:val="32"/>
          <w:szCs w:val="32"/>
        </w:rPr>
        <w:t>增</w:t>
      </w:r>
      <w:r w:rsidR="00385021">
        <w:rPr>
          <w:rFonts w:ascii="仿宋" w:eastAsia="仿宋" w:hAnsi="Times New Roman" w:cs="仿宋" w:hint="eastAsia"/>
          <w:color w:val="000000"/>
          <w:sz w:val="32"/>
          <w:szCs w:val="32"/>
        </w:rPr>
        <w:t>94.26</w:t>
      </w:r>
      <w:r w:rsidR="003F53B9">
        <w:rPr>
          <w:rFonts w:ascii="仿宋" w:eastAsia="仿宋" w:hAnsi="Times New Roman" w:cs="仿宋" w:hint="eastAsia"/>
          <w:color w:val="000000"/>
          <w:sz w:val="32"/>
          <w:szCs w:val="32"/>
        </w:rPr>
        <w:t>万元，增长</w:t>
      </w:r>
      <w:r w:rsidR="00385021">
        <w:rPr>
          <w:rFonts w:ascii="仿宋" w:eastAsia="仿宋" w:hAnsi="Times New Roman" w:cs="仿宋" w:hint="eastAsia"/>
          <w:color w:val="000000"/>
          <w:sz w:val="32"/>
          <w:szCs w:val="32"/>
        </w:rPr>
        <w:t>5.54</w:t>
      </w:r>
      <w:r w:rsidR="003F53B9">
        <w:rPr>
          <w:rFonts w:ascii="仿宋" w:eastAsia="仿宋" w:hAnsi="Times New Roman" w:cs="仿宋" w:hint="eastAsia"/>
          <w:color w:val="000000"/>
          <w:sz w:val="32"/>
          <w:szCs w:val="32"/>
        </w:rPr>
        <w:t>%</w:t>
      </w:r>
      <w:r w:rsidR="00125B4D">
        <w:rPr>
          <w:rFonts w:ascii="仿宋" w:eastAsia="仿宋" w:hAnsi="Times New Roman" w:cs="仿宋" w:hint="eastAsia"/>
          <w:color w:val="000000"/>
          <w:sz w:val="32"/>
          <w:szCs w:val="32"/>
        </w:rPr>
        <w:t>，</w:t>
      </w:r>
      <w:r w:rsidR="00125B4D" w:rsidRPr="008C4D75">
        <w:rPr>
          <w:rFonts w:ascii="仿宋" w:eastAsia="仿宋" w:hAnsi="Times New Roman" w:cs="仿宋" w:hint="eastAsia"/>
          <w:sz w:val="32"/>
          <w:szCs w:val="32"/>
        </w:rPr>
        <w:t>主要原因</w:t>
      </w:r>
      <w:r w:rsidR="00642FED" w:rsidRPr="008C4D75">
        <w:rPr>
          <w:rFonts w:ascii="仿宋" w:eastAsia="仿宋" w:hAnsi="Times New Roman" w:cs="仿宋" w:hint="eastAsia"/>
          <w:sz w:val="32"/>
          <w:szCs w:val="32"/>
        </w:rPr>
        <w:t>是人员经费增加。</w:t>
      </w:r>
    </w:p>
    <w:p w:rsidR="00371925" w:rsidRDefault="003F53B9" w:rsidP="003F53B9">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hint="eastAsia"/>
          <w:color w:val="000000"/>
          <w:sz w:val="32"/>
          <w:szCs w:val="32"/>
        </w:rPr>
        <w:t>（二）</w:t>
      </w:r>
      <w:r w:rsidR="00E0018C">
        <w:rPr>
          <w:rFonts w:ascii="仿宋" w:eastAsia="仿宋" w:hAnsi="Times New Roman" w:cs="仿宋" w:hint="eastAsia"/>
          <w:color w:val="000000"/>
          <w:sz w:val="32"/>
          <w:szCs w:val="32"/>
        </w:rPr>
        <w:t>收入决算</w:t>
      </w:r>
      <w:r w:rsidR="00881F0B">
        <w:rPr>
          <w:rFonts w:ascii="仿宋" w:eastAsia="仿宋" w:hAnsi="Times New Roman" w:cs="仿宋" w:hint="eastAsia"/>
          <w:color w:val="000000"/>
          <w:sz w:val="32"/>
          <w:szCs w:val="32"/>
        </w:rPr>
        <w:t>情况</w:t>
      </w:r>
      <w:r w:rsidR="00881F0B">
        <w:rPr>
          <w:rFonts w:ascii="仿宋" w:eastAsia="仿宋" w:hAnsi="Times New Roman" w:cs="仿宋"/>
          <w:color w:val="000000"/>
          <w:sz w:val="32"/>
          <w:szCs w:val="32"/>
        </w:rPr>
        <w:br/>
      </w:r>
      <w:r w:rsidR="00881F0B">
        <w:rPr>
          <w:rFonts w:ascii="仿宋" w:eastAsia="仿宋" w:hAnsi="Times New Roman" w:cs="仿宋" w:hint="eastAsia"/>
          <w:color w:val="000000"/>
          <w:sz w:val="32"/>
          <w:szCs w:val="32"/>
        </w:rPr>
        <w:t xml:space="preserve">　　</w:t>
      </w:r>
      <w:r w:rsidR="00881F0B">
        <w:rPr>
          <w:rFonts w:ascii="仿宋" w:eastAsia="仿宋" w:hAnsi="Times New Roman" w:cs="仿宋"/>
          <w:color w:val="000000"/>
          <w:sz w:val="32"/>
          <w:szCs w:val="32"/>
        </w:rPr>
        <w:t>2015</w:t>
      </w:r>
      <w:r w:rsidR="00371925">
        <w:rPr>
          <w:rFonts w:ascii="仿宋" w:eastAsia="仿宋" w:hAnsi="Times New Roman" w:cs="仿宋" w:hint="eastAsia"/>
          <w:color w:val="000000"/>
          <w:sz w:val="32"/>
          <w:szCs w:val="32"/>
        </w:rPr>
        <w:t>年度收入合计</w:t>
      </w:r>
      <w:r w:rsidR="00385021">
        <w:rPr>
          <w:rFonts w:ascii="仿宋" w:eastAsia="仿宋" w:hAnsi="Times New Roman" w:cs="仿宋" w:hint="eastAsia"/>
          <w:color w:val="000000"/>
          <w:sz w:val="32"/>
          <w:szCs w:val="32"/>
        </w:rPr>
        <w:t>17</w:t>
      </w:r>
      <w:r w:rsidR="003349AB">
        <w:rPr>
          <w:rFonts w:ascii="仿宋" w:eastAsia="仿宋" w:hAnsi="Times New Roman" w:cs="仿宋" w:hint="eastAsia"/>
          <w:color w:val="000000"/>
          <w:sz w:val="32"/>
          <w:szCs w:val="32"/>
        </w:rPr>
        <w:t>83.62</w:t>
      </w:r>
      <w:r w:rsidR="00881F0B">
        <w:rPr>
          <w:rFonts w:ascii="仿宋" w:eastAsia="仿宋" w:hAnsi="Times New Roman" w:cs="仿宋" w:hint="eastAsia"/>
          <w:color w:val="000000"/>
          <w:sz w:val="32"/>
          <w:szCs w:val="32"/>
        </w:rPr>
        <w:t>万元，</w:t>
      </w:r>
      <w:r w:rsidR="00371925">
        <w:rPr>
          <w:rFonts w:ascii="仿宋" w:eastAsia="仿宋" w:hAnsi="Times New Roman" w:cs="仿宋" w:hint="eastAsia"/>
          <w:color w:val="000000"/>
          <w:sz w:val="32"/>
          <w:szCs w:val="32"/>
        </w:rPr>
        <w:t>比上年增加</w:t>
      </w:r>
      <w:r w:rsidR="00C210C6">
        <w:rPr>
          <w:rFonts w:ascii="仿宋" w:eastAsia="仿宋" w:hAnsi="Times New Roman" w:cs="仿宋" w:hint="eastAsia"/>
          <w:color w:val="000000"/>
          <w:sz w:val="32"/>
          <w:szCs w:val="32"/>
        </w:rPr>
        <w:t>92.20</w:t>
      </w:r>
      <w:r w:rsidR="00371925">
        <w:rPr>
          <w:rFonts w:ascii="仿宋" w:eastAsia="仿宋" w:hAnsi="Times New Roman" w:cs="仿宋" w:hint="eastAsia"/>
          <w:color w:val="000000"/>
          <w:sz w:val="32"/>
          <w:szCs w:val="32"/>
        </w:rPr>
        <w:t>万元，增长</w:t>
      </w:r>
      <w:r w:rsidR="00C210C6">
        <w:rPr>
          <w:rFonts w:ascii="仿宋" w:eastAsia="仿宋" w:hAnsi="Times New Roman" w:cs="仿宋" w:hint="eastAsia"/>
          <w:color w:val="000000"/>
          <w:sz w:val="32"/>
          <w:szCs w:val="32"/>
        </w:rPr>
        <w:t>5.45</w:t>
      </w:r>
      <w:r w:rsidR="00371925">
        <w:rPr>
          <w:rFonts w:ascii="仿宋" w:eastAsia="仿宋" w:hAnsi="Times New Roman" w:cs="仿宋" w:hint="eastAsia"/>
          <w:color w:val="000000"/>
          <w:sz w:val="32"/>
          <w:szCs w:val="32"/>
        </w:rPr>
        <w:t>%</w:t>
      </w:r>
      <w:r w:rsidR="008C4D75">
        <w:rPr>
          <w:rFonts w:ascii="仿宋" w:eastAsia="仿宋" w:hAnsi="Times New Roman" w:cs="仿宋" w:hint="eastAsia"/>
          <w:color w:val="000000"/>
          <w:sz w:val="32"/>
          <w:szCs w:val="32"/>
        </w:rPr>
        <w:t>，</w:t>
      </w:r>
      <w:r w:rsidR="008C4D75" w:rsidRPr="008C4D75">
        <w:rPr>
          <w:rFonts w:ascii="仿宋" w:eastAsia="仿宋" w:hAnsi="Times New Roman" w:cs="仿宋" w:hint="eastAsia"/>
          <w:sz w:val="32"/>
          <w:szCs w:val="32"/>
        </w:rPr>
        <w:t>主要原因是人员经费增加</w:t>
      </w:r>
      <w:r w:rsidR="00371925">
        <w:rPr>
          <w:rFonts w:ascii="仿宋" w:eastAsia="仿宋" w:hAnsi="Times New Roman" w:cs="仿宋" w:hint="eastAsia"/>
          <w:color w:val="000000"/>
          <w:sz w:val="32"/>
          <w:szCs w:val="32"/>
        </w:rPr>
        <w:t>。</w:t>
      </w:r>
      <w:r w:rsidR="00881F0B">
        <w:rPr>
          <w:rFonts w:ascii="仿宋" w:eastAsia="仿宋" w:hAnsi="Times New Roman" w:cs="仿宋" w:hint="eastAsia"/>
          <w:color w:val="000000"/>
          <w:sz w:val="32"/>
          <w:szCs w:val="32"/>
        </w:rPr>
        <w:t>其中：财政拨款</w:t>
      </w:r>
      <w:r w:rsidR="00385021">
        <w:rPr>
          <w:rFonts w:ascii="仿宋" w:eastAsia="仿宋" w:hAnsi="Times New Roman" w:cs="仿宋" w:hint="eastAsia"/>
          <w:color w:val="000000"/>
          <w:sz w:val="32"/>
          <w:szCs w:val="32"/>
        </w:rPr>
        <w:t>1515.38</w:t>
      </w:r>
      <w:r w:rsidR="00881F0B">
        <w:rPr>
          <w:rFonts w:ascii="仿宋" w:eastAsia="仿宋" w:hAnsi="Times New Roman" w:cs="仿宋" w:hint="eastAsia"/>
          <w:color w:val="000000"/>
          <w:sz w:val="32"/>
          <w:szCs w:val="32"/>
        </w:rPr>
        <w:t>万元，占</w:t>
      </w:r>
      <w:r w:rsidR="00B8507F">
        <w:rPr>
          <w:rFonts w:ascii="仿宋" w:eastAsia="仿宋" w:hAnsi="Times New Roman" w:cs="仿宋" w:hint="eastAsia"/>
          <w:color w:val="000000"/>
          <w:sz w:val="32"/>
          <w:szCs w:val="32"/>
        </w:rPr>
        <w:t>84.</w:t>
      </w:r>
      <w:r w:rsidR="00530954">
        <w:rPr>
          <w:rFonts w:ascii="仿宋" w:eastAsia="仿宋" w:hAnsi="Times New Roman" w:cs="仿宋" w:hint="eastAsia"/>
          <w:color w:val="000000"/>
          <w:sz w:val="32"/>
          <w:szCs w:val="32"/>
        </w:rPr>
        <w:t>96</w:t>
      </w:r>
      <w:r w:rsidR="00881F0B">
        <w:rPr>
          <w:rFonts w:ascii="仿宋" w:eastAsia="仿宋" w:hAnsi="Times New Roman" w:cs="仿宋"/>
          <w:color w:val="000000"/>
          <w:sz w:val="32"/>
          <w:szCs w:val="32"/>
        </w:rPr>
        <w:t>%</w:t>
      </w:r>
      <w:r w:rsidR="00881F0B">
        <w:rPr>
          <w:rFonts w:ascii="仿宋" w:eastAsia="仿宋" w:hAnsi="Times New Roman" w:cs="仿宋" w:hint="eastAsia"/>
          <w:color w:val="000000"/>
          <w:sz w:val="32"/>
          <w:szCs w:val="32"/>
        </w:rPr>
        <w:t>；</w:t>
      </w:r>
      <w:r w:rsidR="00385021">
        <w:rPr>
          <w:rFonts w:ascii="仿宋" w:eastAsia="仿宋" w:hAnsi="Times New Roman" w:cs="仿宋" w:hint="eastAsia"/>
          <w:color w:val="000000"/>
          <w:sz w:val="32"/>
          <w:szCs w:val="32"/>
        </w:rPr>
        <w:t>其他收入268.</w:t>
      </w:r>
      <w:r w:rsidR="00530954">
        <w:rPr>
          <w:rFonts w:ascii="仿宋" w:eastAsia="仿宋" w:hAnsi="Times New Roman" w:cs="仿宋" w:hint="eastAsia"/>
          <w:color w:val="000000"/>
          <w:sz w:val="32"/>
          <w:szCs w:val="32"/>
        </w:rPr>
        <w:t>2</w:t>
      </w:r>
      <w:r w:rsidR="00385021">
        <w:rPr>
          <w:rFonts w:ascii="仿宋" w:eastAsia="仿宋" w:hAnsi="Times New Roman" w:cs="仿宋" w:hint="eastAsia"/>
          <w:color w:val="000000"/>
          <w:sz w:val="32"/>
          <w:szCs w:val="32"/>
        </w:rPr>
        <w:t>4</w:t>
      </w:r>
      <w:r w:rsidR="00881F0B">
        <w:rPr>
          <w:rFonts w:ascii="仿宋" w:eastAsia="仿宋" w:hAnsi="Times New Roman" w:cs="仿宋" w:hint="eastAsia"/>
          <w:color w:val="000000"/>
          <w:sz w:val="32"/>
          <w:szCs w:val="32"/>
        </w:rPr>
        <w:t>万元，占</w:t>
      </w:r>
      <w:r w:rsidR="00B8507F">
        <w:rPr>
          <w:rFonts w:ascii="仿宋" w:eastAsia="仿宋" w:hAnsi="Times New Roman" w:cs="仿宋" w:hint="eastAsia"/>
          <w:color w:val="000000"/>
          <w:sz w:val="32"/>
          <w:szCs w:val="32"/>
        </w:rPr>
        <w:t>1</w:t>
      </w:r>
      <w:r w:rsidR="00530954">
        <w:rPr>
          <w:rFonts w:ascii="仿宋" w:eastAsia="仿宋" w:hAnsi="Times New Roman" w:cs="仿宋" w:hint="eastAsia"/>
          <w:color w:val="000000"/>
          <w:sz w:val="32"/>
          <w:szCs w:val="32"/>
        </w:rPr>
        <w:t>5.04</w:t>
      </w:r>
      <w:r w:rsidR="00881F0B">
        <w:rPr>
          <w:rFonts w:ascii="仿宋" w:eastAsia="仿宋" w:hAnsi="Times New Roman" w:cs="仿宋"/>
          <w:color w:val="000000"/>
          <w:sz w:val="32"/>
          <w:szCs w:val="32"/>
        </w:rPr>
        <w:t>%</w:t>
      </w:r>
      <w:r w:rsidR="00371925">
        <w:rPr>
          <w:rFonts w:ascii="仿宋" w:eastAsia="仿宋" w:hAnsi="Times New Roman" w:cs="仿宋" w:hint="eastAsia"/>
          <w:color w:val="000000"/>
          <w:sz w:val="32"/>
          <w:szCs w:val="32"/>
        </w:rPr>
        <w:t>。</w:t>
      </w:r>
    </w:p>
    <w:p w:rsidR="00881F0B" w:rsidRDefault="00E0018C" w:rsidP="00881F0B">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lastRenderedPageBreak/>
        <w:t>（</w:t>
      </w:r>
      <w:r w:rsidR="003F53B9">
        <w:rPr>
          <w:rFonts w:ascii="仿宋" w:eastAsia="仿宋" w:hAnsi="Times New Roman" w:cs="仿宋" w:hint="eastAsia"/>
          <w:color w:val="000000"/>
          <w:sz w:val="32"/>
          <w:szCs w:val="32"/>
        </w:rPr>
        <w:t>三</w:t>
      </w:r>
      <w:r>
        <w:rPr>
          <w:rFonts w:ascii="仿宋" w:eastAsia="仿宋" w:hAnsi="Times New Roman" w:cs="仿宋" w:hint="eastAsia"/>
          <w:color w:val="000000"/>
          <w:sz w:val="32"/>
          <w:szCs w:val="32"/>
        </w:rPr>
        <w:t>）支出决算</w:t>
      </w:r>
      <w:r w:rsidR="00881F0B">
        <w:rPr>
          <w:rFonts w:ascii="仿宋" w:eastAsia="仿宋" w:hAnsi="Times New Roman" w:cs="仿宋" w:hint="eastAsia"/>
          <w:color w:val="000000"/>
          <w:sz w:val="32"/>
          <w:szCs w:val="32"/>
        </w:rPr>
        <w:t>情况</w:t>
      </w:r>
      <w:r w:rsidR="00881F0B">
        <w:rPr>
          <w:rFonts w:ascii="仿宋" w:eastAsia="仿宋" w:hAnsi="Times New Roman" w:cs="仿宋"/>
          <w:color w:val="000000"/>
          <w:sz w:val="32"/>
          <w:szCs w:val="32"/>
        </w:rPr>
        <w:br/>
      </w:r>
      <w:r w:rsidR="00881F0B">
        <w:rPr>
          <w:rFonts w:ascii="仿宋" w:eastAsia="仿宋" w:hAnsi="Times New Roman" w:cs="仿宋" w:hint="eastAsia"/>
          <w:color w:val="000000"/>
          <w:sz w:val="32"/>
          <w:szCs w:val="32"/>
        </w:rPr>
        <w:t xml:space="preserve">　　</w:t>
      </w:r>
      <w:r w:rsidR="00881F0B">
        <w:rPr>
          <w:rFonts w:ascii="仿宋" w:eastAsia="仿宋" w:hAnsi="Times New Roman" w:cs="仿宋"/>
          <w:color w:val="000000"/>
          <w:sz w:val="32"/>
          <w:szCs w:val="32"/>
        </w:rPr>
        <w:t>2015</w:t>
      </w:r>
      <w:r w:rsidR="00881F0B">
        <w:rPr>
          <w:rFonts w:ascii="仿宋" w:eastAsia="仿宋" w:hAnsi="Times New Roman" w:cs="仿宋" w:hint="eastAsia"/>
          <w:color w:val="000000"/>
          <w:sz w:val="32"/>
          <w:szCs w:val="32"/>
        </w:rPr>
        <w:t>年度支出</w:t>
      </w:r>
      <w:r w:rsidR="00342CD2">
        <w:rPr>
          <w:rFonts w:ascii="仿宋" w:eastAsia="仿宋" w:hAnsi="Times New Roman" w:cs="仿宋" w:hint="eastAsia"/>
          <w:color w:val="000000"/>
          <w:sz w:val="32"/>
          <w:szCs w:val="32"/>
        </w:rPr>
        <w:t>合计</w:t>
      </w:r>
      <w:r w:rsidR="00B331DE">
        <w:rPr>
          <w:rFonts w:ascii="仿宋" w:eastAsia="仿宋" w:hAnsi="Times New Roman" w:cs="仿宋" w:hint="eastAsia"/>
          <w:color w:val="000000"/>
          <w:sz w:val="32"/>
          <w:szCs w:val="32"/>
        </w:rPr>
        <w:t>1783.38</w:t>
      </w:r>
      <w:r w:rsidR="00881F0B">
        <w:rPr>
          <w:rFonts w:ascii="仿宋" w:eastAsia="仿宋" w:hAnsi="Times New Roman" w:cs="仿宋" w:hint="eastAsia"/>
          <w:color w:val="000000"/>
          <w:sz w:val="32"/>
          <w:szCs w:val="32"/>
        </w:rPr>
        <w:t>万元</w:t>
      </w:r>
      <w:r w:rsidR="00342CD2">
        <w:rPr>
          <w:rFonts w:ascii="仿宋" w:eastAsia="仿宋" w:hAnsi="Times New Roman" w:cs="仿宋" w:hint="eastAsia"/>
          <w:color w:val="000000"/>
          <w:sz w:val="32"/>
          <w:szCs w:val="32"/>
        </w:rPr>
        <w:t>，比上年增加</w:t>
      </w:r>
      <w:r w:rsidR="00C210C6">
        <w:rPr>
          <w:rFonts w:ascii="仿宋" w:eastAsia="仿宋" w:hAnsi="Times New Roman" w:cs="仿宋" w:hint="eastAsia"/>
          <w:color w:val="000000"/>
          <w:sz w:val="32"/>
          <w:szCs w:val="32"/>
        </w:rPr>
        <w:t>94.01</w:t>
      </w:r>
      <w:r w:rsidR="00342CD2">
        <w:rPr>
          <w:rFonts w:ascii="仿宋" w:eastAsia="仿宋" w:hAnsi="Times New Roman" w:cs="仿宋" w:hint="eastAsia"/>
          <w:color w:val="000000"/>
          <w:sz w:val="32"/>
          <w:szCs w:val="32"/>
        </w:rPr>
        <w:t>万元，增长</w:t>
      </w:r>
      <w:r w:rsidR="00C210C6">
        <w:rPr>
          <w:rFonts w:ascii="仿宋" w:eastAsia="仿宋" w:hAnsi="Times New Roman" w:cs="仿宋" w:hint="eastAsia"/>
          <w:color w:val="000000"/>
          <w:sz w:val="32"/>
          <w:szCs w:val="32"/>
        </w:rPr>
        <w:t>5.56</w:t>
      </w:r>
      <w:r w:rsidR="00342CD2">
        <w:rPr>
          <w:rFonts w:ascii="仿宋" w:eastAsia="仿宋" w:hAnsi="Times New Roman" w:cs="仿宋" w:hint="eastAsia"/>
          <w:color w:val="000000"/>
          <w:sz w:val="32"/>
          <w:szCs w:val="32"/>
        </w:rPr>
        <w:t>%</w:t>
      </w:r>
      <w:r w:rsidR="008C4D75">
        <w:rPr>
          <w:rFonts w:ascii="仿宋" w:eastAsia="仿宋" w:hAnsi="Times New Roman" w:cs="仿宋" w:hint="eastAsia"/>
          <w:color w:val="000000"/>
          <w:sz w:val="32"/>
          <w:szCs w:val="32"/>
        </w:rPr>
        <w:t>，</w:t>
      </w:r>
      <w:r w:rsidR="008C4D75" w:rsidRPr="008C4D75">
        <w:rPr>
          <w:rFonts w:ascii="仿宋" w:eastAsia="仿宋" w:hAnsi="Times New Roman" w:cs="仿宋" w:hint="eastAsia"/>
          <w:sz w:val="32"/>
          <w:szCs w:val="32"/>
        </w:rPr>
        <w:t>主要原因是人员经费增加</w:t>
      </w:r>
      <w:r w:rsidR="00881F0B">
        <w:rPr>
          <w:rFonts w:ascii="仿宋" w:eastAsia="仿宋" w:hAnsi="Times New Roman" w:cs="仿宋" w:hint="eastAsia"/>
          <w:color w:val="000000"/>
          <w:sz w:val="32"/>
          <w:szCs w:val="32"/>
        </w:rPr>
        <w:t>。</w:t>
      </w:r>
      <w:r w:rsidR="00342CD2">
        <w:rPr>
          <w:rFonts w:ascii="仿宋" w:eastAsia="仿宋" w:hAnsi="Times New Roman" w:cs="仿宋" w:hint="eastAsia"/>
          <w:color w:val="000000"/>
          <w:sz w:val="32"/>
          <w:szCs w:val="32"/>
        </w:rPr>
        <w:t>其中：基本支出</w:t>
      </w:r>
      <w:r w:rsidR="00B331DE">
        <w:rPr>
          <w:rFonts w:ascii="仿宋" w:eastAsia="仿宋" w:hAnsi="Times New Roman" w:cs="仿宋" w:hint="eastAsia"/>
          <w:color w:val="000000"/>
          <w:sz w:val="32"/>
          <w:szCs w:val="32"/>
        </w:rPr>
        <w:t>1260.70</w:t>
      </w:r>
      <w:r w:rsidR="00342CD2">
        <w:rPr>
          <w:rFonts w:ascii="仿宋" w:eastAsia="仿宋" w:hAnsi="Times New Roman" w:cs="仿宋" w:hint="eastAsia"/>
          <w:color w:val="000000"/>
          <w:sz w:val="32"/>
          <w:szCs w:val="32"/>
        </w:rPr>
        <w:t>万元，占</w:t>
      </w:r>
      <w:r w:rsidR="00B331DE">
        <w:rPr>
          <w:rFonts w:ascii="仿宋" w:eastAsia="仿宋" w:hAnsi="Times New Roman" w:cs="仿宋" w:hint="eastAsia"/>
          <w:color w:val="000000"/>
          <w:sz w:val="32"/>
          <w:szCs w:val="32"/>
        </w:rPr>
        <w:t>70.69</w:t>
      </w:r>
      <w:r w:rsidR="00342CD2">
        <w:rPr>
          <w:rFonts w:ascii="仿宋" w:eastAsia="仿宋" w:hAnsi="Times New Roman" w:cs="仿宋" w:hint="eastAsia"/>
          <w:color w:val="000000"/>
          <w:sz w:val="32"/>
          <w:szCs w:val="32"/>
        </w:rPr>
        <w:t>%；项目支出</w:t>
      </w:r>
      <w:r w:rsidR="00C210C6">
        <w:rPr>
          <w:rFonts w:ascii="仿宋" w:eastAsia="仿宋" w:hAnsi="Times New Roman" w:cs="仿宋" w:hint="eastAsia"/>
          <w:color w:val="000000"/>
          <w:sz w:val="32"/>
          <w:szCs w:val="32"/>
        </w:rPr>
        <w:t>522.68</w:t>
      </w:r>
      <w:r w:rsidR="00B331DE">
        <w:rPr>
          <w:rFonts w:ascii="仿宋" w:eastAsia="仿宋" w:hAnsi="Times New Roman" w:cs="仿宋" w:hint="eastAsia"/>
          <w:color w:val="000000"/>
          <w:sz w:val="32"/>
          <w:szCs w:val="32"/>
        </w:rPr>
        <w:t>万元</w:t>
      </w:r>
      <w:r w:rsidR="00C210C6">
        <w:rPr>
          <w:rFonts w:ascii="仿宋" w:eastAsia="仿宋" w:hAnsi="Times New Roman" w:cs="仿宋" w:hint="eastAsia"/>
          <w:color w:val="000000"/>
          <w:sz w:val="32"/>
          <w:szCs w:val="32"/>
        </w:rPr>
        <w:t>，占29.31%</w:t>
      </w:r>
      <w:r w:rsidR="00342CD2">
        <w:rPr>
          <w:rFonts w:ascii="仿宋" w:eastAsia="仿宋" w:hAnsi="Times New Roman" w:cs="仿宋" w:hint="eastAsia"/>
          <w:color w:val="000000"/>
          <w:sz w:val="32"/>
          <w:szCs w:val="32"/>
        </w:rPr>
        <w:t>。</w:t>
      </w:r>
    </w:p>
    <w:p w:rsidR="007079F8" w:rsidRDefault="00881F0B" w:rsidP="00881F0B">
      <w:pPr>
        <w:autoSpaceDE w:val="0"/>
        <w:autoSpaceDN w:val="0"/>
        <w:adjustRightInd w:val="0"/>
        <w:spacing w:line="560" w:lineRule="exact"/>
        <w:ind w:firstLine="63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3F53B9">
        <w:rPr>
          <w:rFonts w:ascii="仿宋" w:eastAsia="仿宋" w:hAnsi="Times New Roman" w:cs="仿宋" w:hint="eastAsia"/>
          <w:color w:val="000000"/>
          <w:sz w:val="32"/>
          <w:szCs w:val="32"/>
        </w:rPr>
        <w:t>四</w:t>
      </w: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财政拨款收入支出决算情况</w:t>
      </w:r>
    </w:p>
    <w:p w:rsidR="007079F8" w:rsidRPr="008C4D75" w:rsidRDefault="007079F8" w:rsidP="007079F8">
      <w:pPr>
        <w:autoSpaceDE w:val="0"/>
        <w:autoSpaceDN w:val="0"/>
        <w:adjustRightInd w:val="0"/>
        <w:spacing w:line="560" w:lineRule="exact"/>
        <w:ind w:firstLine="627"/>
        <w:rPr>
          <w:rFonts w:ascii="仿宋" w:eastAsia="仿宋" w:hAnsi="Times New Roman" w:cs="仿宋"/>
          <w:sz w:val="32"/>
          <w:szCs w:val="32"/>
        </w:rPr>
      </w:pPr>
      <w:r>
        <w:rPr>
          <w:rFonts w:ascii="仿宋" w:eastAsia="仿宋" w:hAnsi="Times New Roman" w:cs="仿宋" w:hint="eastAsia"/>
          <w:color w:val="000000"/>
          <w:sz w:val="32"/>
          <w:szCs w:val="32"/>
        </w:rPr>
        <w:t>2015年度财政拨款</w:t>
      </w:r>
      <w:r w:rsidR="003D5271">
        <w:rPr>
          <w:rFonts w:ascii="仿宋" w:eastAsia="仿宋" w:hAnsi="Times New Roman" w:cs="仿宋" w:hint="eastAsia"/>
          <w:color w:val="000000"/>
          <w:sz w:val="32"/>
          <w:szCs w:val="32"/>
        </w:rPr>
        <w:t>收支</w:t>
      </w:r>
      <w:r>
        <w:rPr>
          <w:rFonts w:ascii="仿宋" w:eastAsia="仿宋" w:hAnsi="Times New Roman" w:cs="仿宋" w:hint="eastAsia"/>
          <w:color w:val="000000"/>
          <w:sz w:val="32"/>
          <w:szCs w:val="32"/>
        </w:rPr>
        <w:t>总计</w:t>
      </w:r>
      <w:r w:rsidR="00756AAB">
        <w:rPr>
          <w:rFonts w:ascii="仿宋" w:eastAsia="仿宋" w:hAnsi="Times New Roman" w:cs="仿宋" w:hint="eastAsia"/>
          <w:color w:val="000000"/>
          <w:sz w:val="32"/>
          <w:szCs w:val="32"/>
        </w:rPr>
        <w:t>1524.60</w:t>
      </w:r>
      <w:r>
        <w:rPr>
          <w:rFonts w:ascii="仿宋" w:eastAsia="仿宋" w:hAnsi="Times New Roman" w:cs="仿宋" w:hint="eastAsia"/>
          <w:color w:val="000000"/>
          <w:sz w:val="32"/>
          <w:szCs w:val="32"/>
        </w:rPr>
        <w:t>万元</w:t>
      </w:r>
      <w:r w:rsidR="003D5271">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与上年相比，财政拨款收支总计</w:t>
      </w:r>
      <w:r w:rsidR="003D5271">
        <w:rPr>
          <w:rFonts w:ascii="仿宋" w:eastAsia="仿宋" w:hAnsi="Times New Roman" w:cs="仿宋" w:hint="eastAsia"/>
          <w:color w:val="000000"/>
          <w:sz w:val="32"/>
          <w:szCs w:val="32"/>
        </w:rPr>
        <w:t>各</w:t>
      </w:r>
      <w:r>
        <w:rPr>
          <w:rFonts w:ascii="仿宋" w:eastAsia="仿宋" w:hAnsi="Times New Roman" w:cs="仿宋" w:hint="eastAsia"/>
          <w:color w:val="000000"/>
          <w:sz w:val="32"/>
          <w:szCs w:val="32"/>
        </w:rPr>
        <w:t>减</w:t>
      </w:r>
      <w:r w:rsidR="00805A1D">
        <w:rPr>
          <w:rFonts w:ascii="仿宋" w:eastAsia="仿宋" w:hAnsi="Times New Roman" w:cs="仿宋" w:hint="eastAsia"/>
          <w:color w:val="000000"/>
          <w:sz w:val="32"/>
          <w:szCs w:val="32"/>
        </w:rPr>
        <w:t>162.73</w:t>
      </w:r>
      <w:r>
        <w:rPr>
          <w:rFonts w:ascii="仿宋" w:eastAsia="仿宋" w:hAnsi="Times New Roman" w:cs="仿宋" w:hint="eastAsia"/>
          <w:color w:val="000000"/>
          <w:sz w:val="32"/>
          <w:szCs w:val="32"/>
        </w:rPr>
        <w:t>万元，下降</w:t>
      </w:r>
      <w:r w:rsidR="00805A1D">
        <w:rPr>
          <w:rFonts w:ascii="仿宋" w:eastAsia="仿宋" w:hAnsi="Times New Roman" w:cs="仿宋" w:hint="eastAsia"/>
          <w:color w:val="000000"/>
          <w:sz w:val="32"/>
          <w:szCs w:val="32"/>
        </w:rPr>
        <w:t>9.64</w:t>
      </w:r>
      <w:r>
        <w:rPr>
          <w:rFonts w:ascii="仿宋" w:eastAsia="仿宋" w:hAnsi="Times New Roman" w:cs="仿宋" w:hint="eastAsia"/>
          <w:color w:val="000000"/>
          <w:sz w:val="32"/>
          <w:szCs w:val="32"/>
        </w:rPr>
        <w:t>%</w:t>
      </w:r>
      <w:r w:rsidR="00125B4D">
        <w:rPr>
          <w:rFonts w:ascii="仿宋" w:eastAsia="仿宋" w:hAnsi="Times New Roman" w:cs="仿宋" w:hint="eastAsia"/>
          <w:color w:val="000000"/>
          <w:sz w:val="32"/>
          <w:szCs w:val="32"/>
        </w:rPr>
        <w:t>，</w:t>
      </w:r>
      <w:r w:rsidR="00125B4D" w:rsidRPr="008C4D75">
        <w:rPr>
          <w:rFonts w:ascii="仿宋" w:eastAsia="仿宋" w:hAnsi="Times New Roman" w:cs="仿宋" w:hint="eastAsia"/>
          <w:sz w:val="32"/>
          <w:szCs w:val="32"/>
        </w:rPr>
        <w:t>主要原因是</w:t>
      </w:r>
      <w:r w:rsidR="00642FED" w:rsidRPr="008C4D75">
        <w:rPr>
          <w:rFonts w:ascii="仿宋" w:eastAsia="仿宋" w:hAnsi="Times New Roman" w:cs="仿宋" w:hint="eastAsia"/>
          <w:sz w:val="32"/>
          <w:szCs w:val="32"/>
        </w:rPr>
        <w:t>项目经费减少。</w:t>
      </w:r>
    </w:p>
    <w:p w:rsidR="00881F0B" w:rsidRDefault="007079F8" w:rsidP="007079F8">
      <w:pPr>
        <w:autoSpaceDE w:val="0"/>
        <w:autoSpaceDN w:val="0"/>
        <w:adjustRightInd w:val="0"/>
        <w:spacing w:line="560" w:lineRule="exact"/>
        <w:ind w:firstLineChars="150"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（五）</w:t>
      </w:r>
      <w:r w:rsidR="00881F0B">
        <w:rPr>
          <w:rFonts w:ascii="仿宋" w:eastAsia="仿宋" w:hAnsi="Times New Roman" w:cs="仿宋" w:hint="eastAsia"/>
          <w:color w:val="000000"/>
          <w:sz w:val="32"/>
          <w:szCs w:val="32"/>
        </w:rPr>
        <w:t>财政拨款支出情况</w:t>
      </w:r>
    </w:p>
    <w:p w:rsidR="00881F0B" w:rsidRPr="0018273E" w:rsidRDefault="00982B21" w:rsidP="00881F0B">
      <w:pPr>
        <w:autoSpaceDE w:val="0"/>
        <w:autoSpaceDN w:val="0"/>
        <w:adjustRightInd w:val="0"/>
        <w:spacing w:line="560" w:lineRule="exact"/>
        <w:ind w:firstLine="480"/>
        <w:rPr>
          <w:rFonts w:ascii="仿宋" w:eastAsia="仿宋" w:hAnsi="Times New Roman" w:cs="仿宋"/>
          <w:color w:val="FF0000"/>
          <w:sz w:val="32"/>
          <w:szCs w:val="32"/>
        </w:rPr>
      </w:pPr>
      <w:r>
        <w:rPr>
          <w:rFonts w:ascii="仿宋" w:eastAsia="仿宋" w:hAnsi="Times New Roman" w:cs="仿宋" w:hint="eastAsia"/>
          <w:color w:val="000000"/>
          <w:sz w:val="32"/>
          <w:szCs w:val="32"/>
        </w:rPr>
        <w:t xml:space="preserve">　</w:t>
      </w:r>
      <w:r w:rsidR="00881F0B" w:rsidRPr="00294E07">
        <w:rPr>
          <w:rFonts w:ascii="仿宋" w:eastAsia="仿宋" w:hAnsi="Times New Roman" w:cs="仿宋"/>
          <w:color w:val="000000"/>
          <w:sz w:val="32"/>
          <w:szCs w:val="32"/>
        </w:rPr>
        <w:t>2015</w:t>
      </w:r>
      <w:r w:rsidR="00881F0B" w:rsidRPr="00294E07">
        <w:rPr>
          <w:rFonts w:ascii="仿宋" w:eastAsia="仿宋" w:hAnsi="Times New Roman" w:cs="仿宋" w:hint="eastAsia"/>
          <w:color w:val="000000"/>
          <w:sz w:val="32"/>
          <w:szCs w:val="32"/>
        </w:rPr>
        <w:t>年度部门决算</w:t>
      </w:r>
      <w:r w:rsidR="00342CD2" w:rsidRPr="00294E07">
        <w:rPr>
          <w:rFonts w:ascii="仿宋" w:eastAsia="仿宋" w:hAnsi="Times New Roman" w:cs="仿宋" w:hint="eastAsia"/>
          <w:color w:val="000000"/>
          <w:sz w:val="32"/>
          <w:szCs w:val="32"/>
        </w:rPr>
        <w:t>财政拨款支出年初预算</w:t>
      </w:r>
      <w:r w:rsidR="00756AAB">
        <w:rPr>
          <w:rFonts w:ascii="仿宋" w:eastAsia="仿宋" w:hAnsi="Times New Roman" w:cs="仿宋" w:hint="eastAsia"/>
          <w:color w:val="000000"/>
          <w:sz w:val="32"/>
          <w:szCs w:val="32"/>
        </w:rPr>
        <w:t>1477.35</w:t>
      </w:r>
      <w:r w:rsidR="00342CD2" w:rsidRPr="00294E07">
        <w:rPr>
          <w:rFonts w:ascii="仿宋" w:eastAsia="仿宋" w:hAnsi="Times New Roman" w:cs="仿宋" w:hint="eastAsia"/>
          <w:color w:val="000000"/>
          <w:sz w:val="32"/>
          <w:szCs w:val="32"/>
        </w:rPr>
        <w:t>万元</w:t>
      </w:r>
      <w:r w:rsidR="00881F0B" w:rsidRPr="00294E07">
        <w:rPr>
          <w:rFonts w:ascii="仿宋" w:eastAsia="仿宋" w:hAnsi="Times New Roman" w:cs="仿宋" w:hint="eastAsia"/>
          <w:color w:val="000000"/>
          <w:sz w:val="32"/>
          <w:szCs w:val="32"/>
        </w:rPr>
        <w:t>，</w:t>
      </w:r>
      <w:r w:rsidR="00342CD2" w:rsidRPr="00294E07">
        <w:rPr>
          <w:rFonts w:ascii="仿宋" w:eastAsia="仿宋" w:hAnsi="Times New Roman" w:cs="仿宋" w:hint="eastAsia"/>
          <w:color w:val="000000"/>
          <w:sz w:val="32"/>
          <w:szCs w:val="32"/>
        </w:rPr>
        <w:t>支出决算</w:t>
      </w:r>
      <w:r w:rsidR="00756AAB">
        <w:rPr>
          <w:rFonts w:ascii="仿宋" w:eastAsia="仿宋" w:hAnsi="Times New Roman" w:cs="仿宋" w:hint="eastAsia"/>
          <w:color w:val="000000"/>
          <w:sz w:val="32"/>
          <w:szCs w:val="32"/>
        </w:rPr>
        <w:t>1515.38</w:t>
      </w:r>
      <w:r w:rsidR="00342CD2" w:rsidRPr="00294E07">
        <w:rPr>
          <w:rFonts w:ascii="仿宋" w:eastAsia="仿宋" w:hAnsi="Times New Roman" w:cs="仿宋" w:hint="eastAsia"/>
          <w:color w:val="000000"/>
          <w:sz w:val="32"/>
          <w:szCs w:val="32"/>
        </w:rPr>
        <w:t>万</w:t>
      </w:r>
      <w:r w:rsidR="00342CD2" w:rsidRPr="008C4D75">
        <w:rPr>
          <w:rFonts w:ascii="仿宋" w:eastAsia="仿宋" w:hAnsi="Times New Roman" w:cs="仿宋" w:hint="eastAsia"/>
          <w:sz w:val="32"/>
          <w:szCs w:val="32"/>
        </w:rPr>
        <w:t>元，完成年初预算</w:t>
      </w:r>
      <w:r w:rsidR="00756AAB" w:rsidRPr="008C4D75">
        <w:rPr>
          <w:rFonts w:ascii="仿宋" w:eastAsia="仿宋" w:hAnsi="Times New Roman" w:cs="仿宋" w:hint="eastAsia"/>
          <w:sz w:val="32"/>
          <w:szCs w:val="32"/>
        </w:rPr>
        <w:t>1</w:t>
      </w:r>
      <w:r w:rsidR="00642FED" w:rsidRPr="008C4D75">
        <w:rPr>
          <w:rFonts w:ascii="仿宋" w:eastAsia="仿宋" w:hAnsi="Times New Roman" w:cs="仿宋" w:hint="eastAsia"/>
          <w:sz w:val="32"/>
          <w:szCs w:val="32"/>
        </w:rPr>
        <w:t>02.57</w:t>
      </w:r>
      <w:r w:rsidR="00342CD2" w:rsidRPr="008C4D75">
        <w:rPr>
          <w:rFonts w:ascii="仿宋" w:eastAsia="仿宋" w:hAnsi="Times New Roman" w:cs="仿宋" w:hint="eastAsia"/>
          <w:sz w:val="32"/>
          <w:szCs w:val="32"/>
        </w:rPr>
        <w:t>%,决算数大于预算数的主要原因是</w:t>
      </w:r>
      <w:r w:rsidR="00642FED" w:rsidRPr="008C4D75">
        <w:rPr>
          <w:rFonts w:ascii="仿宋" w:eastAsia="仿宋" w:hAnsi="Times New Roman" w:cs="仿宋" w:hint="eastAsia"/>
          <w:sz w:val="32"/>
          <w:szCs w:val="32"/>
        </w:rPr>
        <w:t>人员经费</w:t>
      </w:r>
      <w:r w:rsidR="008C4D75" w:rsidRPr="008C4D75">
        <w:rPr>
          <w:rFonts w:ascii="仿宋" w:eastAsia="仿宋" w:hAnsi="Times New Roman" w:cs="仿宋" w:hint="eastAsia"/>
          <w:sz w:val="32"/>
          <w:szCs w:val="32"/>
        </w:rPr>
        <w:t>调整追加</w:t>
      </w:r>
      <w:r w:rsidR="00756AAB" w:rsidRPr="008C4D75">
        <w:rPr>
          <w:rFonts w:ascii="仿宋" w:eastAsia="仿宋" w:hAnsi="Times New Roman" w:cs="仿宋" w:hint="eastAsia"/>
          <w:sz w:val="32"/>
          <w:szCs w:val="32"/>
        </w:rPr>
        <w:t>。</w:t>
      </w:r>
    </w:p>
    <w:p w:rsidR="00756AAB" w:rsidRPr="00756AAB" w:rsidRDefault="00756AAB" w:rsidP="00756AAB">
      <w:pPr>
        <w:pStyle w:val="a5"/>
        <w:rPr>
          <w:rFonts w:ascii="仿宋_GB2312" w:eastAsia="仿宋_GB2312"/>
          <w:sz w:val="32"/>
          <w:szCs w:val="32"/>
        </w:rPr>
      </w:pPr>
      <w:r>
        <w:rPr>
          <w:sz w:val="15"/>
          <w:szCs w:val="15"/>
        </w:rPr>
        <w:t> </w:t>
      </w:r>
      <w:r w:rsidRPr="00756AAB">
        <w:rPr>
          <w:rFonts w:eastAsia="仿宋_GB2312" w:hint="eastAsia"/>
          <w:sz w:val="32"/>
          <w:szCs w:val="32"/>
        </w:rPr>
        <w:t> </w:t>
      </w:r>
      <w:r>
        <w:rPr>
          <w:rFonts w:eastAsia="仿宋_GB2312" w:hint="eastAsia"/>
          <w:sz w:val="32"/>
          <w:szCs w:val="32"/>
        </w:rPr>
        <w:t xml:space="preserve"> </w:t>
      </w:r>
      <w:r w:rsidRPr="00756AAB">
        <w:rPr>
          <w:rFonts w:ascii="仿宋_GB2312" w:eastAsia="仿宋_GB2312" w:hint="eastAsia"/>
          <w:sz w:val="32"/>
          <w:szCs w:val="32"/>
        </w:rPr>
        <w:t>1．206（类）99（款）99（项）事务</w:t>
      </w:r>
      <w:r w:rsidR="00805A1D">
        <w:rPr>
          <w:rFonts w:ascii="仿宋_GB2312" w:eastAsia="仿宋_GB2312" w:hint="eastAsia"/>
          <w:sz w:val="32"/>
          <w:szCs w:val="32"/>
        </w:rPr>
        <w:t>0.05</w:t>
      </w:r>
      <w:r w:rsidRPr="00756AAB">
        <w:rPr>
          <w:rFonts w:ascii="仿宋_GB2312" w:eastAsia="仿宋_GB2312" w:hint="eastAsia"/>
          <w:sz w:val="32"/>
          <w:szCs w:val="32"/>
        </w:rPr>
        <w:t>万元，主要用于其他科学技术支出。</w:t>
      </w:r>
    </w:p>
    <w:p w:rsidR="00756AAB" w:rsidRPr="00756AAB" w:rsidRDefault="00756AAB" w:rsidP="00756AAB">
      <w:pPr>
        <w:pStyle w:val="a5"/>
        <w:rPr>
          <w:rFonts w:ascii="仿宋_GB2312" w:eastAsia="仿宋_GB2312"/>
          <w:sz w:val="32"/>
          <w:szCs w:val="32"/>
        </w:rPr>
      </w:pPr>
      <w:r w:rsidRPr="00756AAB">
        <w:rPr>
          <w:rFonts w:eastAsia="仿宋_GB2312" w:hint="eastAsia"/>
          <w:sz w:val="32"/>
          <w:szCs w:val="32"/>
        </w:rPr>
        <w:t>  </w:t>
      </w:r>
      <w:r w:rsidRPr="00756AAB">
        <w:rPr>
          <w:rFonts w:ascii="仿宋_GB2312" w:eastAsia="仿宋_GB2312" w:hint="eastAsia"/>
          <w:sz w:val="32"/>
          <w:szCs w:val="32"/>
        </w:rPr>
        <w:t>2．210（类）05（款）01（项）事务</w:t>
      </w:r>
      <w:r w:rsidR="00805A1D">
        <w:rPr>
          <w:rFonts w:ascii="仿宋_GB2312" w:eastAsia="仿宋_GB2312" w:hint="eastAsia"/>
          <w:sz w:val="32"/>
          <w:szCs w:val="32"/>
        </w:rPr>
        <w:t>51.26</w:t>
      </w:r>
      <w:r w:rsidRPr="00756AAB">
        <w:rPr>
          <w:rFonts w:ascii="仿宋_GB2312" w:eastAsia="仿宋_GB2312" w:hint="eastAsia"/>
          <w:sz w:val="32"/>
          <w:szCs w:val="32"/>
        </w:rPr>
        <w:t>万元，主要用于行政单位医疗。</w:t>
      </w:r>
    </w:p>
    <w:p w:rsidR="00756AAB" w:rsidRPr="00756AAB" w:rsidRDefault="00756AAB" w:rsidP="00756AAB">
      <w:pPr>
        <w:pStyle w:val="a5"/>
        <w:rPr>
          <w:rFonts w:ascii="仿宋_GB2312" w:eastAsia="仿宋_GB2312"/>
          <w:sz w:val="32"/>
          <w:szCs w:val="32"/>
        </w:rPr>
      </w:pPr>
      <w:r w:rsidRPr="00756AAB">
        <w:rPr>
          <w:rFonts w:ascii="仿宋_GB2312" w:eastAsia="仿宋_GB2312" w:hint="eastAsia"/>
          <w:sz w:val="32"/>
          <w:szCs w:val="32"/>
        </w:rPr>
        <w:t xml:space="preserve">　　</w:t>
      </w:r>
      <w:r w:rsidR="00116919">
        <w:rPr>
          <w:rFonts w:ascii="仿宋_GB2312" w:eastAsia="仿宋_GB2312" w:hint="eastAsia"/>
          <w:sz w:val="32"/>
          <w:szCs w:val="32"/>
        </w:rPr>
        <w:t>3</w:t>
      </w:r>
      <w:r w:rsidRPr="00756AAB">
        <w:rPr>
          <w:rFonts w:ascii="仿宋_GB2312" w:eastAsia="仿宋_GB2312" w:hint="eastAsia"/>
          <w:sz w:val="32"/>
          <w:szCs w:val="32"/>
        </w:rPr>
        <w:t>．215（类）07（款）01（项）事务</w:t>
      </w:r>
      <w:r w:rsidR="00805A1D">
        <w:rPr>
          <w:rFonts w:ascii="仿宋_GB2312" w:eastAsia="仿宋_GB2312" w:hint="eastAsia"/>
          <w:sz w:val="32"/>
          <w:szCs w:val="32"/>
        </w:rPr>
        <w:t>1122.40</w:t>
      </w:r>
      <w:r w:rsidRPr="00756AAB">
        <w:rPr>
          <w:rFonts w:ascii="仿宋_GB2312" w:eastAsia="仿宋_GB2312" w:hint="eastAsia"/>
          <w:sz w:val="32"/>
          <w:szCs w:val="32"/>
        </w:rPr>
        <w:t>万元，主要用于行政运行。</w:t>
      </w:r>
    </w:p>
    <w:p w:rsidR="00756AAB" w:rsidRPr="00756AAB" w:rsidRDefault="00756AAB" w:rsidP="00756AAB">
      <w:pPr>
        <w:pStyle w:val="a5"/>
        <w:rPr>
          <w:rFonts w:ascii="仿宋_GB2312" w:eastAsia="仿宋_GB2312"/>
          <w:sz w:val="32"/>
          <w:szCs w:val="32"/>
        </w:rPr>
      </w:pPr>
      <w:r w:rsidRPr="00756AAB">
        <w:rPr>
          <w:rFonts w:ascii="仿宋_GB2312" w:eastAsia="仿宋_GB2312" w:hint="eastAsia"/>
          <w:sz w:val="32"/>
          <w:szCs w:val="32"/>
        </w:rPr>
        <w:t xml:space="preserve">　　</w:t>
      </w:r>
      <w:r w:rsidR="00116919">
        <w:rPr>
          <w:rFonts w:ascii="仿宋_GB2312" w:eastAsia="仿宋_GB2312" w:hint="eastAsia"/>
          <w:sz w:val="32"/>
          <w:szCs w:val="32"/>
        </w:rPr>
        <w:t>4</w:t>
      </w:r>
      <w:r w:rsidRPr="00756AAB">
        <w:rPr>
          <w:rFonts w:ascii="仿宋_GB2312" w:eastAsia="仿宋_GB2312" w:hint="eastAsia"/>
          <w:sz w:val="32"/>
          <w:szCs w:val="32"/>
        </w:rPr>
        <w:t>．215（类）07（款）02（项）事务</w:t>
      </w:r>
      <w:r w:rsidR="00116919">
        <w:rPr>
          <w:rFonts w:ascii="仿宋_GB2312" w:eastAsia="仿宋_GB2312" w:hint="eastAsia"/>
          <w:sz w:val="32"/>
          <w:szCs w:val="32"/>
        </w:rPr>
        <w:t>2</w:t>
      </w:r>
      <w:r w:rsidR="00805A1D">
        <w:rPr>
          <w:rFonts w:ascii="仿宋_GB2312" w:eastAsia="仿宋_GB2312" w:hint="eastAsia"/>
          <w:sz w:val="32"/>
          <w:szCs w:val="32"/>
        </w:rPr>
        <w:t>34.63</w:t>
      </w:r>
      <w:r w:rsidRPr="00756AAB">
        <w:rPr>
          <w:rFonts w:ascii="仿宋_GB2312" w:eastAsia="仿宋_GB2312" w:hint="eastAsia"/>
          <w:sz w:val="32"/>
          <w:szCs w:val="32"/>
        </w:rPr>
        <w:t>万元，主要用于一般行政管理事务。</w:t>
      </w:r>
    </w:p>
    <w:p w:rsidR="00756AAB" w:rsidRPr="00756AAB" w:rsidRDefault="00756AAB" w:rsidP="00756AAB">
      <w:pPr>
        <w:pStyle w:val="a5"/>
        <w:rPr>
          <w:rFonts w:ascii="仿宋_GB2312" w:eastAsia="仿宋_GB2312"/>
          <w:sz w:val="32"/>
          <w:szCs w:val="32"/>
        </w:rPr>
      </w:pPr>
      <w:r w:rsidRPr="00756AAB">
        <w:rPr>
          <w:rFonts w:ascii="仿宋_GB2312" w:eastAsia="仿宋_GB2312" w:hint="eastAsia"/>
          <w:sz w:val="32"/>
          <w:szCs w:val="32"/>
        </w:rPr>
        <w:t xml:space="preserve">　　</w:t>
      </w:r>
      <w:r w:rsidR="00116919">
        <w:rPr>
          <w:rFonts w:ascii="仿宋_GB2312" w:eastAsia="仿宋_GB2312" w:hint="eastAsia"/>
          <w:sz w:val="32"/>
          <w:szCs w:val="32"/>
        </w:rPr>
        <w:t>5</w:t>
      </w:r>
      <w:r w:rsidRPr="00756AAB">
        <w:rPr>
          <w:rFonts w:ascii="仿宋_GB2312" w:eastAsia="仿宋_GB2312" w:hint="eastAsia"/>
          <w:sz w:val="32"/>
          <w:szCs w:val="32"/>
        </w:rPr>
        <w:t>．221（类）02（款）01（项）事务</w:t>
      </w:r>
      <w:r w:rsidR="00805A1D">
        <w:rPr>
          <w:rFonts w:ascii="仿宋_GB2312" w:eastAsia="仿宋_GB2312" w:hint="eastAsia"/>
          <w:sz w:val="32"/>
          <w:szCs w:val="32"/>
        </w:rPr>
        <w:t>82.98</w:t>
      </w:r>
      <w:r w:rsidRPr="00756AAB">
        <w:rPr>
          <w:rFonts w:ascii="仿宋_GB2312" w:eastAsia="仿宋_GB2312" w:hint="eastAsia"/>
          <w:sz w:val="32"/>
          <w:szCs w:val="32"/>
        </w:rPr>
        <w:t>万元，主要用于住房公积金。</w:t>
      </w:r>
    </w:p>
    <w:p w:rsidR="00756AAB" w:rsidRDefault="00116919" w:rsidP="00805A1D">
      <w:pPr>
        <w:pStyle w:val="a5"/>
        <w:ind w:firstLine="630"/>
        <w:rPr>
          <w:rFonts w:ascii="仿宋_GB2312" w:eastAsia="仿宋_GB2312"/>
          <w:sz w:val="32"/>
          <w:szCs w:val="32"/>
        </w:rPr>
      </w:pPr>
      <w:r>
        <w:rPr>
          <w:rFonts w:ascii="仿宋_GB2312" w:eastAsia="仿宋_GB2312" w:hint="eastAsia"/>
          <w:sz w:val="32"/>
          <w:szCs w:val="32"/>
        </w:rPr>
        <w:lastRenderedPageBreak/>
        <w:t>6</w:t>
      </w:r>
      <w:r w:rsidR="00756AAB" w:rsidRPr="00756AAB">
        <w:rPr>
          <w:rFonts w:ascii="仿宋_GB2312" w:eastAsia="仿宋_GB2312" w:hint="eastAsia"/>
          <w:sz w:val="32"/>
          <w:szCs w:val="32"/>
        </w:rPr>
        <w:t>．221（类）02（款）03（项）事务</w:t>
      </w:r>
      <w:r w:rsidR="00805A1D">
        <w:rPr>
          <w:rFonts w:ascii="仿宋_GB2312" w:eastAsia="仿宋_GB2312" w:hint="eastAsia"/>
          <w:sz w:val="32"/>
          <w:szCs w:val="32"/>
        </w:rPr>
        <w:t>4.06</w:t>
      </w:r>
      <w:r w:rsidR="00756AAB" w:rsidRPr="00756AAB">
        <w:rPr>
          <w:rFonts w:ascii="仿宋_GB2312" w:eastAsia="仿宋_GB2312" w:hint="eastAsia"/>
          <w:sz w:val="32"/>
          <w:szCs w:val="32"/>
        </w:rPr>
        <w:t>万元，主要用于购房补贴。</w:t>
      </w:r>
    </w:p>
    <w:p w:rsidR="00116919" w:rsidRPr="00756AAB" w:rsidRDefault="00116919" w:rsidP="00805A1D">
      <w:pPr>
        <w:pStyle w:val="a5"/>
        <w:ind w:firstLine="630"/>
        <w:rPr>
          <w:rFonts w:ascii="仿宋_GB2312" w:eastAsia="仿宋_GB2312"/>
          <w:sz w:val="32"/>
          <w:szCs w:val="32"/>
        </w:rPr>
      </w:pPr>
      <w:r>
        <w:rPr>
          <w:rFonts w:ascii="仿宋_GB2312" w:eastAsia="仿宋_GB2312" w:hint="eastAsia"/>
          <w:sz w:val="32"/>
          <w:szCs w:val="32"/>
        </w:rPr>
        <w:t>7.201(类)10</w:t>
      </w:r>
      <w:r w:rsidRPr="00756AAB">
        <w:rPr>
          <w:rFonts w:ascii="仿宋_GB2312" w:eastAsia="仿宋_GB2312" w:hint="eastAsia"/>
          <w:sz w:val="32"/>
          <w:szCs w:val="32"/>
        </w:rPr>
        <w:t>（款）</w:t>
      </w:r>
      <w:r>
        <w:rPr>
          <w:rFonts w:ascii="仿宋_GB2312" w:eastAsia="仿宋_GB2312" w:hint="eastAsia"/>
          <w:sz w:val="32"/>
          <w:szCs w:val="32"/>
        </w:rPr>
        <w:t>08</w:t>
      </w:r>
      <w:r w:rsidRPr="00756AAB">
        <w:rPr>
          <w:rFonts w:ascii="仿宋_GB2312" w:eastAsia="仿宋_GB2312" w:hint="eastAsia"/>
          <w:sz w:val="32"/>
          <w:szCs w:val="32"/>
        </w:rPr>
        <w:t>（项）</w:t>
      </w:r>
      <w:r>
        <w:rPr>
          <w:rFonts w:ascii="仿宋_GB2312" w:eastAsia="仿宋_GB2312" w:hint="eastAsia"/>
          <w:sz w:val="32"/>
          <w:szCs w:val="32"/>
        </w:rPr>
        <w:t>事务20万元，</w:t>
      </w:r>
      <w:r w:rsidRPr="00756AAB">
        <w:rPr>
          <w:rFonts w:ascii="仿宋_GB2312" w:eastAsia="仿宋_GB2312" w:hint="eastAsia"/>
          <w:sz w:val="32"/>
          <w:szCs w:val="32"/>
        </w:rPr>
        <w:t>主要用于</w:t>
      </w:r>
      <w:r>
        <w:rPr>
          <w:rFonts w:ascii="仿宋_GB2312" w:eastAsia="仿宋_GB2312" w:hint="eastAsia"/>
          <w:sz w:val="32"/>
          <w:szCs w:val="32"/>
        </w:rPr>
        <w:t>引进人才费用。</w:t>
      </w:r>
    </w:p>
    <w:p w:rsidR="004D08DD" w:rsidRDefault="00BB1A58"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六</w:t>
      </w:r>
      <w:r>
        <w:rPr>
          <w:rFonts w:ascii="仿宋" w:eastAsia="仿宋" w:hAnsi="Times New Roman" w:cs="仿宋" w:hint="eastAsia"/>
          <w:color w:val="000000"/>
          <w:sz w:val="32"/>
          <w:szCs w:val="32"/>
        </w:rPr>
        <w:t>）</w:t>
      </w:r>
      <w:r w:rsidR="009B570B">
        <w:rPr>
          <w:rFonts w:ascii="仿宋" w:eastAsia="仿宋" w:hAnsi="Times New Roman" w:cs="仿宋" w:hint="eastAsia"/>
          <w:color w:val="000000"/>
          <w:sz w:val="32"/>
          <w:szCs w:val="32"/>
        </w:rPr>
        <w:t>一般公共预算财政拨款</w:t>
      </w:r>
      <w:r w:rsidR="000651D8">
        <w:rPr>
          <w:rFonts w:ascii="仿宋" w:eastAsia="仿宋" w:hAnsi="Times New Roman" w:cs="仿宋" w:hint="eastAsia"/>
          <w:color w:val="000000"/>
          <w:sz w:val="32"/>
          <w:szCs w:val="32"/>
        </w:rPr>
        <w:t>基本</w:t>
      </w:r>
      <w:r w:rsidR="004F54CB">
        <w:rPr>
          <w:rFonts w:ascii="仿宋" w:eastAsia="仿宋" w:hAnsi="Times New Roman" w:cs="仿宋" w:hint="eastAsia"/>
          <w:color w:val="000000"/>
          <w:sz w:val="32"/>
          <w:szCs w:val="32"/>
        </w:rPr>
        <w:t>支出情况</w:t>
      </w:r>
    </w:p>
    <w:p w:rsidR="00BB1A58" w:rsidRPr="00BB1A58" w:rsidRDefault="00BB1A58" w:rsidP="00342CD2">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2015年度</w:t>
      </w:r>
      <w:r w:rsidR="00746CBE">
        <w:rPr>
          <w:rFonts w:ascii="仿宋" w:eastAsia="仿宋" w:hAnsi="Times New Roman" w:cs="仿宋" w:hint="eastAsia"/>
          <w:color w:val="000000"/>
          <w:sz w:val="32"/>
          <w:szCs w:val="32"/>
        </w:rPr>
        <w:t>一般公共预算财政拨款</w:t>
      </w:r>
      <w:r>
        <w:rPr>
          <w:rFonts w:ascii="仿宋" w:eastAsia="仿宋" w:hAnsi="Times New Roman" w:cs="仿宋" w:hint="eastAsia"/>
          <w:color w:val="000000"/>
          <w:sz w:val="32"/>
          <w:szCs w:val="32"/>
        </w:rPr>
        <w:t>基本支出</w:t>
      </w:r>
      <w:r w:rsidR="00756AAB">
        <w:rPr>
          <w:rFonts w:ascii="仿宋" w:eastAsia="仿宋" w:hAnsi="Times New Roman" w:cs="仿宋" w:hint="eastAsia"/>
          <w:color w:val="000000"/>
          <w:sz w:val="32"/>
          <w:szCs w:val="32"/>
        </w:rPr>
        <w:t>1260.70</w:t>
      </w:r>
      <w:r>
        <w:rPr>
          <w:rFonts w:ascii="仿宋" w:eastAsia="仿宋" w:hAnsi="Times New Roman" w:cs="仿宋" w:hint="eastAsia"/>
          <w:color w:val="000000"/>
          <w:sz w:val="32"/>
          <w:szCs w:val="32"/>
        </w:rPr>
        <w:t>万元</w:t>
      </w:r>
      <w:r w:rsidR="00E0018C">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其中：人员经费</w:t>
      </w:r>
      <w:r w:rsidR="00756AAB">
        <w:rPr>
          <w:rFonts w:ascii="仿宋" w:eastAsia="仿宋" w:hAnsi="Times New Roman" w:cs="仿宋" w:hint="eastAsia"/>
          <w:color w:val="000000"/>
          <w:sz w:val="32"/>
          <w:szCs w:val="32"/>
        </w:rPr>
        <w:t>864.78</w:t>
      </w:r>
      <w:r>
        <w:rPr>
          <w:rFonts w:ascii="仿宋" w:eastAsia="仿宋" w:hAnsi="Times New Roman" w:cs="仿宋" w:hint="eastAsia"/>
          <w:color w:val="000000"/>
          <w:sz w:val="32"/>
          <w:szCs w:val="32"/>
        </w:rPr>
        <w:t>万元，包括</w:t>
      </w:r>
      <w:r w:rsidR="00756AAB">
        <w:rPr>
          <w:rFonts w:ascii="仿宋" w:eastAsia="仿宋" w:hAnsi="Times New Roman" w:cs="仿宋" w:hint="eastAsia"/>
          <w:color w:val="000000"/>
          <w:sz w:val="32"/>
          <w:szCs w:val="32"/>
        </w:rPr>
        <w:t>基本工资、津贴补贴、资金、社会保障费、伙食补助费、绩效工资、其他工资福利支出</w:t>
      </w:r>
      <w:r>
        <w:rPr>
          <w:rFonts w:ascii="仿宋" w:eastAsia="仿宋" w:hAnsi="Times New Roman" w:cs="仿宋" w:hint="eastAsia"/>
          <w:color w:val="000000"/>
          <w:sz w:val="32"/>
          <w:szCs w:val="32"/>
        </w:rPr>
        <w:t>；公用经费</w:t>
      </w:r>
      <w:r w:rsidR="004D08DD">
        <w:rPr>
          <w:rFonts w:ascii="仿宋" w:eastAsia="仿宋" w:hAnsi="Times New Roman" w:cs="仿宋" w:hint="eastAsia"/>
          <w:color w:val="000000"/>
          <w:sz w:val="32"/>
          <w:szCs w:val="32"/>
        </w:rPr>
        <w:t>395.</w:t>
      </w:r>
      <w:r w:rsidR="004F7B52">
        <w:rPr>
          <w:rFonts w:ascii="仿宋" w:eastAsia="仿宋" w:hAnsi="Times New Roman" w:cs="仿宋" w:hint="eastAsia"/>
          <w:color w:val="000000"/>
          <w:sz w:val="32"/>
          <w:szCs w:val="32"/>
        </w:rPr>
        <w:t>9</w:t>
      </w:r>
      <w:r w:rsidR="004D08DD">
        <w:rPr>
          <w:rFonts w:ascii="仿宋" w:eastAsia="仿宋" w:hAnsi="Times New Roman" w:cs="仿宋" w:hint="eastAsia"/>
          <w:color w:val="000000"/>
          <w:sz w:val="32"/>
          <w:szCs w:val="32"/>
        </w:rPr>
        <w:t>2</w:t>
      </w:r>
      <w:r>
        <w:rPr>
          <w:rFonts w:ascii="仿宋" w:eastAsia="仿宋" w:hAnsi="Times New Roman" w:cs="仿宋" w:hint="eastAsia"/>
          <w:color w:val="000000"/>
          <w:sz w:val="32"/>
          <w:szCs w:val="32"/>
        </w:rPr>
        <w:t>万元，包括</w:t>
      </w:r>
      <w:r w:rsidR="004D08DD">
        <w:rPr>
          <w:rFonts w:ascii="仿宋" w:eastAsia="仿宋" w:hAnsi="Times New Roman" w:cs="仿宋" w:hint="eastAsia"/>
          <w:color w:val="000000"/>
          <w:sz w:val="32"/>
          <w:szCs w:val="32"/>
        </w:rPr>
        <w:t>商品和服务支出、对个人和家庭的补助</w:t>
      </w:r>
      <w:r>
        <w:rPr>
          <w:rFonts w:ascii="仿宋" w:eastAsia="仿宋" w:hAnsi="Times New Roman" w:cs="仿宋" w:hint="eastAsia"/>
          <w:color w:val="000000"/>
          <w:sz w:val="32"/>
          <w:szCs w:val="32"/>
        </w:rPr>
        <w:t>。</w:t>
      </w:r>
    </w:p>
    <w:p w:rsidR="00881F0B" w:rsidRDefault="00881F0B" w:rsidP="00881F0B">
      <w:pPr>
        <w:autoSpaceDE w:val="0"/>
        <w:autoSpaceDN w:val="0"/>
        <w:adjustRightInd w:val="0"/>
        <w:spacing w:line="560" w:lineRule="exact"/>
        <w:ind w:left="477" w:firstLine="150"/>
        <w:rPr>
          <w:rFonts w:ascii="仿宋" w:eastAsia="仿宋" w:hAnsi="Times New Roman" w:cs="仿宋"/>
          <w:color w:val="000000"/>
          <w:sz w:val="32"/>
          <w:szCs w:val="32"/>
        </w:rPr>
      </w:pPr>
      <w:r>
        <w:rPr>
          <w:rFonts w:ascii="仿宋" w:eastAsia="仿宋" w:hAnsi="Times New Roman" w:cs="仿宋" w:hint="eastAsia"/>
          <w:color w:val="000000"/>
          <w:sz w:val="32"/>
          <w:szCs w:val="32"/>
        </w:rPr>
        <w:t>（</w:t>
      </w:r>
      <w:r w:rsidR="007079F8">
        <w:rPr>
          <w:rFonts w:ascii="仿宋" w:eastAsia="仿宋" w:hAnsi="Times New Roman" w:cs="仿宋" w:hint="eastAsia"/>
          <w:color w:val="000000"/>
          <w:sz w:val="32"/>
          <w:szCs w:val="32"/>
        </w:rPr>
        <w:t>七</w:t>
      </w:r>
      <w:r>
        <w:rPr>
          <w:rFonts w:ascii="仿宋" w:eastAsia="仿宋" w:hAnsi="Times New Roman" w:cs="仿宋" w:hint="eastAsia"/>
          <w:color w:val="000000"/>
          <w:sz w:val="32"/>
          <w:szCs w:val="32"/>
        </w:rPr>
        <w:t>）</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三公</w:t>
      </w:r>
      <w:r>
        <w:rPr>
          <w:rFonts w:ascii="仿宋" w:eastAsia="仿宋" w:hAnsi="Times New Roman" w:cs="仿宋"/>
          <w:color w:val="000000"/>
          <w:sz w:val="32"/>
          <w:szCs w:val="32"/>
        </w:rPr>
        <w:t>”</w:t>
      </w:r>
      <w:r>
        <w:rPr>
          <w:rFonts w:ascii="仿宋" w:eastAsia="仿宋" w:hAnsi="Times New Roman" w:cs="仿宋" w:hint="eastAsia"/>
          <w:color w:val="000000"/>
          <w:sz w:val="32"/>
          <w:szCs w:val="32"/>
        </w:rPr>
        <w:t>经费决算情况</w:t>
      </w:r>
    </w:p>
    <w:p w:rsidR="00881F0B" w:rsidRDefault="00881F0B" w:rsidP="004D08D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因公出国（境）费用：</w:t>
      </w:r>
      <w:r>
        <w:rPr>
          <w:rFonts w:ascii="仿宋" w:eastAsia="仿宋" w:hAnsi="Times New Roman" w:cs="仿宋" w:hint="eastAsia"/>
          <w:kern w:val="0"/>
          <w:sz w:val="32"/>
          <w:szCs w:val="32"/>
        </w:rPr>
        <w:t>根据外事部门安排的因公出国计划和实际工作需要，</w:t>
      </w:r>
      <w:r>
        <w:rPr>
          <w:rFonts w:ascii="仿宋" w:eastAsia="仿宋" w:hAnsi="Times New Roman" w:cs="仿宋"/>
          <w:kern w:val="0"/>
          <w:sz w:val="32"/>
          <w:szCs w:val="32"/>
        </w:rPr>
        <w:t>2015</w:t>
      </w:r>
      <w:r w:rsidR="00046671">
        <w:rPr>
          <w:rFonts w:ascii="仿宋" w:eastAsia="仿宋" w:hAnsi="Times New Roman" w:cs="仿宋" w:hint="eastAsia"/>
          <w:kern w:val="0"/>
          <w:sz w:val="32"/>
          <w:szCs w:val="32"/>
        </w:rPr>
        <w:t>年度</w:t>
      </w:r>
      <w:r>
        <w:rPr>
          <w:rFonts w:ascii="仿宋" w:eastAsia="仿宋" w:hAnsi="Times New Roman" w:cs="仿宋" w:hint="eastAsia"/>
          <w:kern w:val="0"/>
          <w:sz w:val="32"/>
          <w:szCs w:val="32"/>
        </w:rPr>
        <w:t>因公出国（境）</w:t>
      </w:r>
      <w:r w:rsidR="00046671">
        <w:rPr>
          <w:rFonts w:ascii="仿宋" w:eastAsia="仿宋" w:hAnsi="Times New Roman" w:cs="仿宋" w:hint="eastAsia"/>
          <w:kern w:val="0"/>
          <w:sz w:val="32"/>
          <w:szCs w:val="32"/>
        </w:rPr>
        <w:t>支出</w:t>
      </w:r>
      <w:r w:rsidR="004D08DD">
        <w:rPr>
          <w:rFonts w:ascii="仿宋" w:eastAsia="仿宋" w:hAnsi="Times New Roman" w:cs="仿宋" w:hint="eastAsia"/>
          <w:kern w:val="0"/>
          <w:sz w:val="32"/>
          <w:szCs w:val="32"/>
        </w:rPr>
        <w:t>7.9</w:t>
      </w:r>
      <w:r w:rsidR="00046671">
        <w:rPr>
          <w:rFonts w:ascii="仿宋" w:eastAsia="仿宋" w:hAnsi="Times New Roman" w:cs="仿宋" w:hint="eastAsia"/>
          <w:kern w:val="0"/>
          <w:sz w:val="32"/>
          <w:szCs w:val="32"/>
        </w:rPr>
        <w:t>万元，比上年</w:t>
      </w:r>
      <w:r>
        <w:rPr>
          <w:rFonts w:ascii="仿宋" w:eastAsia="仿宋" w:hAnsi="Times New Roman" w:cs="仿宋" w:hint="eastAsia"/>
          <w:kern w:val="0"/>
          <w:sz w:val="32"/>
          <w:szCs w:val="32"/>
        </w:rPr>
        <w:t>增长</w:t>
      </w:r>
      <w:r w:rsidR="00EE6B34">
        <w:rPr>
          <w:rFonts w:ascii="仿宋" w:eastAsia="仿宋" w:hAnsi="Times New Roman" w:cs="仿宋" w:hint="eastAsia"/>
          <w:kern w:val="0"/>
          <w:sz w:val="32"/>
          <w:szCs w:val="32"/>
        </w:rPr>
        <w:t>200.38</w:t>
      </w:r>
      <w:r>
        <w:rPr>
          <w:rFonts w:ascii="仿宋" w:eastAsia="仿宋" w:hAnsi="Times New Roman" w:cs="仿宋"/>
          <w:kern w:val="0"/>
          <w:sz w:val="32"/>
          <w:szCs w:val="32"/>
        </w:rPr>
        <w:t>%</w:t>
      </w:r>
      <w:r>
        <w:rPr>
          <w:rFonts w:ascii="仿宋" w:eastAsia="仿宋" w:hAnsi="Times New Roman" w:cs="仿宋" w:hint="eastAsia"/>
          <w:kern w:val="0"/>
          <w:sz w:val="32"/>
          <w:szCs w:val="32"/>
        </w:rPr>
        <w:t>。主要用于机关预算单位人员的公务出国（境）的住宿费、国际旅费、培训费、公杂费等支出。增加的主要原因是</w:t>
      </w:r>
      <w:r w:rsidR="00EE6B34">
        <w:rPr>
          <w:rFonts w:ascii="仿宋" w:eastAsia="仿宋" w:hAnsi="Times New Roman" w:cs="仿宋" w:hint="eastAsia"/>
          <w:kern w:val="0"/>
          <w:sz w:val="32"/>
          <w:szCs w:val="32"/>
        </w:rPr>
        <w:t>比上年增加了出境次数</w:t>
      </w:r>
      <w:r w:rsidR="00AD6588">
        <w:rPr>
          <w:rFonts w:ascii="仿宋" w:eastAsia="仿宋" w:hAnsi="Times New Roman" w:cs="仿宋" w:hint="eastAsia"/>
          <w:kern w:val="0"/>
          <w:sz w:val="32"/>
          <w:szCs w:val="32"/>
        </w:rPr>
        <w:t>和出国费用</w:t>
      </w:r>
      <w:r>
        <w:rPr>
          <w:rFonts w:ascii="仿宋" w:eastAsia="仿宋" w:hAnsi="Times New Roman" w:cs="仿宋" w:hint="eastAsia"/>
          <w:kern w:val="0"/>
          <w:sz w:val="32"/>
          <w:szCs w:val="32"/>
        </w:rPr>
        <w:t>。本</w:t>
      </w:r>
      <w:r w:rsidR="00BF7B7E">
        <w:rPr>
          <w:rFonts w:ascii="仿宋" w:eastAsia="仿宋" w:hAnsi="Times New Roman" w:cs="仿宋" w:hint="eastAsia"/>
          <w:kern w:val="0"/>
          <w:sz w:val="32"/>
          <w:szCs w:val="32"/>
        </w:rPr>
        <w:t>部门</w:t>
      </w:r>
      <w:r w:rsidR="00371925">
        <w:rPr>
          <w:rFonts w:ascii="仿宋" w:eastAsia="仿宋" w:hAnsi="Times New Roman" w:cs="仿宋" w:hint="eastAsia"/>
          <w:kern w:val="0"/>
          <w:sz w:val="32"/>
          <w:szCs w:val="32"/>
        </w:rPr>
        <w:t>全年</w:t>
      </w:r>
      <w:r>
        <w:rPr>
          <w:rFonts w:ascii="仿宋" w:eastAsia="仿宋" w:hAnsi="Times New Roman" w:cs="仿宋" w:hint="eastAsia"/>
          <w:kern w:val="0"/>
          <w:sz w:val="32"/>
          <w:szCs w:val="32"/>
        </w:rPr>
        <w:t>组织因公出国</w:t>
      </w:r>
      <w:r>
        <w:rPr>
          <w:rFonts w:ascii="仿宋" w:eastAsia="仿宋" w:hAnsi="Times New Roman" w:cs="仿宋"/>
          <w:kern w:val="0"/>
          <w:sz w:val="32"/>
          <w:szCs w:val="32"/>
        </w:rPr>
        <w:t>(</w:t>
      </w:r>
      <w:r>
        <w:rPr>
          <w:rFonts w:ascii="仿宋" w:eastAsia="仿宋" w:hAnsi="Times New Roman" w:cs="仿宋" w:hint="eastAsia"/>
          <w:kern w:val="0"/>
          <w:sz w:val="32"/>
          <w:szCs w:val="32"/>
        </w:rPr>
        <w:t>境</w:t>
      </w:r>
      <w:r>
        <w:rPr>
          <w:rFonts w:ascii="仿宋" w:eastAsia="仿宋" w:hAnsi="Times New Roman" w:cs="仿宋"/>
          <w:kern w:val="0"/>
          <w:sz w:val="32"/>
          <w:szCs w:val="32"/>
        </w:rPr>
        <w:t>)</w:t>
      </w:r>
      <w:r>
        <w:rPr>
          <w:rFonts w:ascii="仿宋" w:eastAsia="仿宋" w:hAnsi="Times New Roman" w:cs="仿宋" w:hint="eastAsia"/>
          <w:kern w:val="0"/>
          <w:sz w:val="32"/>
          <w:szCs w:val="32"/>
        </w:rPr>
        <w:t>团组</w:t>
      </w:r>
      <w:r w:rsidR="00EE6B34">
        <w:rPr>
          <w:rFonts w:ascii="仿宋" w:eastAsia="仿宋" w:hAnsi="Times New Roman" w:cs="仿宋" w:hint="eastAsia"/>
          <w:kern w:val="0"/>
          <w:sz w:val="32"/>
          <w:szCs w:val="32"/>
        </w:rPr>
        <w:t>0</w:t>
      </w:r>
      <w:r>
        <w:rPr>
          <w:rFonts w:ascii="仿宋" w:eastAsia="仿宋" w:hAnsi="Times New Roman" w:cs="仿宋" w:hint="eastAsia"/>
          <w:kern w:val="0"/>
          <w:sz w:val="32"/>
          <w:szCs w:val="32"/>
        </w:rPr>
        <w:t>个；本</w:t>
      </w:r>
      <w:r w:rsidR="00BF7B7E">
        <w:rPr>
          <w:rFonts w:ascii="仿宋" w:eastAsia="仿宋" w:hAnsi="Times New Roman" w:cs="仿宋" w:hint="eastAsia"/>
          <w:kern w:val="0"/>
          <w:sz w:val="32"/>
          <w:szCs w:val="32"/>
        </w:rPr>
        <w:t>部门</w:t>
      </w:r>
      <w:r>
        <w:rPr>
          <w:rFonts w:ascii="仿宋" w:eastAsia="仿宋" w:hAnsi="Times New Roman" w:cs="仿宋" w:hint="eastAsia"/>
          <w:kern w:val="0"/>
          <w:sz w:val="32"/>
          <w:szCs w:val="32"/>
        </w:rPr>
        <w:t>全年因公出国</w:t>
      </w:r>
      <w:r>
        <w:rPr>
          <w:rFonts w:ascii="仿宋" w:eastAsia="仿宋" w:hAnsi="Times New Roman" w:cs="仿宋"/>
          <w:kern w:val="0"/>
          <w:sz w:val="32"/>
          <w:szCs w:val="32"/>
        </w:rPr>
        <w:t>(</w:t>
      </w:r>
      <w:r>
        <w:rPr>
          <w:rFonts w:ascii="仿宋" w:eastAsia="仿宋" w:hAnsi="Times New Roman" w:cs="仿宋" w:hint="eastAsia"/>
          <w:kern w:val="0"/>
          <w:sz w:val="32"/>
          <w:szCs w:val="32"/>
        </w:rPr>
        <w:t>境</w:t>
      </w:r>
      <w:r>
        <w:rPr>
          <w:rFonts w:ascii="仿宋" w:eastAsia="仿宋" w:hAnsi="Times New Roman" w:cs="仿宋"/>
          <w:kern w:val="0"/>
          <w:sz w:val="32"/>
          <w:szCs w:val="32"/>
        </w:rPr>
        <w:t>)</w:t>
      </w:r>
      <w:r>
        <w:rPr>
          <w:rFonts w:ascii="仿宋" w:eastAsia="仿宋" w:hAnsi="Times New Roman" w:cs="仿宋" w:hint="eastAsia"/>
          <w:kern w:val="0"/>
          <w:sz w:val="32"/>
          <w:szCs w:val="32"/>
        </w:rPr>
        <w:t>累计</w:t>
      </w:r>
      <w:r w:rsidR="00EE6B34">
        <w:rPr>
          <w:rFonts w:ascii="仿宋" w:eastAsia="仿宋" w:hAnsi="Times New Roman" w:cs="仿宋" w:hint="eastAsia"/>
          <w:kern w:val="0"/>
          <w:sz w:val="32"/>
          <w:szCs w:val="32"/>
        </w:rPr>
        <w:t>4</w:t>
      </w:r>
      <w:r>
        <w:rPr>
          <w:rFonts w:ascii="仿宋" w:eastAsia="仿宋" w:hAnsi="Times New Roman" w:cs="仿宋" w:hint="eastAsia"/>
          <w:kern w:val="0"/>
          <w:sz w:val="32"/>
          <w:szCs w:val="32"/>
        </w:rPr>
        <w:t>人次</w:t>
      </w:r>
      <w:r w:rsidR="00386388">
        <w:rPr>
          <w:rFonts w:ascii="仿宋" w:eastAsia="仿宋" w:hAnsi="Times New Roman" w:cs="仿宋" w:hint="eastAsia"/>
          <w:kern w:val="0"/>
          <w:sz w:val="32"/>
          <w:szCs w:val="32"/>
        </w:rPr>
        <w:t>，较上年增加</w:t>
      </w:r>
      <w:r w:rsidR="00EE6B34">
        <w:rPr>
          <w:rFonts w:ascii="仿宋" w:eastAsia="仿宋" w:hAnsi="Times New Roman" w:cs="仿宋" w:hint="eastAsia"/>
          <w:kern w:val="0"/>
          <w:sz w:val="32"/>
          <w:szCs w:val="32"/>
        </w:rPr>
        <w:t>3</w:t>
      </w:r>
      <w:r w:rsidR="00386388">
        <w:rPr>
          <w:rFonts w:ascii="仿宋" w:eastAsia="仿宋" w:hAnsi="Times New Roman" w:cs="仿宋" w:hint="eastAsia"/>
          <w:kern w:val="0"/>
          <w:sz w:val="32"/>
          <w:szCs w:val="32"/>
        </w:rPr>
        <w:t>人次</w:t>
      </w:r>
      <w:r>
        <w:rPr>
          <w:rFonts w:ascii="仿宋" w:eastAsia="仿宋" w:hAnsi="Times New Roman" w:cs="仿宋" w:hint="eastAsia"/>
          <w:kern w:val="0"/>
          <w:sz w:val="32"/>
          <w:szCs w:val="32"/>
        </w:rPr>
        <w:t>。</w:t>
      </w:r>
    </w:p>
    <w:p w:rsidR="00881F0B" w:rsidRPr="008C2CF4" w:rsidRDefault="00881F0B" w:rsidP="008C2CF4">
      <w:pPr>
        <w:tabs>
          <w:tab w:val="left" w:pos="2706"/>
        </w:tabs>
        <w:autoSpaceDE w:val="0"/>
        <w:autoSpaceDN w:val="0"/>
        <w:adjustRightInd w:val="0"/>
        <w:spacing w:line="560" w:lineRule="exact"/>
        <w:ind w:firstLine="600"/>
        <w:jc w:val="left"/>
        <w:rPr>
          <w:rFonts w:ascii="仿宋" w:eastAsia="仿宋" w:hAnsi="Times New Roman" w:cs="仿宋"/>
          <w:sz w:val="32"/>
          <w:szCs w:val="32"/>
        </w:rPr>
      </w:pPr>
      <w:r>
        <w:rPr>
          <w:rFonts w:ascii="仿宋" w:eastAsia="仿宋" w:hAnsi="Times New Roman" w:cs="仿宋"/>
          <w:sz w:val="32"/>
          <w:szCs w:val="32"/>
        </w:rPr>
        <w:t>2.</w:t>
      </w:r>
      <w:r>
        <w:rPr>
          <w:rFonts w:ascii="仿宋" w:eastAsia="仿宋" w:hAnsi="Times New Roman" w:cs="仿宋" w:hint="eastAsia"/>
          <w:sz w:val="32"/>
          <w:szCs w:val="32"/>
        </w:rPr>
        <w:t>公务接待费：</w:t>
      </w:r>
      <w:r>
        <w:rPr>
          <w:rFonts w:ascii="仿宋" w:eastAsia="仿宋" w:hAnsi="Times New Roman" w:cs="仿宋"/>
          <w:sz w:val="32"/>
          <w:szCs w:val="32"/>
        </w:rPr>
        <w:t>2015</w:t>
      </w:r>
      <w:r>
        <w:rPr>
          <w:rFonts w:ascii="仿宋" w:eastAsia="仿宋" w:hAnsi="Times New Roman" w:cs="仿宋" w:hint="eastAsia"/>
          <w:sz w:val="32"/>
          <w:szCs w:val="32"/>
        </w:rPr>
        <w:t>年度公务接待费</w:t>
      </w:r>
      <w:r w:rsidR="00046671">
        <w:rPr>
          <w:rFonts w:ascii="仿宋" w:eastAsia="仿宋" w:hAnsi="Times New Roman" w:cs="仿宋" w:hint="eastAsia"/>
          <w:sz w:val="32"/>
          <w:szCs w:val="32"/>
        </w:rPr>
        <w:t>支出</w:t>
      </w:r>
      <w:r w:rsidR="00EE6B34">
        <w:rPr>
          <w:rFonts w:ascii="仿宋" w:eastAsia="仿宋" w:hAnsi="Times New Roman" w:cs="仿宋" w:hint="eastAsia"/>
          <w:sz w:val="32"/>
          <w:szCs w:val="32"/>
        </w:rPr>
        <w:t>1.9</w:t>
      </w:r>
      <w:r w:rsidR="00943FC3">
        <w:rPr>
          <w:rFonts w:ascii="仿宋" w:eastAsia="仿宋" w:hAnsi="Times New Roman" w:cs="仿宋" w:hint="eastAsia"/>
          <w:sz w:val="32"/>
          <w:szCs w:val="32"/>
        </w:rPr>
        <w:t>0</w:t>
      </w:r>
      <w:r>
        <w:rPr>
          <w:rFonts w:ascii="仿宋" w:eastAsia="仿宋" w:hAnsi="Times New Roman" w:cs="仿宋" w:hint="eastAsia"/>
          <w:sz w:val="32"/>
          <w:szCs w:val="32"/>
        </w:rPr>
        <w:t>万元，比上年决算数增长</w:t>
      </w:r>
      <w:r w:rsidR="00943FC3">
        <w:rPr>
          <w:rFonts w:ascii="仿宋" w:eastAsia="仿宋" w:hAnsi="Times New Roman" w:cs="仿宋" w:hint="eastAsia"/>
          <w:sz w:val="32"/>
          <w:szCs w:val="32"/>
        </w:rPr>
        <w:t>82</w:t>
      </w:r>
      <w:r>
        <w:rPr>
          <w:rFonts w:ascii="仿宋" w:eastAsia="仿宋" w:hAnsi="Times New Roman" w:cs="仿宋"/>
          <w:sz w:val="32"/>
          <w:szCs w:val="32"/>
        </w:rPr>
        <w:t>%</w:t>
      </w:r>
      <w:r>
        <w:rPr>
          <w:rFonts w:ascii="仿宋" w:eastAsia="仿宋" w:hAnsi="Times New Roman" w:cs="仿宋" w:hint="eastAsia"/>
          <w:sz w:val="32"/>
          <w:szCs w:val="32"/>
        </w:rPr>
        <w:t>。主要用于接待</w:t>
      </w:r>
      <w:r w:rsidR="00943FC3">
        <w:rPr>
          <w:rFonts w:ascii="仿宋" w:eastAsia="仿宋" w:hAnsi="Times New Roman" w:cs="仿宋" w:hint="eastAsia"/>
          <w:sz w:val="32"/>
          <w:szCs w:val="32"/>
        </w:rPr>
        <w:t>其他地区国资监管部门</w:t>
      </w:r>
      <w:r>
        <w:rPr>
          <w:rFonts w:ascii="仿宋" w:eastAsia="仿宋" w:hAnsi="Times New Roman" w:cs="仿宋" w:hint="eastAsia"/>
          <w:sz w:val="32"/>
          <w:szCs w:val="32"/>
        </w:rPr>
        <w:t>等支出。增加的主要原因是</w:t>
      </w:r>
      <w:r w:rsidR="00943FC3">
        <w:rPr>
          <w:rFonts w:ascii="仿宋" w:eastAsia="仿宋" w:hAnsi="Times New Roman" w:cs="仿宋" w:hint="eastAsia"/>
          <w:sz w:val="32"/>
          <w:szCs w:val="32"/>
        </w:rPr>
        <w:t>接待次数比上年多</w:t>
      </w:r>
      <w:r>
        <w:rPr>
          <w:rFonts w:ascii="仿宋" w:eastAsia="仿宋" w:hAnsi="Times New Roman" w:cs="仿宋" w:hint="eastAsia"/>
          <w:sz w:val="32"/>
          <w:szCs w:val="32"/>
        </w:rPr>
        <w:t>。</w:t>
      </w:r>
      <w:r>
        <w:rPr>
          <w:rFonts w:ascii="仿宋" w:eastAsia="仿宋" w:hAnsi="Times New Roman" w:cs="仿宋" w:hint="eastAsia"/>
          <w:kern w:val="0"/>
          <w:sz w:val="32"/>
          <w:szCs w:val="32"/>
        </w:rPr>
        <w:t>其中，本</w:t>
      </w:r>
      <w:r w:rsidR="00BF7B7E">
        <w:rPr>
          <w:rFonts w:ascii="仿宋" w:eastAsia="仿宋" w:hAnsi="Times New Roman" w:cs="仿宋" w:hint="eastAsia"/>
          <w:kern w:val="0"/>
          <w:sz w:val="32"/>
          <w:szCs w:val="32"/>
        </w:rPr>
        <w:t>部门</w:t>
      </w:r>
      <w:r>
        <w:rPr>
          <w:rFonts w:ascii="仿宋" w:eastAsia="仿宋" w:hAnsi="Times New Roman" w:cs="仿宋" w:hint="eastAsia"/>
          <w:kern w:val="0"/>
          <w:sz w:val="32"/>
          <w:szCs w:val="32"/>
        </w:rPr>
        <w:t>国内公务接待</w:t>
      </w:r>
      <w:r w:rsidR="00943FC3">
        <w:rPr>
          <w:rFonts w:ascii="仿宋" w:eastAsia="仿宋" w:hAnsi="Times New Roman" w:cs="仿宋" w:hint="eastAsia"/>
          <w:kern w:val="0"/>
          <w:sz w:val="32"/>
          <w:szCs w:val="32"/>
        </w:rPr>
        <w:t>13</w:t>
      </w:r>
      <w:r>
        <w:rPr>
          <w:rFonts w:ascii="仿宋" w:eastAsia="仿宋" w:hAnsi="Times New Roman" w:cs="仿宋" w:hint="eastAsia"/>
          <w:kern w:val="0"/>
          <w:sz w:val="32"/>
          <w:szCs w:val="32"/>
        </w:rPr>
        <w:t>批次，</w:t>
      </w:r>
      <w:r w:rsidR="00943FC3">
        <w:rPr>
          <w:rFonts w:ascii="仿宋" w:eastAsia="仿宋" w:hAnsi="Times New Roman" w:cs="仿宋" w:hint="eastAsia"/>
          <w:kern w:val="0"/>
          <w:sz w:val="32"/>
          <w:szCs w:val="32"/>
        </w:rPr>
        <w:t>88</w:t>
      </w:r>
      <w:r>
        <w:rPr>
          <w:rFonts w:ascii="仿宋" w:eastAsia="仿宋" w:hAnsi="Times New Roman" w:cs="仿宋" w:hint="eastAsia"/>
          <w:kern w:val="0"/>
          <w:sz w:val="32"/>
          <w:szCs w:val="32"/>
        </w:rPr>
        <w:t>人次</w:t>
      </w:r>
      <w:r w:rsidR="009B570B">
        <w:rPr>
          <w:rFonts w:ascii="仿宋" w:eastAsia="仿宋" w:hAnsi="Times New Roman" w:cs="仿宋" w:hint="eastAsia"/>
          <w:kern w:val="0"/>
          <w:sz w:val="32"/>
          <w:szCs w:val="32"/>
        </w:rPr>
        <w:t>（不包括陪同人员）</w:t>
      </w:r>
      <w:r>
        <w:rPr>
          <w:rFonts w:ascii="仿宋" w:eastAsia="仿宋" w:hAnsi="Times New Roman" w:cs="仿宋" w:hint="eastAsia"/>
          <w:kern w:val="0"/>
          <w:sz w:val="32"/>
          <w:szCs w:val="32"/>
        </w:rPr>
        <w:t>，</w:t>
      </w:r>
      <w:r w:rsidR="00190775">
        <w:rPr>
          <w:rFonts w:ascii="仿宋" w:eastAsia="仿宋" w:hAnsi="Times New Roman" w:cs="仿宋" w:hint="eastAsia"/>
          <w:kern w:val="0"/>
          <w:sz w:val="32"/>
          <w:szCs w:val="32"/>
        </w:rPr>
        <w:t>支出</w:t>
      </w:r>
      <w:r w:rsidR="00943FC3">
        <w:rPr>
          <w:rFonts w:ascii="仿宋" w:eastAsia="仿宋" w:hAnsi="Times New Roman" w:cs="仿宋" w:hint="eastAsia"/>
          <w:kern w:val="0"/>
          <w:sz w:val="32"/>
          <w:szCs w:val="32"/>
        </w:rPr>
        <w:t>1.90</w:t>
      </w:r>
      <w:r>
        <w:rPr>
          <w:rFonts w:ascii="仿宋" w:eastAsia="仿宋" w:hAnsi="Times New Roman" w:cs="仿宋" w:hint="eastAsia"/>
          <w:kern w:val="0"/>
          <w:sz w:val="32"/>
          <w:szCs w:val="32"/>
        </w:rPr>
        <w:t>万元。</w:t>
      </w:r>
    </w:p>
    <w:p w:rsidR="00881F0B" w:rsidRDefault="00881F0B" w:rsidP="00943FC3">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kern w:val="0"/>
          <w:sz w:val="32"/>
          <w:szCs w:val="32"/>
        </w:rPr>
        <w:t>3.</w:t>
      </w:r>
      <w:r>
        <w:rPr>
          <w:rFonts w:ascii="仿宋" w:eastAsia="仿宋" w:hAnsi="Times New Roman" w:cs="仿宋" w:hint="eastAsia"/>
          <w:kern w:val="0"/>
          <w:sz w:val="32"/>
          <w:szCs w:val="32"/>
        </w:rPr>
        <w:t>公务用车购置及运行维护费：</w:t>
      </w:r>
      <w:r>
        <w:rPr>
          <w:rFonts w:ascii="仿宋" w:eastAsia="仿宋" w:hAnsi="Times New Roman" w:cs="仿宋"/>
          <w:kern w:val="0"/>
          <w:sz w:val="32"/>
          <w:szCs w:val="32"/>
        </w:rPr>
        <w:t>2015</w:t>
      </w:r>
      <w:r>
        <w:rPr>
          <w:rFonts w:ascii="仿宋" w:eastAsia="仿宋" w:hAnsi="Times New Roman" w:cs="仿宋" w:hint="eastAsia"/>
          <w:kern w:val="0"/>
          <w:sz w:val="32"/>
          <w:szCs w:val="32"/>
        </w:rPr>
        <w:t>年度公务用车购置及</w:t>
      </w:r>
      <w:r>
        <w:rPr>
          <w:rFonts w:ascii="仿宋" w:eastAsia="仿宋" w:hAnsi="Times New Roman" w:cs="仿宋" w:hint="eastAsia"/>
          <w:kern w:val="0"/>
          <w:sz w:val="32"/>
          <w:szCs w:val="32"/>
        </w:rPr>
        <w:lastRenderedPageBreak/>
        <w:t>运行维护费</w:t>
      </w:r>
      <w:r w:rsidR="00046671">
        <w:rPr>
          <w:rFonts w:ascii="仿宋" w:eastAsia="仿宋" w:hAnsi="Times New Roman" w:cs="仿宋" w:hint="eastAsia"/>
          <w:kern w:val="0"/>
          <w:sz w:val="32"/>
          <w:szCs w:val="32"/>
        </w:rPr>
        <w:t>支出</w:t>
      </w:r>
      <w:r w:rsidR="00943FC3">
        <w:rPr>
          <w:rFonts w:ascii="仿宋" w:eastAsia="仿宋" w:hAnsi="Times New Roman" w:cs="仿宋" w:hint="eastAsia"/>
          <w:kern w:val="0"/>
          <w:sz w:val="32"/>
          <w:szCs w:val="32"/>
        </w:rPr>
        <w:t>0</w:t>
      </w:r>
      <w:r>
        <w:rPr>
          <w:rFonts w:ascii="仿宋" w:eastAsia="仿宋" w:hAnsi="Times New Roman" w:cs="仿宋" w:hint="eastAsia"/>
          <w:kern w:val="0"/>
          <w:sz w:val="32"/>
          <w:szCs w:val="32"/>
        </w:rPr>
        <w:t>万元。</w:t>
      </w:r>
    </w:p>
    <w:p w:rsidR="0018273E" w:rsidRPr="00294E07" w:rsidRDefault="0018273E" w:rsidP="001E74C5">
      <w:pPr>
        <w:autoSpaceDE w:val="0"/>
        <w:autoSpaceDN w:val="0"/>
        <w:adjustRightInd w:val="0"/>
        <w:spacing w:line="560" w:lineRule="exact"/>
        <w:ind w:firstLine="600"/>
        <w:rPr>
          <w:rFonts w:ascii="仿宋" w:eastAsia="仿宋" w:hAnsi="Times New Roman" w:cs="仿宋"/>
          <w:kern w:val="0"/>
          <w:sz w:val="32"/>
          <w:szCs w:val="32"/>
        </w:rPr>
      </w:pPr>
      <w:r w:rsidRPr="00294E07">
        <w:rPr>
          <w:rFonts w:ascii="仿宋" w:eastAsia="仿宋" w:hAnsi="Times New Roman" w:cs="仿宋" w:hint="eastAsia"/>
          <w:kern w:val="0"/>
          <w:sz w:val="32"/>
          <w:szCs w:val="32"/>
        </w:rPr>
        <w:t>4.“三公”经费决算小于预算的原因：</w:t>
      </w:r>
      <w:r w:rsidR="00943FC3">
        <w:rPr>
          <w:rFonts w:ascii="仿宋" w:eastAsia="仿宋" w:hAnsi="Times New Roman" w:cs="仿宋" w:hint="eastAsia"/>
          <w:kern w:val="0"/>
          <w:sz w:val="32"/>
          <w:szCs w:val="32"/>
        </w:rPr>
        <w:t>按有关规定，严格控制次数及标准</w:t>
      </w:r>
      <w:r w:rsidRPr="00294E07">
        <w:rPr>
          <w:rFonts w:ascii="仿宋" w:eastAsia="仿宋" w:hAnsi="Times New Roman" w:cs="仿宋" w:hint="eastAsia"/>
          <w:kern w:val="0"/>
          <w:sz w:val="32"/>
          <w:szCs w:val="32"/>
        </w:rPr>
        <w:t>。</w:t>
      </w:r>
    </w:p>
    <w:p w:rsidR="00371925" w:rsidRDefault="00BB1A58"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7079F8">
        <w:rPr>
          <w:rFonts w:ascii="仿宋" w:eastAsia="仿宋" w:hAnsi="Times New Roman" w:cs="仿宋" w:hint="eastAsia"/>
          <w:kern w:val="0"/>
          <w:sz w:val="32"/>
          <w:szCs w:val="32"/>
        </w:rPr>
        <w:t>八</w:t>
      </w:r>
      <w:r w:rsidR="00371925">
        <w:rPr>
          <w:rFonts w:ascii="仿宋" w:eastAsia="仿宋" w:hAnsi="Times New Roman" w:cs="仿宋" w:hint="eastAsia"/>
          <w:kern w:val="0"/>
          <w:sz w:val="32"/>
          <w:szCs w:val="32"/>
        </w:rPr>
        <w:t>）机关运行经费支出情况</w:t>
      </w:r>
    </w:p>
    <w:p w:rsid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2015年度</w:t>
      </w:r>
      <w:r w:rsidR="00943FC3">
        <w:rPr>
          <w:rFonts w:ascii="仿宋" w:eastAsia="仿宋" w:hAnsi="Times New Roman" w:cs="仿宋" w:hint="eastAsia"/>
          <w:kern w:val="0"/>
          <w:sz w:val="32"/>
          <w:szCs w:val="32"/>
        </w:rPr>
        <w:t>国资委</w:t>
      </w:r>
      <w:r>
        <w:rPr>
          <w:rFonts w:ascii="仿宋" w:eastAsia="仿宋" w:hAnsi="Times New Roman" w:cs="仿宋" w:hint="eastAsia"/>
          <w:kern w:val="0"/>
          <w:sz w:val="32"/>
          <w:szCs w:val="32"/>
        </w:rPr>
        <w:t>机关</w:t>
      </w:r>
      <w:r w:rsidR="005174AB">
        <w:rPr>
          <w:rFonts w:ascii="仿宋" w:eastAsia="仿宋" w:cs="仿宋" w:hint="eastAsia"/>
          <w:kern w:val="0"/>
          <w:sz w:val="32"/>
          <w:szCs w:val="32"/>
        </w:rPr>
        <w:t>的</w:t>
      </w:r>
      <w:r>
        <w:rPr>
          <w:rFonts w:ascii="仿宋" w:eastAsia="仿宋" w:hAnsi="Times New Roman" w:cs="仿宋" w:hint="eastAsia"/>
          <w:kern w:val="0"/>
          <w:sz w:val="32"/>
          <w:szCs w:val="32"/>
        </w:rPr>
        <w:t>运行经费支出</w:t>
      </w:r>
      <w:r w:rsidR="000D3EF9">
        <w:rPr>
          <w:rFonts w:ascii="仿宋" w:eastAsia="仿宋" w:hAnsi="Times New Roman" w:cs="仿宋" w:hint="eastAsia"/>
          <w:kern w:val="0"/>
          <w:sz w:val="32"/>
          <w:szCs w:val="32"/>
        </w:rPr>
        <w:t>194.03</w:t>
      </w:r>
      <w:r>
        <w:rPr>
          <w:rFonts w:ascii="仿宋" w:eastAsia="仿宋" w:hAnsi="Times New Roman" w:cs="仿宋" w:hint="eastAsia"/>
          <w:kern w:val="0"/>
          <w:sz w:val="32"/>
          <w:szCs w:val="32"/>
        </w:rPr>
        <w:t>万元，比上年增加</w:t>
      </w:r>
      <w:r w:rsidR="00BB25FA">
        <w:rPr>
          <w:rFonts w:ascii="仿宋" w:eastAsia="仿宋" w:hAnsi="Times New Roman" w:cs="仿宋" w:hint="eastAsia"/>
          <w:kern w:val="0"/>
          <w:sz w:val="32"/>
          <w:szCs w:val="32"/>
        </w:rPr>
        <w:t>35.70</w:t>
      </w:r>
      <w:r>
        <w:rPr>
          <w:rFonts w:ascii="仿宋" w:eastAsia="仿宋" w:hAnsi="Times New Roman" w:cs="仿宋" w:hint="eastAsia"/>
          <w:kern w:val="0"/>
          <w:sz w:val="32"/>
          <w:szCs w:val="32"/>
        </w:rPr>
        <w:t>万元，增长</w:t>
      </w:r>
      <w:r w:rsidR="00BB25FA">
        <w:rPr>
          <w:rFonts w:ascii="仿宋" w:eastAsia="仿宋" w:hAnsi="Times New Roman" w:cs="仿宋" w:hint="eastAsia"/>
          <w:kern w:val="0"/>
          <w:sz w:val="32"/>
          <w:szCs w:val="32"/>
        </w:rPr>
        <w:t>22.55</w:t>
      </w:r>
      <w:r>
        <w:rPr>
          <w:rFonts w:ascii="仿宋" w:eastAsia="仿宋" w:hAnsi="Times New Roman" w:cs="仿宋" w:hint="eastAsia"/>
          <w:kern w:val="0"/>
          <w:sz w:val="32"/>
          <w:szCs w:val="32"/>
        </w:rPr>
        <w:t>%</w:t>
      </w:r>
      <w:r w:rsidR="008C4D75">
        <w:rPr>
          <w:rFonts w:ascii="仿宋" w:eastAsia="仿宋" w:hAnsi="Times New Roman" w:cs="仿宋" w:hint="eastAsia"/>
          <w:kern w:val="0"/>
          <w:sz w:val="32"/>
          <w:szCs w:val="32"/>
        </w:rPr>
        <w:t>，主要原因是服务购买增加。</w:t>
      </w:r>
    </w:p>
    <w:p w:rsid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7079F8">
        <w:rPr>
          <w:rFonts w:ascii="仿宋" w:eastAsia="仿宋" w:hAnsi="Times New Roman" w:cs="仿宋" w:hint="eastAsia"/>
          <w:kern w:val="0"/>
          <w:sz w:val="32"/>
          <w:szCs w:val="32"/>
        </w:rPr>
        <w:t>九</w:t>
      </w:r>
      <w:r w:rsidR="00D81005">
        <w:rPr>
          <w:rFonts w:ascii="仿宋" w:eastAsia="仿宋" w:hAnsi="Times New Roman" w:cs="仿宋" w:hint="eastAsia"/>
          <w:kern w:val="0"/>
          <w:sz w:val="32"/>
          <w:szCs w:val="32"/>
        </w:rPr>
        <w:t>）政府采购</w:t>
      </w:r>
      <w:r>
        <w:rPr>
          <w:rFonts w:ascii="仿宋" w:eastAsia="仿宋" w:hAnsi="Times New Roman" w:cs="仿宋" w:hint="eastAsia"/>
          <w:kern w:val="0"/>
          <w:sz w:val="32"/>
          <w:szCs w:val="32"/>
        </w:rPr>
        <w:t>情况</w:t>
      </w:r>
    </w:p>
    <w:p w:rsidR="00371925" w:rsidRPr="00371925" w:rsidRDefault="00371925" w:rsidP="00371925">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2015年度</w:t>
      </w:r>
      <w:r w:rsidR="000D3EF9">
        <w:rPr>
          <w:rFonts w:ascii="仿宋" w:eastAsia="仿宋" w:cs="仿宋" w:hint="eastAsia"/>
          <w:kern w:val="0"/>
          <w:sz w:val="32"/>
          <w:szCs w:val="32"/>
        </w:rPr>
        <w:t>国资委</w:t>
      </w:r>
      <w:r w:rsidR="007D348B">
        <w:rPr>
          <w:rFonts w:ascii="仿宋" w:eastAsia="仿宋" w:cs="仿宋" w:hint="eastAsia"/>
          <w:kern w:val="0"/>
          <w:sz w:val="32"/>
          <w:szCs w:val="32"/>
        </w:rPr>
        <w:t>本级预算单位</w:t>
      </w:r>
      <w:r>
        <w:rPr>
          <w:rFonts w:ascii="仿宋" w:eastAsia="仿宋" w:hAnsi="Times New Roman" w:cs="仿宋" w:hint="eastAsia"/>
          <w:kern w:val="0"/>
          <w:sz w:val="32"/>
          <w:szCs w:val="32"/>
        </w:rPr>
        <w:t>政府采购</w:t>
      </w:r>
      <w:r w:rsidR="001902D7">
        <w:rPr>
          <w:rFonts w:ascii="仿宋" w:eastAsia="仿宋" w:hAnsi="Times New Roman" w:cs="仿宋" w:hint="eastAsia"/>
          <w:kern w:val="0"/>
          <w:sz w:val="32"/>
          <w:szCs w:val="32"/>
        </w:rPr>
        <w:t>预算</w:t>
      </w:r>
      <w:r w:rsidR="007929B7">
        <w:rPr>
          <w:rFonts w:ascii="仿宋" w:eastAsia="仿宋" w:hAnsi="Times New Roman" w:cs="仿宋" w:hint="eastAsia"/>
          <w:kern w:val="0"/>
          <w:sz w:val="32"/>
          <w:szCs w:val="32"/>
        </w:rPr>
        <w:t>520.95</w:t>
      </w:r>
      <w:r w:rsidR="001902D7">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支出总额</w:t>
      </w:r>
      <w:r w:rsidR="007929B7">
        <w:rPr>
          <w:rFonts w:ascii="仿宋" w:eastAsia="仿宋" w:hAnsi="Times New Roman" w:cs="仿宋" w:hint="eastAsia"/>
          <w:kern w:val="0"/>
          <w:sz w:val="32"/>
          <w:szCs w:val="32"/>
        </w:rPr>
        <w:t>437.05</w:t>
      </w:r>
      <w:r>
        <w:rPr>
          <w:rFonts w:ascii="仿宋" w:eastAsia="仿宋" w:hAnsi="Times New Roman" w:cs="仿宋" w:hint="eastAsia"/>
          <w:kern w:val="0"/>
          <w:sz w:val="32"/>
          <w:szCs w:val="32"/>
        </w:rPr>
        <w:t>万元</w:t>
      </w:r>
      <w:r w:rsidR="003B0DD8">
        <w:rPr>
          <w:rFonts w:ascii="仿宋" w:eastAsia="仿宋" w:hAnsi="Times New Roman" w:cs="仿宋" w:hint="eastAsia"/>
          <w:kern w:val="0"/>
          <w:sz w:val="32"/>
          <w:szCs w:val="32"/>
        </w:rPr>
        <w:t>。</w:t>
      </w:r>
      <w:r>
        <w:rPr>
          <w:rFonts w:ascii="仿宋" w:eastAsia="仿宋" w:hAnsi="Times New Roman" w:cs="仿宋" w:hint="eastAsia"/>
          <w:kern w:val="0"/>
          <w:sz w:val="32"/>
          <w:szCs w:val="32"/>
        </w:rPr>
        <w:t>其中：货物</w:t>
      </w:r>
      <w:r w:rsidR="00746CBE">
        <w:rPr>
          <w:rFonts w:ascii="仿宋" w:eastAsia="仿宋" w:hAnsi="Times New Roman" w:cs="仿宋" w:hint="eastAsia"/>
          <w:kern w:val="0"/>
          <w:sz w:val="32"/>
          <w:szCs w:val="32"/>
        </w:rPr>
        <w:t>采购</w:t>
      </w:r>
      <w:r w:rsidR="00951A76">
        <w:rPr>
          <w:rFonts w:ascii="仿宋" w:eastAsia="仿宋" w:hAnsi="Times New Roman" w:cs="仿宋" w:hint="eastAsia"/>
          <w:kern w:val="0"/>
          <w:sz w:val="32"/>
          <w:szCs w:val="32"/>
        </w:rPr>
        <w:t>预算</w:t>
      </w:r>
      <w:r w:rsidR="007929B7">
        <w:rPr>
          <w:rFonts w:ascii="仿宋" w:eastAsia="仿宋" w:hAnsi="Times New Roman" w:cs="仿宋" w:hint="eastAsia"/>
          <w:kern w:val="0"/>
          <w:sz w:val="32"/>
          <w:szCs w:val="32"/>
        </w:rPr>
        <w:t>11.55</w:t>
      </w:r>
      <w:r w:rsidR="00951A76">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支出</w:t>
      </w:r>
      <w:r w:rsidR="007929B7">
        <w:rPr>
          <w:rFonts w:ascii="仿宋" w:eastAsia="仿宋" w:hAnsi="Times New Roman" w:cs="仿宋" w:hint="eastAsia"/>
          <w:kern w:val="0"/>
          <w:sz w:val="32"/>
          <w:szCs w:val="32"/>
        </w:rPr>
        <w:t>11.16</w:t>
      </w:r>
      <w:r w:rsidR="00746CBE">
        <w:rPr>
          <w:rFonts w:ascii="仿宋" w:eastAsia="仿宋" w:hAnsi="Times New Roman" w:cs="仿宋" w:hint="eastAsia"/>
          <w:kern w:val="0"/>
          <w:sz w:val="32"/>
          <w:szCs w:val="32"/>
        </w:rPr>
        <w:t>万元；服务</w:t>
      </w:r>
      <w:r>
        <w:rPr>
          <w:rFonts w:ascii="仿宋" w:eastAsia="仿宋" w:hAnsi="Times New Roman" w:cs="仿宋" w:hint="eastAsia"/>
          <w:kern w:val="0"/>
          <w:sz w:val="32"/>
          <w:szCs w:val="32"/>
        </w:rPr>
        <w:t>采购</w:t>
      </w:r>
      <w:r w:rsidR="00951A76">
        <w:rPr>
          <w:rFonts w:ascii="仿宋" w:eastAsia="仿宋" w:hAnsi="Times New Roman" w:cs="仿宋" w:hint="eastAsia"/>
          <w:kern w:val="0"/>
          <w:sz w:val="32"/>
          <w:szCs w:val="32"/>
        </w:rPr>
        <w:t>预算</w:t>
      </w:r>
      <w:r w:rsidR="007929B7">
        <w:rPr>
          <w:rFonts w:ascii="仿宋" w:eastAsia="仿宋" w:hAnsi="Times New Roman" w:cs="仿宋" w:hint="eastAsia"/>
          <w:kern w:val="0"/>
          <w:sz w:val="32"/>
          <w:szCs w:val="32"/>
        </w:rPr>
        <w:t>509.40</w:t>
      </w:r>
      <w:r w:rsidR="00951A76">
        <w:rPr>
          <w:rFonts w:ascii="仿宋" w:eastAsia="仿宋" w:hAnsi="Times New Roman" w:cs="仿宋" w:hint="eastAsia"/>
          <w:kern w:val="0"/>
          <w:sz w:val="32"/>
          <w:szCs w:val="32"/>
        </w:rPr>
        <w:t>万元，采购</w:t>
      </w:r>
      <w:r>
        <w:rPr>
          <w:rFonts w:ascii="仿宋" w:eastAsia="仿宋" w:hAnsi="Times New Roman" w:cs="仿宋" w:hint="eastAsia"/>
          <w:kern w:val="0"/>
          <w:sz w:val="32"/>
          <w:szCs w:val="32"/>
        </w:rPr>
        <w:t>支出</w:t>
      </w:r>
      <w:r w:rsidR="007929B7">
        <w:rPr>
          <w:rFonts w:ascii="仿宋" w:eastAsia="仿宋" w:hAnsi="Times New Roman" w:cs="仿宋" w:hint="eastAsia"/>
          <w:kern w:val="0"/>
          <w:sz w:val="32"/>
          <w:szCs w:val="32"/>
        </w:rPr>
        <w:t>425.90</w:t>
      </w:r>
      <w:r w:rsidR="00493E30">
        <w:rPr>
          <w:rFonts w:ascii="仿宋" w:eastAsia="仿宋" w:hAnsi="Times New Roman" w:cs="仿宋" w:hint="eastAsia"/>
          <w:kern w:val="0"/>
          <w:sz w:val="32"/>
          <w:szCs w:val="32"/>
        </w:rPr>
        <w:t>万元。</w:t>
      </w:r>
      <w:r w:rsidR="00B5679A">
        <w:rPr>
          <w:rFonts w:ascii="仿宋" w:eastAsia="仿宋" w:hAnsi="Times New Roman" w:cs="仿宋" w:hint="eastAsia"/>
          <w:kern w:val="0"/>
          <w:sz w:val="32"/>
          <w:szCs w:val="32"/>
        </w:rPr>
        <w:t>采购支出小于采购预算的主要原因是：</w:t>
      </w:r>
      <w:r w:rsidR="007929B7">
        <w:rPr>
          <w:rFonts w:ascii="仿宋" w:eastAsia="仿宋" w:hAnsi="Times New Roman" w:cs="仿宋" w:hint="eastAsia"/>
          <w:kern w:val="0"/>
          <w:sz w:val="32"/>
          <w:szCs w:val="32"/>
        </w:rPr>
        <w:t>通过公开招投标，中标金额小于预算金额</w:t>
      </w:r>
      <w:r w:rsidR="00B5679A">
        <w:rPr>
          <w:rFonts w:ascii="仿宋" w:eastAsia="仿宋" w:hAnsi="Times New Roman" w:cs="仿宋" w:hint="eastAsia"/>
          <w:kern w:val="0"/>
          <w:sz w:val="32"/>
          <w:szCs w:val="32"/>
        </w:rPr>
        <w:t>。</w:t>
      </w:r>
    </w:p>
    <w:p w:rsidR="00371925" w:rsidRPr="00371925" w:rsidRDefault="00371925" w:rsidP="00881F0B">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7079F8">
        <w:rPr>
          <w:rFonts w:ascii="仿宋" w:eastAsia="仿宋" w:hAnsi="Times New Roman" w:cs="仿宋" w:hint="eastAsia"/>
          <w:kern w:val="0"/>
          <w:sz w:val="32"/>
          <w:szCs w:val="32"/>
        </w:rPr>
        <w:t>十</w:t>
      </w:r>
      <w:r>
        <w:rPr>
          <w:rFonts w:ascii="仿宋" w:eastAsia="仿宋" w:hAnsi="Times New Roman" w:cs="仿宋" w:hint="eastAsia"/>
          <w:kern w:val="0"/>
          <w:sz w:val="32"/>
          <w:szCs w:val="32"/>
        </w:rPr>
        <w:t>）国有资产占用情况</w:t>
      </w:r>
    </w:p>
    <w:p w:rsidR="00053EFE" w:rsidRDefault="00371925" w:rsidP="0018106A">
      <w:pPr>
        <w:autoSpaceDE w:val="0"/>
        <w:autoSpaceDN w:val="0"/>
        <w:adjustRightInd w:val="0"/>
        <w:spacing w:line="560" w:lineRule="exact"/>
        <w:ind w:firstLine="600"/>
        <w:rPr>
          <w:rFonts w:ascii="仿宋" w:eastAsia="仿宋" w:hAnsi="Times New Roman" w:cs="仿宋"/>
          <w:kern w:val="0"/>
          <w:sz w:val="32"/>
          <w:szCs w:val="32"/>
        </w:rPr>
      </w:pPr>
      <w:r w:rsidRPr="00371925">
        <w:rPr>
          <w:rFonts w:ascii="仿宋" w:eastAsia="仿宋" w:hAnsi="Times New Roman" w:cs="仿宋" w:hint="eastAsia"/>
          <w:kern w:val="0"/>
          <w:sz w:val="32"/>
          <w:szCs w:val="32"/>
        </w:rPr>
        <w:t>截止2015年底，</w:t>
      </w:r>
      <w:r w:rsidR="0018106A">
        <w:rPr>
          <w:rFonts w:ascii="仿宋" w:eastAsia="仿宋" w:cs="仿宋" w:hint="eastAsia"/>
          <w:kern w:val="0"/>
          <w:sz w:val="32"/>
          <w:szCs w:val="32"/>
        </w:rPr>
        <w:t>市国资委</w:t>
      </w:r>
      <w:r w:rsidR="007D348B">
        <w:rPr>
          <w:rFonts w:ascii="仿宋" w:eastAsia="仿宋" w:cs="仿宋" w:hint="eastAsia"/>
          <w:kern w:val="0"/>
          <w:sz w:val="32"/>
          <w:szCs w:val="32"/>
        </w:rPr>
        <w:t>本级预算单位</w:t>
      </w:r>
      <w:r w:rsidR="00BF7B7E">
        <w:rPr>
          <w:rFonts w:ascii="仿宋" w:eastAsia="仿宋" w:hAnsi="Times New Roman" w:cs="仿宋" w:hint="eastAsia"/>
          <w:kern w:val="0"/>
          <w:sz w:val="32"/>
          <w:szCs w:val="32"/>
        </w:rPr>
        <w:t>资产合计</w:t>
      </w:r>
      <w:r w:rsidR="0018106A">
        <w:rPr>
          <w:rFonts w:ascii="仿宋" w:eastAsia="仿宋" w:hAnsi="Times New Roman" w:cs="仿宋" w:hint="eastAsia"/>
          <w:kern w:val="0"/>
          <w:sz w:val="32"/>
          <w:szCs w:val="32"/>
        </w:rPr>
        <w:t>695.97</w:t>
      </w:r>
      <w:r w:rsidR="00BF7B7E">
        <w:rPr>
          <w:rFonts w:ascii="仿宋" w:eastAsia="仿宋" w:hAnsi="Times New Roman" w:cs="仿宋" w:hint="eastAsia"/>
          <w:kern w:val="0"/>
          <w:sz w:val="32"/>
          <w:szCs w:val="32"/>
        </w:rPr>
        <w:t>万元，比上年增长</w:t>
      </w:r>
      <w:r w:rsidR="0018106A">
        <w:rPr>
          <w:rFonts w:ascii="仿宋" w:eastAsia="仿宋" w:hAnsi="Times New Roman" w:cs="仿宋" w:hint="eastAsia"/>
          <w:kern w:val="0"/>
          <w:sz w:val="32"/>
          <w:szCs w:val="32"/>
        </w:rPr>
        <w:t>11.92</w:t>
      </w:r>
      <w:r w:rsidR="00BF7B7E">
        <w:rPr>
          <w:rFonts w:ascii="仿宋" w:eastAsia="仿宋" w:hAnsi="Times New Roman" w:cs="仿宋" w:hint="eastAsia"/>
          <w:kern w:val="0"/>
          <w:sz w:val="32"/>
          <w:szCs w:val="32"/>
        </w:rPr>
        <w:t>%</w:t>
      </w:r>
      <w:r w:rsidR="00BB25FA">
        <w:rPr>
          <w:rFonts w:ascii="仿宋" w:eastAsia="仿宋" w:hAnsi="Times New Roman" w:cs="仿宋" w:hint="eastAsia"/>
          <w:kern w:val="0"/>
          <w:sz w:val="32"/>
          <w:szCs w:val="32"/>
        </w:rPr>
        <w:t>，主要</w:t>
      </w:r>
      <w:r w:rsidR="004C47A6">
        <w:rPr>
          <w:rFonts w:ascii="仿宋" w:eastAsia="仿宋" w:hAnsi="Times New Roman" w:cs="仿宋" w:hint="eastAsia"/>
          <w:kern w:val="0"/>
          <w:sz w:val="32"/>
          <w:szCs w:val="32"/>
        </w:rPr>
        <w:t>原因是新增</w:t>
      </w:r>
      <w:r w:rsidR="00BB25FA">
        <w:rPr>
          <w:rFonts w:ascii="仿宋" w:eastAsia="仿宋" w:hAnsi="Times New Roman" w:cs="仿宋" w:hint="eastAsia"/>
          <w:kern w:val="0"/>
          <w:sz w:val="32"/>
          <w:szCs w:val="32"/>
        </w:rPr>
        <w:t>公务员养老保险暂存款</w:t>
      </w:r>
      <w:r w:rsidR="004C47A6">
        <w:rPr>
          <w:rFonts w:ascii="仿宋" w:eastAsia="仿宋" w:hAnsi="Times New Roman" w:cs="仿宋" w:hint="eastAsia"/>
          <w:kern w:val="0"/>
          <w:sz w:val="32"/>
          <w:szCs w:val="32"/>
        </w:rPr>
        <w:t>流动资产</w:t>
      </w:r>
      <w:r w:rsidR="00BF7B7E">
        <w:rPr>
          <w:rFonts w:ascii="仿宋" w:eastAsia="仿宋" w:hAnsi="Times New Roman" w:cs="仿宋" w:hint="eastAsia"/>
          <w:kern w:val="0"/>
          <w:sz w:val="32"/>
          <w:szCs w:val="32"/>
        </w:rPr>
        <w:t>。其中：流动资产</w:t>
      </w:r>
      <w:r w:rsidR="0018106A">
        <w:rPr>
          <w:rFonts w:ascii="仿宋" w:eastAsia="仿宋" w:hAnsi="Times New Roman" w:cs="仿宋" w:hint="eastAsia"/>
          <w:kern w:val="0"/>
          <w:sz w:val="32"/>
          <w:szCs w:val="32"/>
        </w:rPr>
        <w:t>127.40</w:t>
      </w:r>
      <w:r w:rsidR="00BF7B7E">
        <w:rPr>
          <w:rFonts w:ascii="仿宋" w:eastAsia="仿宋" w:hAnsi="Times New Roman" w:cs="仿宋" w:hint="eastAsia"/>
          <w:kern w:val="0"/>
          <w:sz w:val="32"/>
          <w:szCs w:val="32"/>
        </w:rPr>
        <w:t>万元，占总资产的</w:t>
      </w:r>
      <w:r w:rsidR="0018106A">
        <w:rPr>
          <w:rFonts w:ascii="仿宋" w:eastAsia="仿宋" w:hAnsi="Times New Roman" w:cs="仿宋" w:hint="eastAsia"/>
          <w:kern w:val="0"/>
          <w:sz w:val="32"/>
          <w:szCs w:val="32"/>
        </w:rPr>
        <w:t>18.31</w:t>
      </w:r>
      <w:r w:rsidR="00BF7B7E">
        <w:rPr>
          <w:rFonts w:ascii="仿宋" w:eastAsia="仿宋" w:hAnsi="Times New Roman" w:cs="仿宋" w:hint="eastAsia"/>
          <w:kern w:val="0"/>
          <w:sz w:val="32"/>
          <w:szCs w:val="32"/>
        </w:rPr>
        <w:t>%；固定资产</w:t>
      </w:r>
      <w:r w:rsidR="0018106A">
        <w:rPr>
          <w:rFonts w:ascii="仿宋" w:eastAsia="仿宋" w:hAnsi="Times New Roman" w:cs="仿宋" w:hint="eastAsia"/>
          <w:kern w:val="0"/>
          <w:sz w:val="32"/>
          <w:szCs w:val="32"/>
        </w:rPr>
        <w:t>539.17</w:t>
      </w:r>
      <w:r w:rsidR="00BF7B7E">
        <w:rPr>
          <w:rFonts w:ascii="仿宋" w:eastAsia="仿宋" w:hAnsi="Times New Roman" w:cs="仿宋" w:hint="eastAsia"/>
          <w:kern w:val="0"/>
          <w:sz w:val="32"/>
          <w:szCs w:val="32"/>
        </w:rPr>
        <w:t>万元，占总资产的</w:t>
      </w:r>
      <w:r w:rsidR="0018106A">
        <w:rPr>
          <w:rFonts w:ascii="仿宋" w:eastAsia="仿宋" w:hAnsi="Times New Roman" w:cs="仿宋" w:hint="eastAsia"/>
          <w:kern w:val="0"/>
          <w:sz w:val="32"/>
          <w:szCs w:val="32"/>
        </w:rPr>
        <w:t>77.47</w:t>
      </w:r>
      <w:r w:rsidR="00BF7B7E">
        <w:rPr>
          <w:rFonts w:ascii="仿宋" w:eastAsia="仿宋" w:hAnsi="Times New Roman" w:cs="仿宋" w:hint="eastAsia"/>
          <w:kern w:val="0"/>
          <w:sz w:val="32"/>
          <w:szCs w:val="32"/>
        </w:rPr>
        <w:t>%</w:t>
      </w:r>
      <w:r w:rsidR="0018106A">
        <w:rPr>
          <w:rFonts w:ascii="仿宋" w:eastAsia="仿宋" w:hAnsi="Times New Roman" w:cs="仿宋" w:hint="eastAsia"/>
          <w:kern w:val="0"/>
          <w:sz w:val="32"/>
          <w:szCs w:val="32"/>
        </w:rPr>
        <w:t>；无形资产29.40万元，占总资产的4.22%。</w:t>
      </w:r>
      <w:r w:rsidR="0038512D">
        <w:rPr>
          <w:rFonts w:ascii="仿宋" w:eastAsia="仿宋" w:hAnsi="Times New Roman" w:cs="仿宋" w:hint="eastAsia"/>
          <w:kern w:val="0"/>
          <w:sz w:val="32"/>
          <w:szCs w:val="32"/>
        </w:rPr>
        <w:t>单位价值200万元（含）以上设备</w:t>
      </w:r>
      <w:r w:rsidR="0018106A">
        <w:rPr>
          <w:rFonts w:ascii="仿宋" w:eastAsia="仿宋" w:hAnsi="Times New Roman" w:cs="仿宋" w:hint="eastAsia"/>
          <w:kern w:val="0"/>
          <w:sz w:val="32"/>
          <w:szCs w:val="32"/>
        </w:rPr>
        <w:t>1</w:t>
      </w:r>
      <w:r w:rsidR="0038512D">
        <w:rPr>
          <w:rFonts w:ascii="仿宋" w:eastAsia="仿宋" w:hAnsi="Times New Roman" w:cs="仿宋" w:hint="eastAsia"/>
          <w:kern w:val="0"/>
          <w:sz w:val="32"/>
          <w:szCs w:val="32"/>
        </w:rPr>
        <w:t>套。</w:t>
      </w:r>
    </w:p>
    <w:p w:rsidR="004614FB" w:rsidRDefault="003F53B9" w:rsidP="00595EA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w:t>
      </w:r>
      <w:r w:rsidR="00CD70CB">
        <w:rPr>
          <w:rFonts w:ascii="仿宋" w:eastAsia="仿宋" w:hAnsi="Times New Roman" w:cs="仿宋" w:hint="eastAsia"/>
          <w:kern w:val="0"/>
          <w:sz w:val="32"/>
          <w:szCs w:val="32"/>
        </w:rPr>
        <w:t>十</w:t>
      </w:r>
      <w:r w:rsidR="007079F8">
        <w:rPr>
          <w:rFonts w:ascii="仿宋" w:eastAsia="仿宋" w:hAnsi="Times New Roman" w:cs="仿宋" w:hint="eastAsia"/>
          <w:kern w:val="0"/>
          <w:sz w:val="32"/>
          <w:szCs w:val="32"/>
        </w:rPr>
        <w:t>一</w:t>
      </w:r>
      <w:r>
        <w:rPr>
          <w:rFonts w:ascii="仿宋" w:eastAsia="仿宋" w:hAnsi="Times New Roman" w:cs="仿宋" w:hint="eastAsia"/>
          <w:kern w:val="0"/>
          <w:sz w:val="32"/>
          <w:szCs w:val="32"/>
        </w:rPr>
        <w:t>）绩效评价结果情况</w:t>
      </w:r>
    </w:p>
    <w:p w:rsidR="003F53B9" w:rsidRDefault="006970D0" w:rsidP="00595EA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2015年度本部门实施支出绩效评价的项目</w:t>
      </w:r>
      <w:r w:rsidR="000D3EF9">
        <w:rPr>
          <w:rFonts w:ascii="仿宋" w:eastAsia="仿宋" w:hAnsi="Times New Roman" w:cs="仿宋" w:hint="eastAsia"/>
          <w:kern w:val="0"/>
          <w:sz w:val="32"/>
          <w:szCs w:val="32"/>
        </w:rPr>
        <w:t>0</w:t>
      </w:r>
      <w:r>
        <w:rPr>
          <w:rFonts w:ascii="仿宋" w:eastAsia="仿宋" w:hAnsi="Times New Roman" w:cs="仿宋" w:hint="eastAsia"/>
          <w:kern w:val="0"/>
          <w:sz w:val="32"/>
          <w:szCs w:val="32"/>
        </w:rPr>
        <w:t xml:space="preserve">个，支出金额  </w:t>
      </w:r>
      <w:r w:rsidR="000D3EF9">
        <w:rPr>
          <w:rFonts w:ascii="仿宋" w:eastAsia="仿宋" w:hAnsi="Times New Roman" w:cs="仿宋" w:hint="eastAsia"/>
          <w:kern w:val="0"/>
          <w:sz w:val="32"/>
          <w:szCs w:val="32"/>
        </w:rPr>
        <w:t>0</w:t>
      </w:r>
      <w:r>
        <w:rPr>
          <w:rFonts w:ascii="仿宋" w:eastAsia="仿宋" w:hAnsi="Times New Roman" w:cs="仿宋" w:hint="eastAsia"/>
          <w:kern w:val="0"/>
          <w:sz w:val="32"/>
          <w:szCs w:val="32"/>
        </w:rPr>
        <w:t>万元</w:t>
      </w:r>
      <w:r w:rsidR="00D366CD">
        <w:rPr>
          <w:rFonts w:ascii="仿宋" w:eastAsia="仿宋" w:hAnsi="Times New Roman" w:cs="仿宋" w:hint="eastAsia"/>
          <w:kern w:val="0"/>
          <w:sz w:val="32"/>
          <w:szCs w:val="32"/>
        </w:rPr>
        <w:t>。</w:t>
      </w:r>
    </w:p>
    <w:p w:rsidR="0038512D" w:rsidRPr="008F1E0E" w:rsidRDefault="0038512D" w:rsidP="00482F4B">
      <w:pPr>
        <w:spacing w:line="600" w:lineRule="exact"/>
        <w:ind w:firstLineChars="200" w:firstLine="640"/>
        <w:rPr>
          <w:rFonts w:ascii="黑体" w:eastAsia="黑体"/>
          <w:bCs/>
          <w:sz w:val="32"/>
          <w:szCs w:val="32"/>
        </w:rPr>
      </w:pPr>
      <w:r w:rsidRPr="0038512D">
        <w:rPr>
          <w:rFonts w:ascii="黑体" w:eastAsia="黑体" w:hAnsi="Times New Roman" w:cs="黑体" w:hint="eastAsia"/>
          <w:color w:val="000000"/>
          <w:sz w:val="32"/>
          <w:szCs w:val="32"/>
        </w:rPr>
        <w:t>四、名词解释</w:t>
      </w:r>
    </w:p>
    <w:p w:rsidR="008F1E0E" w:rsidRDefault="008F1E0E"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1.财政拨款收入：从同级财政部门取得的财政预算资金，</w:t>
      </w:r>
      <w:r>
        <w:rPr>
          <w:rFonts w:ascii="仿宋_GB2312" w:eastAsia="仿宋_GB2312" w:hAnsi="仿宋_GB2312" w:hint="eastAsia"/>
          <w:sz w:val="32"/>
        </w:rPr>
        <w:lastRenderedPageBreak/>
        <w:t>包括公共预算财政拨款和政府性基金预算财政拨款。</w:t>
      </w:r>
    </w:p>
    <w:p w:rsidR="008F1E0E" w:rsidRDefault="000D3EF9"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2</w:t>
      </w:r>
      <w:r w:rsidR="008F1E0E">
        <w:rPr>
          <w:rFonts w:ascii="仿宋_GB2312" w:eastAsia="仿宋_GB2312" w:hAnsi="仿宋_GB2312" w:hint="eastAsia"/>
          <w:sz w:val="32"/>
        </w:rPr>
        <w:t>.其他收入：预算单位在“财政拨款、事业收入（财政专户管理资金收入）、经营收入”等之外取得的各项收入（含上级补助收入和附属单位缴款等收入）。</w:t>
      </w:r>
    </w:p>
    <w:p w:rsidR="008F1E0E" w:rsidRDefault="000D3EF9"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3</w:t>
      </w:r>
      <w:r w:rsidR="008F1E0E">
        <w:rPr>
          <w:rFonts w:ascii="仿宋_GB2312" w:eastAsia="仿宋_GB2312" w:hAnsi="仿宋_GB2312" w:hint="eastAsia"/>
          <w:sz w:val="32"/>
        </w:rPr>
        <w:t>.上年结转：预算单位以前年度的收入预算未执行完毕，需结转本年度继续使用的结转资金，</w:t>
      </w:r>
      <w:r w:rsidR="008F1E0E" w:rsidRPr="00BB636D">
        <w:rPr>
          <w:rFonts w:ascii="仿宋_GB2312" w:eastAsia="仿宋_GB2312" w:hAnsi="仿宋_GB2312" w:hint="eastAsia"/>
          <w:sz w:val="32"/>
        </w:rPr>
        <w:t>以及以前年度收支相抵后的盈余或亏损结余资金。</w:t>
      </w:r>
    </w:p>
    <w:p w:rsidR="008F1E0E" w:rsidRDefault="000D3EF9"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4</w:t>
      </w:r>
      <w:r w:rsidR="008F1E0E">
        <w:rPr>
          <w:rFonts w:ascii="仿宋_GB2312" w:eastAsia="仿宋_GB2312" w:hAnsi="仿宋_GB2312" w:hint="eastAsia"/>
          <w:sz w:val="32"/>
        </w:rPr>
        <w:t>.结转下年：预算单位本年底前的收入预算未执行完毕，需结转下年度按照原用途继续使用的结转资金，以及本年底前收支相抵后盈余或亏损的结余资金。</w:t>
      </w:r>
    </w:p>
    <w:p w:rsidR="008F1E0E" w:rsidRDefault="000D3EF9"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5</w:t>
      </w:r>
      <w:r w:rsidR="008F1E0E">
        <w:rPr>
          <w:rFonts w:ascii="仿宋_GB2312" w:eastAsia="仿宋_GB2312" w:hAnsi="仿宋_GB2312" w:hint="eastAsia"/>
          <w:sz w:val="32"/>
        </w:rPr>
        <w:t>.基本支出：是预算单位为保障其正常运转，完成日常工作任务所发生的支出，包括人员支出和日常公用支出。</w:t>
      </w:r>
    </w:p>
    <w:p w:rsidR="008F1E0E" w:rsidRDefault="000D3EF9" w:rsidP="008F1E0E">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6</w:t>
      </w:r>
      <w:r w:rsidR="008F1E0E">
        <w:rPr>
          <w:rFonts w:ascii="仿宋_GB2312" w:eastAsia="仿宋_GB2312" w:hAnsi="仿宋_GB2312" w:hint="eastAsia"/>
          <w:sz w:val="32"/>
        </w:rPr>
        <w:t>.项目支出：是预算单位为完成其特定的行政工作任务或事业发展目标所发生的支出。</w:t>
      </w:r>
    </w:p>
    <w:p w:rsidR="008F1E0E" w:rsidRDefault="000D3EF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8F1E0E">
        <w:rPr>
          <w:rFonts w:ascii="仿宋_GB2312" w:eastAsia="仿宋_GB2312" w:hAnsi="仿宋_GB2312" w:hint="eastAsia"/>
          <w:sz w:val="32"/>
          <w:szCs w:val="32"/>
        </w:rPr>
        <w:t>.因公出国（境）费用：反映单位公务出国（境）的</w:t>
      </w:r>
      <w:r w:rsidR="00420D41">
        <w:rPr>
          <w:rFonts w:ascii="仿宋_GB2312" w:eastAsia="仿宋_GB2312" w:hAnsi="仿宋_GB2312" w:hint="eastAsia"/>
          <w:sz w:val="32"/>
          <w:szCs w:val="32"/>
        </w:rPr>
        <w:t>国际旅费、国外城市间交通费、住宿费、伙食费</w:t>
      </w:r>
      <w:r w:rsidR="008F1E0E">
        <w:rPr>
          <w:rFonts w:ascii="仿宋_GB2312" w:eastAsia="仿宋_GB2312" w:hAnsi="仿宋_GB2312" w:hint="eastAsia"/>
          <w:sz w:val="32"/>
          <w:szCs w:val="32"/>
        </w:rPr>
        <w:t>、培训费</w:t>
      </w:r>
      <w:r w:rsidR="00420D41">
        <w:rPr>
          <w:rFonts w:ascii="仿宋_GB2312" w:eastAsia="仿宋_GB2312" w:hAnsi="仿宋_GB2312" w:hint="eastAsia"/>
          <w:sz w:val="32"/>
          <w:szCs w:val="32"/>
        </w:rPr>
        <w:t>、公杂费</w:t>
      </w:r>
      <w:r w:rsidR="008F1E0E">
        <w:rPr>
          <w:rFonts w:ascii="仿宋_GB2312" w:eastAsia="仿宋_GB2312" w:hAnsi="仿宋_GB2312" w:hint="eastAsia"/>
          <w:sz w:val="32"/>
          <w:szCs w:val="32"/>
        </w:rPr>
        <w:t>等支出。</w:t>
      </w:r>
    </w:p>
    <w:p w:rsidR="008F1E0E" w:rsidRDefault="000D3EF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sidR="008F1E0E">
        <w:rPr>
          <w:rFonts w:ascii="仿宋_GB2312" w:eastAsia="仿宋_GB2312" w:hAnsi="仿宋_GB2312" w:hint="eastAsia"/>
          <w:sz w:val="32"/>
          <w:szCs w:val="32"/>
        </w:rPr>
        <w:t>.公务接待费：反映单位按规定开支的各类公务接待（含外宾接待）费用。</w:t>
      </w:r>
    </w:p>
    <w:p w:rsidR="008F1E0E" w:rsidRDefault="000D3EF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w:t>
      </w:r>
      <w:r w:rsidR="008F1E0E">
        <w:rPr>
          <w:rFonts w:ascii="仿宋_GB2312" w:eastAsia="仿宋_GB2312" w:hAnsi="仿宋_GB2312" w:hint="eastAsia"/>
          <w:sz w:val="32"/>
          <w:szCs w:val="32"/>
        </w:rPr>
        <w:t>.机关运行经费：</w:t>
      </w:r>
      <w:r w:rsidR="006C34A6">
        <w:rPr>
          <w:rFonts w:ascii="仿宋_GB2312" w:eastAsia="仿宋_GB2312" w:hAnsi="仿宋_GB2312" w:hint="eastAsia"/>
          <w:sz w:val="32"/>
          <w:szCs w:val="32"/>
        </w:rPr>
        <w:t>为保障</w:t>
      </w:r>
      <w:r w:rsidR="008F1E0E">
        <w:rPr>
          <w:rFonts w:ascii="仿宋_GB2312" w:eastAsia="仿宋_GB2312" w:hAnsi="仿宋_GB2312" w:hint="eastAsia"/>
          <w:sz w:val="32"/>
          <w:szCs w:val="32"/>
        </w:rPr>
        <w:t>行政单位和参照公务员法管理的事业单位</w:t>
      </w:r>
      <w:r w:rsidR="006C34A6">
        <w:rPr>
          <w:rFonts w:ascii="仿宋_GB2312" w:eastAsia="仿宋_GB2312" w:hAnsi="仿宋_GB2312" w:hint="eastAsia"/>
          <w:sz w:val="32"/>
          <w:szCs w:val="32"/>
        </w:rPr>
        <w:t>运行</w:t>
      </w:r>
      <w:r w:rsidR="008F1E0E">
        <w:rPr>
          <w:rFonts w:ascii="仿宋_GB2312" w:eastAsia="仿宋_GB2312" w:hAnsi="仿宋_GB2312" w:hint="eastAsia"/>
          <w:sz w:val="32"/>
          <w:szCs w:val="32"/>
        </w:rPr>
        <w:t>使用一般公共预算财政拨款</w:t>
      </w:r>
      <w:r w:rsidR="006C34A6">
        <w:rPr>
          <w:rFonts w:ascii="仿宋_GB2312" w:eastAsia="仿宋_GB2312" w:hAnsi="仿宋_GB2312" w:hint="eastAsia"/>
          <w:sz w:val="32"/>
          <w:szCs w:val="32"/>
        </w:rPr>
        <w:t>资金购买货物和服务</w:t>
      </w:r>
      <w:r w:rsidR="006C34A6">
        <w:rPr>
          <w:rFonts w:ascii="仿宋_GB2312" w:eastAsia="仿宋_GB2312" w:hAnsi="仿宋_GB2312" w:hint="eastAsia"/>
          <w:sz w:val="32"/>
          <w:szCs w:val="32"/>
        </w:rPr>
        <w:lastRenderedPageBreak/>
        <w:t>的各项经费</w:t>
      </w:r>
      <w:r w:rsidR="00420D41">
        <w:rPr>
          <w:rFonts w:ascii="仿宋_GB2312" w:eastAsia="仿宋_GB2312" w:hAnsi="仿宋_GB2312" w:hint="eastAsia"/>
          <w:sz w:val="32"/>
          <w:szCs w:val="32"/>
        </w:rPr>
        <w:t>，即使用一般公共预算财政拨款资金安排的基本支出</w:t>
      </w:r>
      <w:r w:rsidR="00A0740C">
        <w:rPr>
          <w:rFonts w:ascii="仿宋_GB2312" w:eastAsia="仿宋_GB2312" w:hAnsi="仿宋_GB2312" w:hint="eastAsia"/>
          <w:sz w:val="32"/>
          <w:szCs w:val="32"/>
        </w:rPr>
        <w:t>中</w:t>
      </w:r>
      <w:r w:rsidR="00420D41">
        <w:rPr>
          <w:rFonts w:ascii="仿宋_GB2312" w:eastAsia="仿宋_GB2312" w:hAnsi="仿宋_GB2312" w:hint="eastAsia"/>
          <w:sz w:val="32"/>
          <w:szCs w:val="32"/>
        </w:rPr>
        <w:t>的日常公用经费。</w:t>
      </w:r>
    </w:p>
    <w:p w:rsidR="00887089" w:rsidRDefault="0088708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0D3EF9">
        <w:rPr>
          <w:rFonts w:ascii="仿宋_GB2312" w:eastAsia="仿宋_GB2312" w:hAnsi="仿宋_GB2312" w:hint="eastAsia"/>
          <w:sz w:val="32"/>
          <w:szCs w:val="32"/>
        </w:rPr>
        <w:t>0</w:t>
      </w:r>
      <w:r>
        <w:rPr>
          <w:rFonts w:ascii="仿宋_GB2312" w:eastAsia="仿宋_GB2312" w:hAnsi="仿宋_GB2312" w:hint="eastAsia"/>
          <w:sz w:val="32"/>
          <w:szCs w:val="32"/>
        </w:rPr>
        <w:t>.流动资产：是指一年以内变现或耗用的资产，包括库存现金、银行存款、零余额用款额度、财政应返还额度、应收及预付款项、存货等。</w:t>
      </w:r>
    </w:p>
    <w:p w:rsidR="00887089" w:rsidRDefault="0088708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0D3EF9">
        <w:rPr>
          <w:rFonts w:ascii="仿宋_GB2312" w:eastAsia="仿宋_GB2312" w:hAnsi="仿宋_GB2312" w:hint="eastAsia"/>
          <w:sz w:val="32"/>
          <w:szCs w:val="32"/>
        </w:rPr>
        <w:t>1</w:t>
      </w:r>
      <w:r>
        <w:rPr>
          <w:rFonts w:ascii="仿宋_GB2312" w:eastAsia="仿宋_GB2312" w:hAnsi="仿宋_GB2312" w:hint="eastAsia"/>
          <w:sz w:val="32"/>
          <w:szCs w:val="32"/>
        </w:rPr>
        <w:t>.固定资产：是指使用期限超过1年（不含1年），单位价值在规定标准以上，并且在使用过程中基本保持原有物质形态的资产。</w:t>
      </w:r>
    </w:p>
    <w:p w:rsidR="007B0FA4" w:rsidRPr="00887089" w:rsidRDefault="000D3EF9" w:rsidP="008F1E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7B0FA4">
        <w:rPr>
          <w:rFonts w:ascii="仿宋_GB2312" w:eastAsia="仿宋_GB2312" w:hAnsi="仿宋_GB2312" w:hint="eastAsia"/>
          <w:sz w:val="32"/>
          <w:szCs w:val="32"/>
        </w:rPr>
        <w:t>2.无形资产：是指不具有实物形</w:t>
      </w:r>
      <w:r w:rsidR="00A34BA9">
        <w:rPr>
          <w:rFonts w:ascii="仿宋_GB2312" w:eastAsia="仿宋_GB2312" w:hAnsi="仿宋_GB2312" w:hint="eastAsia"/>
          <w:sz w:val="32"/>
          <w:szCs w:val="32"/>
        </w:rPr>
        <w:t>态而能为单位提供某种权利的非货币性资产。</w:t>
      </w:r>
      <w:r w:rsidR="007B0FA4">
        <w:rPr>
          <w:rFonts w:ascii="仿宋_GB2312" w:eastAsia="仿宋_GB2312" w:hAnsi="仿宋_GB2312" w:hint="eastAsia"/>
          <w:sz w:val="32"/>
          <w:szCs w:val="32"/>
        </w:rPr>
        <w:t>包括计算机软件、土地使用权、著作权、专利权、非专利技术等。</w:t>
      </w:r>
    </w:p>
    <w:p w:rsidR="000D3EF9" w:rsidRPr="00756AAB" w:rsidRDefault="000D3EF9" w:rsidP="000D3EF9">
      <w:pPr>
        <w:pStyle w:val="a5"/>
        <w:ind w:firstLineChars="250" w:firstLine="800"/>
        <w:rPr>
          <w:rFonts w:ascii="仿宋_GB2312" w:eastAsia="仿宋_GB2312"/>
          <w:sz w:val="32"/>
          <w:szCs w:val="32"/>
        </w:rPr>
      </w:pPr>
      <w:r w:rsidRPr="00756AAB">
        <w:rPr>
          <w:rFonts w:ascii="仿宋_GB2312" w:eastAsia="仿宋_GB2312" w:hint="eastAsia"/>
          <w:sz w:val="32"/>
          <w:szCs w:val="32"/>
        </w:rPr>
        <w:t>1</w:t>
      </w:r>
      <w:r>
        <w:rPr>
          <w:rFonts w:ascii="仿宋_GB2312" w:eastAsia="仿宋_GB2312" w:hint="eastAsia"/>
          <w:sz w:val="32"/>
          <w:szCs w:val="32"/>
        </w:rPr>
        <w:t>3</w:t>
      </w:r>
      <w:r w:rsidRPr="00756AAB">
        <w:rPr>
          <w:rFonts w:ascii="仿宋_GB2312" w:eastAsia="仿宋_GB2312" w:hint="eastAsia"/>
          <w:sz w:val="32"/>
          <w:szCs w:val="32"/>
        </w:rPr>
        <w:t>．206（类）99（款）99（项）主要用于其他科学技术支出。</w:t>
      </w:r>
    </w:p>
    <w:p w:rsidR="000D3EF9" w:rsidRPr="00756AAB" w:rsidRDefault="000D3EF9" w:rsidP="000D3EF9">
      <w:pPr>
        <w:pStyle w:val="a5"/>
        <w:rPr>
          <w:rFonts w:ascii="仿宋_GB2312" w:eastAsia="仿宋_GB2312"/>
          <w:sz w:val="32"/>
          <w:szCs w:val="32"/>
        </w:rPr>
      </w:pPr>
      <w:r w:rsidRPr="00756AAB">
        <w:rPr>
          <w:rFonts w:eastAsia="仿宋_GB2312" w:hint="eastAsia"/>
          <w:sz w:val="32"/>
          <w:szCs w:val="32"/>
        </w:rPr>
        <w:t>  </w:t>
      </w:r>
      <w:r>
        <w:rPr>
          <w:rFonts w:eastAsia="仿宋_GB2312" w:hint="eastAsia"/>
          <w:sz w:val="32"/>
          <w:szCs w:val="32"/>
        </w:rPr>
        <w:t xml:space="preserve"> </w:t>
      </w:r>
      <w:r>
        <w:rPr>
          <w:rFonts w:ascii="仿宋_GB2312" w:eastAsia="仿宋_GB2312" w:hint="eastAsia"/>
          <w:sz w:val="32"/>
          <w:szCs w:val="32"/>
        </w:rPr>
        <w:t>14</w:t>
      </w:r>
      <w:r w:rsidRPr="00756AAB">
        <w:rPr>
          <w:rFonts w:ascii="仿宋_GB2312" w:eastAsia="仿宋_GB2312" w:hint="eastAsia"/>
          <w:sz w:val="32"/>
          <w:szCs w:val="32"/>
        </w:rPr>
        <w:t>．210（类）05（款）01（项）主要用于行政单位医疗。</w:t>
      </w:r>
    </w:p>
    <w:p w:rsidR="000D3EF9" w:rsidRPr="00756AAB" w:rsidRDefault="000D3EF9" w:rsidP="000D3EF9">
      <w:pPr>
        <w:pStyle w:val="a5"/>
        <w:rPr>
          <w:rFonts w:ascii="仿宋_GB2312" w:eastAsia="仿宋_GB2312"/>
          <w:sz w:val="32"/>
          <w:szCs w:val="32"/>
        </w:rPr>
      </w:pPr>
      <w:r w:rsidRPr="00756AAB">
        <w:rPr>
          <w:rFonts w:ascii="仿宋_GB2312" w:eastAsia="仿宋_GB2312" w:hint="eastAsia"/>
          <w:sz w:val="32"/>
          <w:szCs w:val="32"/>
        </w:rPr>
        <w:t xml:space="preserve">　　</w:t>
      </w:r>
      <w:r>
        <w:rPr>
          <w:rFonts w:ascii="仿宋_GB2312" w:eastAsia="仿宋_GB2312" w:hint="eastAsia"/>
          <w:sz w:val="32"/>
          <w:szCs w:val="32"/>
        </w:rPr>
        <w:t xml:space="preserve"> 15</w:t>
      </w:r>
      <w:r w:rsidRPr="00756AAB">
        <w:rPr>
          <w:rFonts w:ascii="仿宋_GB2312" w:eastAsia="仿宋_GB2312" w:hint="eastAsia"/>
          <w:sz w:val="32"/>
          <w:szCs w:val="32"/>
        </w:rPr>
        <w:t>．215（类）07（款）01（项）主要用于行政运行。</w:t>
      </w:r>
    </w:p>
    <w:p w:rsidR="000D3EF9" w:rsidRPr="00756AAB" w:rsidRDefault="000D3EF9" w:rsidP="000D3EF9">
      <w:pPr>
        <w:pStyle w:val="a5"/>
        <w:rPr>
          <w:rFonts w:ascii="仿宋_GB2312" w:eastAsia="仿宋_GB2312"/>
          <w:sz w:val="32"/>
          <w:szCs w:val="32"/>
        </w:rPr>
      </w:pPr>
      <w:r w:rsidRPr="00756AAB">
        <w:rPr>
          <w:rFonts w:ascii="仿宋_GB2312" w:eastAsia="仿宋_GB2312" w:hint="eastAsia"/>
          <w:sz w:val="32"/>
          <w:szCs w:val="32"/>
        </w:rPr>
        <w:t xml:space="preserve">　　</w:t>
      </w:r>
      <w:r>
        <w:rPr>
          <w:rFonts w:ascii="仿宋_GB2312" w:eastAsia="仿宋_GB2312" w:hint="eastAsia"/>
          <w:sz w:val="32"/>
          <w:szCs w:val="32"/>
        </w:rPr>
        <w:t xml:space="preserve"> 16</w:t>
      </w:r>
      <w:r w:rsidRPr="00756AAB">
        <w:rPr>
          <w:rFonts w:ascii="仿宋_GB2312" w:eastAsia="仿宋_GB2312" w:hint="eastAsia"/>
          <w:sz w:val="32"/>
          <w:szCs w:val="32"/>
        </w:rPr>
        <w:t>．215（类）07（款）02（项）主要用于一般行政管理事务。</w:t>
      </w:r>
    </w:p>
    <w:p w:rsidR="000D3EF9" w:rsidRPr="00756AAB" w:rsidRDefault="000D3EF9" w:rsidP="000D3EF9">
      <w:pPr>
        <w:pStyle w:val="a5"/>
        <w:rPr>
          <w:rFonts w:ascii="仿宋_GB2312" w:eastAsia="仿宋_GB2312"/>
          <w:sz w:val="32"/>
          <w:szCs w:val="32"/>
        </w:rPr>
      </w:pPr>
      <w:r w:rsidRPr="00756AAB">
        <w:rPr>
          <w:rFonts w:ascii="仿宋_GB2312" w:eastAsia="仿宋_GB2312" w:hint="eastAsia"/>
          <w:sz w:val="32"/>
          <w:szCs w:val="32"/>
        </w:rPr>
        <w:t xml:space="preserve">　　</w:t>
      </w:r>
      <w:r>
        <w:rPr>
          <w:rFonts w:ascii="仿宋_GB2312" w:eastAsia="仿宋_GB2312" w:hint="eastAsia"/>
          <w:sz w:val="32"/>
          <w:szCs w:val="32"/>
        </w:rPr>
        <w:t xml:space="preserve"> 17</w:t>
      </w:r>
      <w:r w:rsidRPr="00756AAB">
        <w:rPr>
          <w:rFonts w:ascii="仿宋_GB2312" w:eastAsia="仿宋_GB2312" w:hint="eastAsia"/>
          <w:sz w:val="32"/>
          <w:szCs w:val="32"/>
        </w:rPr>
        <w:t>．221（类）02（款）01（项）主要用于住房公积金。</w:t>
      </w:r>
    </w:p>
    <w:p w:rsidR="000D3EF9" w:rsidRDefault="000D3EF9" w:rsidP="000D3EF9">
      <w:pPr>
        <w:pStyle w:val="a5"/>
        <w:ind w:firstLineChars="246" w:firstLine="787"/>
        <w:rPr>
          <w:rFonts w:ascii="仿宋_GB2312" w:eastAsia="仿宋_GB2312"/>
          <w:sz w:val="32"/>
          <w:szCs w:val="32"/>
        </w:rPr>
      </w:pPr>
      <w:r>
        <w:rPr>
          <w:rFonts w:ascii="仿宋_GB2312" w:eastAsia="仿宋_GB2312" w:hint="eastAsia"/>
          <w:sz w:val="32"/>
          <w:szCs w:val="32"/>
        </w:rPr>
        <w:t>18</w:t>
      </w:r>
      <w:r w:rsidRPr="00756AAB">
        <w:rPr>
          <w:rFonts w:ascii="仿宋_GB2312" w:eastAsia="仿宋_GB2312" w:hint="eastAsia"/>
          <w:sz w:val="32"/>
          <w:szCs w:val="32"/>
        </w:rPr>
        <w:t>．221（类）02（款）03（项）主要用于购房补贴。</w:t>
      </w:r>
    </w:p>
    <w:p w:rsidR="008F1E0E" w:rsidRPr="008C4D75" w:rsidRDefault="000D3EF9" w:rsidP="008C4D75">
      <w:pPr>
        <w:pStyle w:val="a5"/>
        <w:ind w:firstLineChars="246" w:firstLine="787"/>
        <w:rPr>
          <w:rFonts w:ascii="仿宋_GB2312" w:eastAsia="仿宋_GB2312"/>
          <w:sz w:val="32"/>
          <w:szCs w:val="32"/>
        </w:rPr>
      </w:pPr>
      <w:r>
        <w:rPr>
          <w:rFonts w:ascii="仿宋_GB2312" w:eastAsia="仿宋_GB2312" w:hint="eastAsia"/>
          <w:sz w:val="32"/>
          <w:szCs w:val="32"/>
        </w:rPr>
        <w:t>19.201(类)10</w:t>
      </w:r>
      <w:r w:rsidRPr="00756AAB">
        <w:rPr>
          <w:rFonts w:ascii="仿宋_GB2312" w:eastAsia="仿宋_GB2312" w:hint="eastAsia"/>
          <w:sz w:val="32"/>
          <w:szCs w:val="32"/>
        </w:rPr>
        <w:t>（款）</w:t>
      </w:r>
      <w:r>
        <w:rPr>
          <w:rFonts w:ascii="仿宋_GB2312" w:eastAsia="仿宋_GB2312" w:hint="eastAsia"/>
          <w:sz w:val="32"/>
          <w:szCs w:val="32"/>
        </w:rPr>
        <w:t>08</w:t>
      </w:r>
      <w:r w:rsidRPr="00756AAB">
        <w:rPr>
          <w:rFonts w:ascii="仿宋_GB2312" w:eastAsia="仿宋_GB2312" w:hint="eastAsia"/>
          <w:sz w:val="32"/>
          <w:szCs w:val="32"/>
        </w:rPr>
        <w:t>（项）主要用于</w:t>
      </w:r>
      <w:r>
        <w:rPr>
          <w:rFonts w:ascii="仿宋_GB2312" w:eastAsia="仿宋_GB2312" w:hint="eastAsia"/>
          <w:sz w:val="32"/>
          <w:szCs w:val="32"/>
        </w:rPr>
        <w:t>引进人才费用。</w:t>
      </w:r>
    </w:p>
    <w:sectPr w:rsidR="008F1E0E" w:rsidRPr="008C4D75" w:rsidSect="00053EFE">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CC" w:rsidRDefault="00A75CCC" w:rsidP="004614FB">
      <w:r>
        <w:separator/>
      </w:r>
    </w:p>
  </w:endnote>
  <w:endnote w:type="continuationSeparator" w:id="1">
    <w:p w:rsidR="00A75CCC" w:rsidRDefault="00A75CCC" w:rsidP="0046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CC" w:rsidRDefault="00A75CCC" w:rsidP="004614FB">
      <w:r>
        <w:separator/>
      </w:r>
    </w:p>
  </w:footnote>
  <w:footnote w:type="continuationSeparator" w:id="1">
    <w:p w:rsidR="00A75CCC" w:rsidRDefault="00A75CCC" w:rsidP="00461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F0B"/>
    <w:rsid w:val="00046671"/>
    <w:rsid w:val="00053EFE"/>
    <w:rsid w:val="00064128"/>
    <w:rsid w:val="000651D8"/>
    <w:rsid w:val="000B4D56"/>
    <w:rsid w:val="000D3EF9"/>
    <w:rsid w:val="000E188B"/>
    <w:rsid w:val="000F6A4F"/>
    <w:rsid w:val="00116919"/>
    <w:rsid w:val="00120CDC"/>
    <w:rsid w:val="00125B4D"/>
    <w:rsid w:val="00176822"/>
    <w:rsid w:val="0018106A"/>
    <w:rsid w:val="0018273E"/>
    <w:rsid w:val="00184183"/>
    <w:rsid w:val="001902D7"/>
    <w:rsid w:val="00190775"/>
    <w:rsid w:val="001920D4"/>
    <w:rsid w:val="001D5629"/>
    <w:rsid w:val="001D5A80"/>
    <w:rsid w:val="001E74C5"/>
    <w:rsid w:val="00214241"/>
    <w:rsid w:val="00221B85"/>
    <w:rsid w:val="002738A3"/>
    <w:rsid w:val="00294E07"/>
    <w:rsid w:val="00297A5D"/>
    <w:rsid w:val="002A7BA1"/>
    <w:rsid w:val="002E00D5"/>
    <w:rsid w:val="00330A19"/>
    <w:rsid w:val="003349AB"/>
    <w:rsid w:val="00342CD2"/>
    <w:rsid w:val="0034725A"/>
    <w:rsid w:val="00371925"/>
    <w:rsid w:val="00385021"/>
    <w:rsid w:val="0038512D"/>
    <w:rsid w:val="00386388"/>
    <w:rsid w:val="0038715C"/>
    <w:rsid w:val="00395AC1"/>
    <w:rsid w:val="003A4B20"/>
    <w:rsid w:val="003A6FA2"/>
    <w:rsid w:val="003B0DD8"/>
    <w:rsid w:val="003D5271"/>
    <w:rsid w:val="003F53B9"/>
    <w:rsid w:val="004044EE"/>
    <w:rsid w:val="00420D41"/>
    <w:rsid w:val="004579F5"/>
    <w:rsid w:val="004614FB"/>
    <w:rsid w:val="00482F4B"/>
    <w:rsid w:val="00493E30"/>
    <w:rsid w:val="004C2010"/>
    <w:rsid w:val="004C47A6"/>
    <w:rsid w:val="004C62D1"/>
    <w:rsid w:val="004D08DD"/>
    <w:rsid w:val="004D09A8"/>
    <w:rsid w:val="004E0E8D"/>
    <w:rsid w:val="004F1790"/>
    <w:rsid w:val="004F2CCF"/>
    <w:rsid w:val="004F54CB"/>
    <w:rsid w:val="004F7B52"/>
    <w:rsid w:val="00514AEC"/>
    <w:rsid w:val="00515175"/>
    <w:rsid w:val="005174AB"/>
    <w:rsid w:val="00530954"/>
    <w:rsid w:val="0053257B"/>
    <w:rsid w:val="00567BF7"/>
    <w:rsid w:val="00586939"/>
    <w:rsid w:val="00595EAD"/>
    <w:rsid w:val="005B180D"/>
    <w:rsid w:val="005E3140"/>
    <w:rsid w:val="00604C57"/>
    <w:rsid w:val="0061194C"/>
    <w:rsid w:val="006405C2"/>
    <w:rsid w:val="00642FED"/>
    <w:rsid w:val="00685EAF"/>
    <w:rsid w:val="0069528E"/>
    <w:rsid w:val="006970D0"/>
    <w:rsid w:val="006C34A6"/>
    <w:rsid w:val="006D6A2F"/>
    <w:rsid w:val="007079F8"/>
    <w:rsid w:val="00746CBE"/>
    <w:rsid w:val="0075047F"/>
    <w:rsid w:val="00756AAB"/>
    <w:rsid w:val="007929B7"/>
    <w:rsid w:val="007B0FA4"/>
    <w:rsid w:val="007B33DE"/>
    <w:rsid w:val="007C44E9"/>
    <w:rsid w:val="007D348B"/>
    <w:rsid w:val="00805A1D"/>
    <w:rsid w:val="00822CEF"/>
    <w:rsid w:val="008346BD"/>
    <w:rsid w:val="00881F0B"/>
    <w:rsid w:val="00887089"/>
    <w:rsid w:val="00893EDB"/>
    <w:rsid w:val="008C2CF4"/>
    <w:rsid w:val="008C4D75"/>
    <w:rsid w:val="008E54B4"/>
    <w:rsid w:val="008F1E0E"/>
    <w:rsid w:val="009125B1"/>
    <w:rsid w:val="00943FC3"/>
    <w:rsid w:val="00951A76"/>
    <w:rsid w:val="00982B21"/>
    <w:rsid w:val="009B570B"/>
    <w:rsid w:val="009D180F"/>
    <w:rsid w:val="00A0740C"/>
    <w:rsid w:val="00A34BA9"/>
    <w:rsid w:val="00A71EB2"/>
    <w:rsid w:val="00A75CCC"/>
    <w:rsid w:val="00AC012E"/>
    <w:rsid w:val="00AD6588"/>
    <w:rsid w:val="00AF2F79"/>
    <w:rsid w:val="00AF77F1"/>
    <w:rsid w:val="00B331DE"/>
    <w:rsid w:val="00B5679A"/>
    <w:rsid w:val="00B8507F"/>
    <w:rsid w:val="00BB1A58"/>
    <w:rsid w:val="00BB25FA"/>
    <w:rsid w:val="00BC6167"/>
    <w:rsid w:val="00BF7B7E"/>
    <w:rsid w:val="00C03C0A"/>
    <w:rsid w:val="00C210C6"/>
    <w:rsid w:val="00C362CE"/>
    <w:rsid w:val="00C450CC"/>
    <w:rsid w:val="00C5682A"/>
    <w:rsid w:val="00CD3F92"/>
    <w:rsid w:val="00CD70CB"/>
    <w:rsid w:val="00CE47C0"/>
    <w:rsid w:val="00D366CD"/>
    <w:rsid w:val="00D81005"/>
    <w:rsid w:val="00D82028"/>
    <w:rsid w:val="00D82442"/>
    <w:rsid w:val="00D878BC"/>
    <w:rsid w:val="00DA64A4"/>
    <w:rsid w:val="00DE1E92"/>
    <w:rsid w:val="00DE4BF0"/>
    <w:rsid w:val="00DF4F09"/>
    <w:rsid w:val="00E0018C"/>
    <w:rsid w:val="00E11F7A"/>
    <w:rsid w:val="00E2537B"/>
    <w:rsid w:val="00E3509E"/>
    <w:rsid w:val="00E71FA7"/>
    <w:rsid w:val="00EB6701"/>
    <w:rsid w:val="00EB7242"/>
    <w:rsid w:val="00EE6B34"/>
    <w:rsid w:val="00EF3F12"/>
    <w:rsid w:val="00F20479"/>
    <w:rsid w:val="00F20E78"/>
    <w:rsid w:val="00F27877"/>
    <w:rsid w:val="00F9073B"/>
    <w:rsid w:val="00F96E70"/>
    <w:rsid w:val="00F97ACF"/>
    <w:rsid w:val="00FC70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FB"/>
    <w:rPr>
      <w:sz w:val="18"/>
      <w:szCs w:val="18"/>
    </w:rPr>
  </w:style>
  <w:style w:type="paragraph" w:styleId="a4">
    <w:name w:val="footer"/>
    <w:basedOn w:val="a"/>
    <w:link w:val="Char0"/>
    <w:uiPriority w:val="99"/>
    <w:unhideWhenUsed/>
    <w:rsid w:val="004614FB"/>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FB"/>
    <w:rPr>
      <w:sz w:val="18"/>
      <w:szCs w:val="18"/>
    </w:rPr>
  </w:style>
  <w:style w:type="paragraph" w:styleId="a5">
    <w:name w:val="Normal (Web)"/>
    <w:basedOn w:val="a"/>
    <w:uiPriority w:val="99"/>
    <w:unhideWhenUsed/>
    <w:rsid w:val="00756AA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FB"/>
    <w:rPr>
      <w:sz w:val="18"/>
      <w:szCs w:val="18"/>
    </w:rPr>
  </w:style>
  <w:style w:type="paragraph" w:styleId="a4">
    <w:name w:val="footer"/>
    <w:basedOn w:val="a"/>
    <w:link w:val="Char0"/>
    <w:uiPriority w:val="99"/>
    <w:unhideWhenUsed/>
    <w:rsid w:val="004614FB"/>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FB"/>
    <w:rPr>
      <w:sz w:val="18"/>
      <w:szCs w:val="18"/>
    </w:rPr>
  </w:style>
</w:styles>
</file>

<file path=word/webSettings.xml><?xml version="1.0" encoding="utf-8"?>
<w:webSettings xmlns:r="http://schemas.openxmlformats.org/officeDocument/2006/relationships" xmlns:w="http://schemas.openxmlformats.org/wordprocessingml/2006/main">
  <w:divs>
    <w:div w:id="45765164">
      <w:bodyDiv w:val="1"/>
      <w:marLeft w:val="0"/>
      <w:marRight w:val="0"/>
      <w:marTop w:val="0"/>
      <w:marBottom w:val="0"/>
      <w:divBdr>
        <w:top w:val="none" w:sz="0" w:space="0" w:color="auto"/>
        <w:left w:val="none" w:sz="0" w:space="0" w:color="auto"/>
        <w:bottom w:val="none" w:sz="0" w:space="0" w:color="auto"/>
        <w:right w:val="none" w:sz="0" w:space="0" w:color="auto"/>
      </w:divBdr>
    </w:div>
    <w:div w:id="228075196">
      <w:bodyDiv w:val="1"/>
      <w:marLeft w:val="0"/>
      <w:marRight w:val="0"/>
      <w:marTop w:val="0"/>
      <w:marBottom w:val="0"/>
      <w:divBdr>
        <w:top w:val="none" w:sz="0" w:space="0" w:color="auto"/>
        <w:left w:val="none" w:sz="0" w:space="0" w:color="auto"/>
        <w:bottom w:val="none" w:sz="0" w:space="0" w:color="auto"/>
        <w:right w:val="none" w:sz="0" w:space="0" w:color="auto"/>
      </w:divBdr>
    </w:div>
    <w:div w:id="344938643">
      <w:bodyDiv w:val="1"/>
      <w:marLeft w:val="0"/>
      <w:marRight w:val="0"/>
      <w:marTop w:val="0"/>
      <w:marBottom w:val="0"/>
      <w:divBdr>
        <w:top w:val="none" w:sz="0" w:space="0" w:color="auto"/>
        <w:left w:val="none" w:sz="0" w:space="0" w:color="auto"/>
        <w:bottom w:val="none" w:sz="0" w:space="0" w:color="auto"/>
        <w:right w:val="none" w:sz="0" w:space="0" w:color="auto"/>
      </w:divBdr>
    </w:div>
    <w:div w:id="397941315">
      <w:bodyDiv w:val="1"/>
      <w:marLeft w:val="0"/>
      <w:marRight w:val="0"/>
      <w:marTop w:val="0"/>
      <w:marBottom w:val="0"/>
      <w:divBdr>
        <w:top w:val="none" w:sz="0" w:space="0" w:color="auto"/>
        <w:left w:val="none" w:sz="0" w:space="0" w:color="auto"/>
        <w:bottom w:val="none" w:sz="0" w:space="0" w:color="auto"/>
        <w:right w:val="none" w:sz="0" w:space="0" w:color="auto"/>
      </w:divBdr>
    </w:div>
    <w:div w:id="460614483">
      <w:bodyDiv w:val="1"/>
      <w:marLeft w:val="0"/>
      <w:marRight w:val="0"/>
      <w:marTop w:val="0"/>
      <w:marBottom w:val="0"/>
      <w:divBdr>
        <w:top w:val="none" w:sz="0" w:space="0" w:color="auto"/>
        <w:left w:val="none" w:sz="0" w:space="0" w:color="auto"/>
        <w:bottom w:val="none" w:sz="0" w:space="0" w:color="auto"/>
        <w:right w:val="none" w:sz="0" w:space="0" w:color="auto"/>
      </w:divBdr>
    </w:div>
    <w:div w:id="539174189">
      <w:bodyDiv w:val="1"/>
      <w:marLeft w:val="0"/>
      <w:marRight w:val="0"/>
      <w:marTop w:val="0"/>
      <w:marBottom w:val="0"/>
      <w:divBdr>
        <w:top w:val="none" w:sz="0" w:space="0" w:color="auto"/>
        <w:left w:val="none" w:sz="0" w:space="0" w:color="auto"/>
        <w:bottom w:val="none" w:sz="0" w:space="0" w:color="auto"/>
        <w:right w:val="none" w:sz="0" w:space="0" w:color="auto"/>
      </w:divBdr>
    </w:div>
    <w:div w:id="639723754">
      <w:bodyDiv w:val="1"/>
      <w:marLeft w:val="0"/>
      <w:marRight w:val="0"/>
      <w:marTop w:val="0"/>
      <w:marBottom w:val="0"/>
      <w:divBdr>
        <w:top w:val="none" w:sz="0" w:space="0" w:color="auto"/>
        <w:left w:val="none" w:sz="0" w:space="0" w:color="auto"/>
        <w:bottom w:val="none" w:sz="0" w:space="0" w:color="auto"/>
        <w:right w:val="none" w:sz="0" w:space="0" w:color="auto"/>
      </w:divBdr>
    </w:div>
    <w:div w:id="686175805">
      <w:bodyDiv w:val="1"/>
      <w:marLeft w:val="0"/>
      <w:marRight w:val="0"/>
      <w:marTop w:val="0"/>
      <w:marBottom w:val="0"/>
      <w:divBdr>
        <w:top w:val="none" w:sz="0" w:space="0" w:color="auto"/>
        <w:left w:val="none" w:sz="0" w:space="0" w:color="auto"/>
        <w:bottom w:val="none" w:sz="0" w:space="0" w:color="auto"/>
        <w:right w:val="none" w:sz="0" w:space="0" w:color="auto"/>
      </w:divBdr>
    </w:div>
    <w:div w:id="714088815">
      <w:bodyDiv w:val="1"/>
      <w:marLeft w:val="0"/>
      <w:marRight w:val="0"/>
      <w:marTop w:val="0"/>
      <w:marBottom w:val="0"/>
      <w:divBdr>
        <w:top w:val="none" w:sz="0" w:space="0" w:color="auto"/>
        <w:left w:val="none" w:sz="0" w:space="0" w:color="auto"/>
        <w:bottom w:val="none" w:sz="0" w:space="0" w:color="auto"/>
        <w:right w:val="none" w:sz="0" w:space="0" w:color="auto"/>
      </w:divBdr>
    </w:div>
    <w:div w:id="791755280">
      <w:bodyDiv w:val="1"/>
      <w:marLeft w:val="0"/>
      <w:marRight w:val="0"/>
      <w:marTop w:val="0"/>
      <w:marBottom w:val="0"/>
      <w:divBdr>
        <w:top w:val="none" w:sz="0" w:space="0" w:color="auto"/>
        <w:left w:val="none" w:sz="0" w:space="0" w:color="auto"/>
        <w:bottom w:val="none" w:sz="0" w:space="0" w:color="auto"/>
        <w:right w:val="none" w:sz="0" w:space="0" w:color="auto"/>
      </w:divBdr>
    </w:div>
    <w:div w:id="808283144">
      <w:bodyDiv w:val="1"/>
      <w:marLeft w:val="0"/>
      <w:marRight w:val="0"/>
      <w:marTop w:val="0"/>
      <w:marBottom w:val="0"/>
      <w:divBdr>
        <w:top w:val="none" w:sz="0" w:space="0" w:color="auto"/>
        <w:left w:val="none" w:sz="0" w:space="0" w:color="auto"/>
        <w:bottom w:val="none" w:sz="0" w:space="0" w:color="auto"/>
        <w:right w:val="none" w:sz="0" w:space="0" w:color="auto"/>
      </w:divBdr>
    </w:div>
    <w:div w:id="879980685">
      <w:bodyDiv w:val="1"/>
      <w:marLeft w:val="0"/>
      <w:marRight w:val="0"/>
      <w:marTop w:val="0"/>
      <w:marBottom w:val="0"/>
      <w:divBdr>
        <w:top w:val="none" w:sz="0" w:space="0" w:color="auto"/>
        <w:left w:val="none" w:sz="0" w:space="0" w:color="auto"/>
        <w:bottom w:val="none" w:sz="0" w:space="0" w:color="auto"/>
        <w:right w:val="none" w:sz="0" w:space="0" w:color="auto"/>
      </w:divBdr>
    </w:div>
    <w:div w:id="899100734">
      <w:bodyDiv w:val="1"/>
      <w:marLeft w:val="0"/>
      <w:marRight w:val="0"/>
      <w:marTop w:val="0"/>
      <w:marBottom w:val="0"/>
      <w:divBdr>
        <w:top w:val="none" w:sz="0" w:space="0" w:color="auto"/>
        <w:left w:val="none" w:sz="0" w:space="0" w:color="auto"/>
        <w:bottom w:val="none" w:sz="0" w:space="0" w:color="auto"/>
        <w:right w:val="none" w:sz="0" w:space="0" w:color="auto"/>
      </w:divBdr>
    </w:div>
    <w:div w:id="983121827">
      <w:bodyDiv w:val="1"/>
      <w:marLeft w:val="0"/>
      <w:marRight w:val="0"/>
      <w:marTop w:val="0"/>
      <w:marBottom w:val="0"/>
      <w:divBdr>
        <w:top w:val="none" w:sz="0" w:space="0" w:color="auto"/>
        <w:left w:val="none" w:sz="0" w:space="0" w:color="auto"/>
        <w:bottom w:val="none" w:sz="0" w:space="0" w:color="auto"/>
        <w:right w:val="none" w:sz="0" w:space="0" w:color="auto"/>
      </w:divBdr>
    </w:div>
    <w:div w:id="988828872">
      <w:bodyDiv w:val="1"/>
      <w:marLeft w:val="0"/>
      <w:marRight w:val="0"/>
      <w:marTop w:val="0"/>
      <w:marBottom w:val="0"/>
      <w:divBdr>
        <w:top w:val="none" w:sz="0" w:space="0" w:color="auto"/>
        <w:left w:val="none" w:sz="0" w:space="0" w:color="auto"/>
        <w:bottom w:val="none" w:sz="0" w:space="0" w:color="auto"/>
        <w:right w:val="none" w:sz="0" w:space="0" w:color="auto"/>
      </w:divBdr>
    </w:div>
    <w:div w:id="1064330724">
      <w:bodyDiv w:val="1"/>
      <w:marLeft w:val="0"/>
      <w:marRight w:val="0"/>
      <w:marTop w:val="0"/>
      <w:marBottom w:val="0"/>
      <w:divBdr>
        <w:top w:val="none" w:sz="0" w:space="0" w:color="auto"/>
        <w:left w:val="none" w:sz="0" w:space="0" w:color="auto"/>
        <w:bottom w:val="none" w:sz="0" w:space="0" w:color="auto"/>
        <w:right w:val="none" w:sz="0" w:space="0" w:color="auto"/>
      </w:divBdr>
    </w:div>
    <w:div w:id="1101024314">
      <w:bodyDiv w:val="1"/>
      <w:marLeft w:val="0"/>
      <w:marRight w:val="0"/>
      <w:marTop w:val="0"/>
      <w:marBottom w:val="0"/>
      <w:divBdr>
        <w:top w:val="none" w:sz="0" w:space="0" w:color="auto"/>
        <w:left w:val="none" w:sz="0" w:space="0" w:color="auto"/>
        <w:bottom w:val="none" w:sz="0" w:space="0" w:color="auto"/>
        <w:right w:val="none" w:sz="0" w:space="0" w:color="auto"/>
      </w:divBdr>
    </w:div>
    <w:div w:id="1232546669">
      <w:bodyDiv w:val="1"/>
      <w:marLeft w:val="0"/>
      <w:marRight w:val="0"/>
      <w:marTop w:val="0"/>
      <w:marBottom w:val="0"/>
      <w:divBdr>
        <w:top w:val="none" w:sz="0" w:space="0" w:color="auto"/>
        <w:left w:val="none" w:sz="0" w:space="0" w:color="auto"/>
        <w:bottom w:val="none" w:sz="0" w:space="0" w:color="auto"/>
        <w:right w:val="none" w:sz="0" w:space="0" w:color="auto"/>
      </w:divBdr>
    </w:div>
    <w:div w:id="1252815624">
      <w:bodyDiv w:val="1"/>
      <w:marLeft w:val="0"/>
      <w:marRight w:val="0"/>
      <w:marTop w:val="0"/>
      <w:marBottom w:val="0"/>
      <w:divBdr>
        <w:top w:val="none" w:sz="0" w:space="0" w:color="auto"/>
        <w:left w:val="none" w:sz="0" w:space="0" w:color="auto"/>
        <w:bottom w:val="none" w:sz="0" w:space="0" w:color="auto"/>
        <w:right w:val="none" w:sz="0" w:space="0" w:color="auto"/>
      </w:divBdr>
    </w:div>
    <w:div w:id="1312900947">
      <w:bodyDiv w:val="1"/>
      <w:marLeft w:val="0"/>
      <w:marRight w:val="0"/>
      <w:marTop w:val="0"/>
      <w:marBottom w:val="0"/>
      <w:divBdr>
        <w:top w:val="none" w:sz="0" w:space="0" w:color="auto"/>
        <w:left w:val="none" w:sz="0" w:space="0" w:color="auto"/>
        <w:bottom w:val="none" w:sz="0" w:space="0" w:color="auto"/>
        <w:right w:val="none" w:sz="0" w:space="0" w:color="auto"/>
      </w:divBdr>
    </w:div>
    <w:div w:id="1397632397">
      <w:bodyDiv w:val="1"/>
      <w:marLeft w:val="0"/>
      <w:marRight w:val="0"/>
      <w:marTop w:val="0"/>
      <w:marBottom w:val="0"/>
      <w:divBdr>
        <w:top w:val="none" w:sz="0" w:space="0" w:color="auto"/>
        <w:left w:val="none" w:sz="0" w:space="0" w:color="auto"/>
        <w:bottom w:val="none" w:sz="0" w:space="0" w:color="auto"/>
        <w:right w:val="none" w:sz="0" w:space="0" w:color="auto"/>
      </w:divBdr>
    </w:div>
    <w:div w:id="1402870422">
      <w:bodyDiv w:val="1"/>
      <w:marLeft w:val="0"/>
      <w:marRight w:val="0"/>
      <w:marTop w:val="0"/>
      <w:marBottom w:val="0"/>
      <w:divBdr>
        <w:top w:val="none" w:sz="0" w:space="0" w:color="auto"/>
        <w:left w:val="none" w:sz="0" w:space="0" w:color="auto"/>
        <w:bottom w:val="none" w:sz="0" w:space="0" w:color="auto"/>
        <w:right w:val="none" w:sz="0" w:space="0" w:color="auto"/>
      </w:divBdr>
    </w:div>
    <w:div w:id="1628507520">
      <w:bodyDiv w:val="1"/>
      <w:marLeft w:val="0"/>
      <w:marRight w:val="0"/>
      <w:marTop w:val="0"/>
      <w:marBottom w:val="0"/>
      <w:divBdr>
        <w:top w:val="none" w:sz="0" w:space="0" w:color="auto"/>
        <w:left w:val="none" w:sz="0" w:space="0" w:color="auto"/>
        <w:bottom w:val="none" w:sz="0" w:space="0" w:color="auto"/>
        <w:right w:val="none" w:sz="0" w:space="0" w:color="auto"/>
      </w:divBdr>
    </w:div>
    <w:div w:id="1691570591">
      <w:bodyDiv w:val="1"/>
      <w:marLeft w:val="0"/>
      <w:marRight w:val="0"/>
      <w:marTop w:val="0"/>
      <w:marBottom w:val="0"/>
      <w:divBdr>
        <w:top w:val="none" w:sz="0" w:space="0" w:color="auto"/>
        <w:left w:val="none" w:sz="0" w:space="0" w:color="auto"/>
        <w:bottom w:val="none" w:sz="0" w:space="0" w:color="auto"/>
        <w:right w:val="none" w:sz="0" w:space="0" w:color="auto"/>
      </w:divBdr>
    </w:div>
    <w:div w:id="1709598134">
      <w:bodyDiv w:val="1"/>
      <w:marLeft w:val="0"/>
      <w:marRight w:val="0"/>
      <w:marTop w:val="0"/>
      <w:marBottom w:val="0"/>
      <w:divBdr>
        <w:top w:val="none" w:sz="0" w:space="0" w:color="auto"/>
        <w:left w:val="none" w:sz="0" w:space="0" w:color="auto"/>
        <w:bottom w:val="none" w:sz="0" w:space="0" w:color="auto"/>
        <w:right w:val="none" w:sz="0" w:space="0" w:color="auto"/>
      </w:divBdr>
    </w:div>
    <w:div w:id="1722316935">
      <w:bodyDiv w:val="1"/>
      <w:marLeft w:val="0"/>
      <w:marRight w:val="0"/>
      <w:marTop w:val="0"/>
      <w:marBottom w:val="0"/>
      <w:divBdr>
        <w:top w:val="none" w:sz="0" w:space="0" w:color="auto"/>
        <w:left w:val="none" w:sz="0" w:space="0" w:color="auto"/>
        <w:bottom w:val="none" w:sz="0" w:space="0" w:color="auto"/>
        <w:right w:val="none" w:sz="0" w:space="0" w:color="auto"/>
      </w:divBdr>
    </w:div>
    <w:div w:id="1873033293">
      <w:bodyDiv w:val="1"/>
      <w:marLeft w:val="0"/>
      <w:marRight w:val="0"/>
      <w:marTop w:val="0"/>
      <w:marBottom w:val="0"/>
      <w:divBdr>
        <w:top w:val="none" w:sz="0" w:space="0" w:color="auto"/>
        <w:left w:val="none" w:sz="0" w:space="0" w:color="auto"/>
        <w:bottom w:val="none" w:sz="0" w:space="0" w:color="auto"/>
        <w:right w:val="none" w:sz="0" w:space="0" w:color="auto"/>
      </w:divBdr>
    </w:div>
    <w:div w:id="1883666465">
      <w:bodyDiv w:val="1"/>
      <w:marLeft w:val="0"/>
      <w:marRight w:val="0"/>
      <w:marTop w:val="0"/>
      <w:marBottom w:val="0"/>
      <w:divBdr>
        <w:top w:val="none" w:sz="0" w:space="0" w:color="auto"/>
        <w:left w:val="none" w:sz="0" w:space="0" w:color="auto"/>
        <w:bottom w:val="none" w:sz="0" w:space="0" w:color="auto"/>
        <w:right w:val="none" w:sz="0" w:space="0" w:color="auto"/>
      </w:divBdr>
    </w:div>
    <w:div w:id="1983340622">
      <w:bodyDiv w:val="1"/>
      <w:marLeft w:val="0"/>
      <w:marRight w:val="0"/>
      <w:marTop w:val="0"/>
      <w:marBottom w:val="0"/>
      <w:divBdr>
        <w:top w:val="none" w:sz="0" w:space="0" w:color="auto"/>
        <w:left w:val="none" w:sz="0" w:space="0" w:color="auto"/>
        <w:bottom w:val="none" w:sz="0" w:space="0" w:color="auto"/>
        <w:right w:val="none" w:sz="0" w:space="0" w:color="auto"/>
      </w:divBdr>
    </w:div>
    <w:div w:id="1984577125">
      <w:bodyDiv w:val="1"/>
      <w:marLeft w:val="0"/>
      <w:marRight w:val="0"/>
      <w:marTop w:val="0"/>
      <w:marBottom w:val="0"/>
      <w:divBdr>
        <w:top w:val="none" w:sz="0" w:space="0" w:color="auto"/>
        <w:left w:val="none" w:sz="0" w:space="0" w:color="auto"/>
        <w:bottom w:val="none" w:sz="0" w:space="0" w:color="auto"/>
        <w:right w:val="none" w:sz="0" w:space="0" w:color="auto"/>
      </w:divBdr>
    </w:div>
    <w:div w:id="2039623516">
      <w:bodyDiv w:val="1"/>
      <w:marLeft w:val="0"/>
      <w:marRight w:val="0"/>
      <w:marTop w:val="0"/>
      <w:marBottom w:val="0"/>
      <w:divBdr>
        <w:top w:val="none" w:sz="0" w:space="0" w:color="auto"/>
        <w:left w:val="none" w:sz="0" w:space="0" w:color="auto"/>
        <w:bottom w:val="none" w:sz="0" w:space="0" w:color="auto"/>
        <w:right w:val="none" w:sz="0" w:space="0" w:color="auto"/>
      </w:divBdr>
    </w:div>
    <w:div w:id="2042395158">
      <w:bodyDiv w:val="1"/>
      <w:marLeft w:val="0"/>
      <w:marRight w:val="0"/>
      <w:marTop w:val="0"/>
      <w:marBottom w:val="0"/>
      <w:divBdr>
        <w:top w:val="none" w:sz="0" w:space="0" w:color="auto"/>
        <w:left w:val="none" w:sz="0" w:space="0" w:color="auto"/>
        <w:bottom w:val="none" w:sz="0" w:space="0" w:color="auto"/>
        <w:right w:val="none" w:sz="0" w:space="0" w:color="auto"/>
      </w:divBdr>
    </w:div>
    <w:div w:id="2050494805">
      <w:bodyDiv w:val="1"/>
      <w:marLeft w:val="0"/>
      <w:marRight w:val="0"/>
      <w:marTop w:val="0"/>
      <w:marBottom w:val="0"/>
      <w:divBdr>
        <w:top w:val="none" w:sz="0" w:space="0" w:color="auto"/>
        <w:left w:val="none" w:sz="0" w:space="0" w:color="auto"/>
        <w:bottom w:val="none" w:sz="0" w:space="0" w:color="auto"/>
        <w:right w:val="none" w:sz="0" w:space="0" w:color="auto"/>
      </w:divBdr>
    </w:div>
    <w:div w:id="2062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110A-71F3-4CCD-B51D-466F0268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6</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赵海飞</cp:lastModifiedBy>
  <cp:revision>90</cp:revision>
  <dcterms:created xsi:type="dcterms:W3CDTF">2016-06-12T01:36:00Z</dcterms:created>
  <dcterms:modified xsi:type="dcterms:W3CDTF">2016-07-29T02:03:00Z</dcterms:modified>
</cp:coreProperties>
</file>