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温州市“百园万企”</w:t>
      </w:r>
      <w:r>
        <w:rPr>
          <w:rFonts w:ascii="Times New Roman" w:hAnsi="Times New Roman" w:eastAsia="方正小标宋简体"/>
          <w:sz w:val="44"/>
          <w:szCs w:val="44"/>
        </w:rPr>
        <w:t>小微企业园</w:t>
      </w:r>
      <w:r>
        <w:rPr>
          <w:rFonts w:hint="eastAsia" w:ascii="Times New Roman" w:hAnsi="Times New Roman" w:eastAsia="方正小标宋简体"/>
          <w:sz w:val="44"/>
          <w:szCs w:val="44"/>
        </w:rPr>
        <w:t>示范引领工程</w:t>
      </w:r>
    </w:p>
    <w:p>
      <w:pPr>
        <w:spacing w:line="64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实施意见</w:t>
      </w:r>
    </w:p>
    <w:p>
      <w:pPr>
        <w:ind w:firstLine="640"/>
        <w:rPr>
          <w:rFonts w:ascii="仿宋_GB2312" w:hAnsi="Times New Roman" w:eastAsia="仿宋_GB2312"/>
          <w:color w:val="FF000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仿宋_GB2312" w:eastAsia="仿宋_GB2312" w:cs="Times New Roman"/>
          <w:sz w:val="32"/>
          <w:szCs w:val="32"/>
        </w:rPr>
        <w:t>为贯彻落实全省小微企业园建设提升暨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“</w:t>
      </w:r>
      <w:r>
        <w:rPr>
          <w:rFonts w:ascii="Times New Roman" w:hAnsi="仿宋_GB2312" w:eastAsia="仿宋_GB2312" w:cs="Times New Roman"/>
          <w:sz w:val="32"/>
          <w:szCs w:val="32"/>
        </w:rPr>
        <w:t>低散乱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”</w:t>
      </w:r>
      <w:r>
        <w:rPr>
          <w:rFonts w:ascii="Times New Roman" w:hAnsi="仿宋_GB2312" w:eastAsia="仿宋_GB2312" w:cs="Times New Roman"/>
          <w:sz w:val="32"/>
          <w:szCs w:val="32"/>
        </w:rPr>
        <w:t>整治推进大会精神，</w:t>
      </w:r>
      <w:r>
        <w:rPr>
          <w:rFonts w:hint="eastAsia" w:ascii="Times New Roman" w:hAnsi="仿宋_GB2312" w:eastAsia="仿宋_GB2312" w:cs="Times New Roman"/>
          <w:sz w:val="32"/>
          <w:szCs w:val="32"/>
        </w:rPr>
        <w:t>加快推进小微企业园建设提质增效，</w:t>
      </w:r>
      <w:r>
        <w:rPr>
          <w:rFonts w:ascii="Times New Roman" w:hAnsi="仿宋_GB2312" w:eastAsia="仿宋_GB2312" w:cs="Times New Roman"/>
          <w:sz w:val="32"/>
          <w:szCs w:val="32"/>
        </w:rPr>
        <w:t>根据《浙江省委办公厅、浙江省人民政府办公厅关于加快小微企业园高质量发展的实施意见》（浙委办发〔</w:t>
      </w:r>
      <w:r>
        <w:rPr>
          <w:rFonts w:ascii="Times New Roman" w:hAnsi="Times New Roman" w:eastAsia="仿宋_GB2312" w:cs="Times New Roman"/>
          <w:sz w:val="32"/>
          <w:szCs w:val="32"/>
        </w:rPr>
        <w:t>2018</w:t>
      </w:r>
      <w:r>
        <w:rPr>
          <w:rFonts w:ascii="Times New Roman" w:hAnsi="仿宋_GB2312" w:eastAsia="仿宋_GB2312" w:cs="Times New Roman"/>
          <w:sz w:val="32"/>
          <w:szCs w:val="32"/>
        </w:rPr>
        <w:t>〕</w:t>
      </w:r>
      <w:r>
        <w:rPr>
          <w:rFonts w:ascii="Times New Roman" w:hAnsi="Times New Roman" w:eastAsia="仿宋_GB2312" w:cs="Times New Roman"/>
          <w:sz w:val="32"/>
          <w:szCs w:val="32"/>
        </w:rPr>
        <w:t>59</w:t>
      </w:r>
      <w:r>
        <w:rPr>
          <w:rFonts w:ascii="Times New Roman" w:hAnsi="仿宋_GB2312" w:eastAsia="仿宋_GB2312" w:cs="Times New Roman"/>
          <w:sz w:val="32"/>
          <w:szCs w:val="32"/>
        </w:rPr>
        <w:t>号）</w:t>
      </w:r>
      <w:r>
        <w:rPr>
          <w:rFonts w:hint="eastAsia" w:ascii="Times New Roman" w:hAnsi="仿宋_GB2312" w:eastAsia="仿宋_GB2312" w:cs="Times New Roman"/>
          <w:sz w:val="32"/>
          <w:szCs w:val="32"/>
        </w:rPr>
        <w:t>、《中共温州市委、温州市人民政府关于创建新时代“两个健康”先行区加快民营经济高质量发展的实施意见》（温委发</w:t>
      </w:r>
      <w:r>
        <w:rPr>
          <w:rFonts w:ascii="Times New Roman" w:hAnsi="仿宋_GB2312" w:eastAsia="仿宋_GB2312" w:cs="Times New Roman"/>
          <w:sz w:val="32"/>
          <w:szCs w:val="32"/>
        </w:rPr>
        <w:t>〔</w:t>
      </w:r>
      <w:r>
        <w:rPr>
          <w:rFonts w:ascii="Times New Roman" w:hAnsi="Times New Roman" w:eastAsia="仿宋_GB2312" w:cs="Times New Roman"/>
          <w:sz w:val="32"/>
          <w:szCs w:val="32"/>
        </w:rPr>
        <w:t>2018</w:t>
      </w:r>
      <w:r>
        <w:rPr>
          <w:rFonts w:ascii="Times New Roman" w:hAnsi="仿宋_GB2312" w:eastAsia="仿宋_GB2312" w:cs="Times New Roman"/>
          <w:sz w:val="32"/>
          <w:szCs w:val="32"/>
        </w:rPr>
        <w:t>〕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57</w:t>
      </w:r>
      <w:r>
        <w:rPr>
          <w:rFonts w:ascii="Times New Roman" w:hAnsi="仿宋_GB2312" w:eastAsia="仿宋_GB2312" w:cs="Times New Roman"/>
          <w:sz w:val="32"/>
          <w:szCs w:val="32"/>
        </w:rPr>
        <w:t>号</w:t>
      </w:r>
      <w:r>
        <w:rPr>
          <w:rFonts w:hint="eastAsia" w:ascii="Times New Roman" w:hAnsi="仿宋_GB2312" w:eastAsia="仿宋_GB2312" w:cs="Times New Roman"/>
          <w:sz w:val="32"/>
          <w:szCs w:val="32"/>
        </w:rPr>
        <w:t>）</w:t>
      </w:r>
      <w:r>
        <w:rPr>
          <w:rFonts w:ascii="Times New Roman" w:hAnsi="仿宋_GB2312" w:eastAsia="仿宋_GB2312" w:cs="Times New Roman"/>
          <w:sz w:val="32"/>
          <w:szCs w:val="32"/>
        </w:rPr>
        <w:t>要求，特制定</w:t>
      </w:r>
      <w:r>
        <w:rPr>
          <w:rFonts w:hint="eastAsia" w:ascii="Times New Roman" w:hAnsi="仿宋_GB2312" w:eastAsia="仿宋_GB2312" w:cs="Times New Roman"/>
          <w:sz w:val="32"/>
          <w:szCs w:val="32"/>
        </w:rPr>
        <w:t>如下实施意见</w:t>
      </w:r>
      <w:r>
        <w:rPr>
          <w:rFonts w:ascii="Times New Roman" w:hAnsi="仿宋_GB2312" w:eastAsia="仿宋_GB2312" w:cs="Times New Roman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1.指导思想。</w:t>
      </w:r>
      <w:r>
        <w:rPr>
          <w:rFonts w:ascii="Times New Roman" w:hAnsi="仿宋_GB2312" w:eastAsia="仿宋_GB2312" w:cs="Times New Roman"/>
          <w:sz w:val="32"/>
          <w:szCs w:val="32"/>
        </w:rPr>
        <w:t>坚持以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“</w:t>
      </w:r>
      <w:r>
        <w:rPr>
          <w:rFonts w:ascii="Times New Roman" w:hAnsi="仿宋_GB2312" w:eastAsia="仿宋_GB2312" w:cs="Times New Roman"/>
          <w:sz w:val="32"/>
          <w:szCs w:val="32"/>
        </w:rPr>
        <w:t>八八战略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”</w:t>
      </w:r>
      <w:r>
        <w:rPr>
          <w:rFonts w:ascii="Times New Roman" w:hAnsi="仿宋_GB2312" w:eastAsia="仿宋_GB2312" w:cs="Times New Roman"/>
          <w:sz w:val="32"/>
          <w:szCs w:val="32"/>
        </w:rPr>
        <w:t>为总纲，以</w:t>
      </w:r>
      <w:r>
        <w:rPr>
          <w:rFonts w:ascii="Times New Roman" w:hAnsi="Times New Roman" w:eastAsia="仿宋_GB2312" w:cs="Times New Roman"/>
          <w:sz w:val="32"/>
          <w:szCs w:val="32"/>
        </w:rPr>
        <w:t>创建新时代</w:t>
      </w:r>
      <w:r>
        <w:rPr>
          <w:rFonts w:hint="eastAsia" w:ascii="Times New Roman" w:hAnsi="仿宋_GB2312" w:eastAsia="仿宋_GB2312" w:cs="Times New Roman"/>
          <w:sz w:val="32"/>
          <w:szCs w:val="32"/>
        </w:rPr>
        <w:t>“两个健康”</w:t>
      </w:r>
      <w:r>
        <w:rPr>
          <w:rFonts w:ascii="Times New Roman" w:hAnsi="Times New Roman" w:eastAsia="仿宋_GB2312" w:cs="Times New Roman"/>
          <w:sz w:val="32"/>
          <w:szCs w:val="32"/>
        </w:rPr>
        <w:t>先行区为指引，</w:t>
      </w:r>
      <w:r>
        <w:rPr>
          <w:rFonts w:ascii="Times New Roman" w:hAnsi="仿宋_GB2312" w:eastAsia="仿宋_GB2312" w:cs="Times New Roman"/>
          <w:sz w:val="32"/>
          <w:szCs w:val="32"/>
        </w:rPr>
        <w:t>按照</w:t>
      </w:r>
      <w:r>
        <w:rPr>
          <w:rFonts w:ascii="Times New Roman" w:hAnsi="Times New Roman" w:eastAsia="仿宋_GB2312" w:cs="Times New Roman"/>
          <w:sz w:val="32"/>
          <w:szCs w:val="32"/>
        </w:rPr>
        <w:t>“主导化集聚、标准化产出、综合化配套、智慧化管理、物业化运营”的要求，坚持政府引导与市场运作联动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开发建设与整治提升并举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市场需求与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有效</w:t>
      </w:r>
      <w:r>
        <w:rPr>
          <w:rFonts w:ascii="Times New Roman" w:hAnsi="Times New Roman" w:eastAsia="仿宋_GB2312" w:cs="Times New Roman"/>
          <w:sz w:val="32"/>
          <w:szCs w:val="32"/>
        </w:rPr>
        <w:t>供给匹配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的原则，全</w:t>
      </w:r>
      <w:r>
        <w:rPr>
          <w:rFonts w:hint="eastAsia" w:ascii="Times New Roman" w:hAnsi="仿宋_GB2312" w:eastAsia="仿宋_GB2312" w:cs="Times New Roman"/>
          <w:sz w:val="32"/>
          <w:szCs w:val="32"/>
        </w:rPr>
        <w:t>面</w:t>
      </w:r>
      <w:r>
        <w:rPr>
          <w:rFonts w:ascii="Times New Roman" w:hAnsi="仿宋_GB2312" w:eastAsia="仿宋_GB2312" w:cs="Times New Roman"/>
          <w:sz w:val="32"/>
          <w:szCs w:val="32"/>
        </w:rPr>
        <w:t>实施</w:t>
      </w:r>
      <w:r>
        <w:rPr>
          <w:rFonts w:ascii="Times New Roman" w:hAnsi="Times New Roman" w:eastAsia="仿宋_GB2312" w:cs="Times New Roman"/>
          <w:sz w:val="32"/>
          <w:szCs w:val="32"/>
        </w:rPr>
        <w:t>“</w:t>
      </w:r>
      <w:r>
        <w:rPr>
          <w:rFonts w:ascii="Times New Roman" w:hAnsi="仿宋_GB2312" w:eastAsia="仿宋_GB2312" w:cs="Times New Roman"/>
          <w:sz w:val="32"/>
          <w:szCs w:val="32"/>
        </w:rPr>
        <w:t>百园万企</w:t>
      </w:r>
      <w:r>
        <w:rPr>
          <w:rFonts w:ascii="Times New Roman" w:hAnsi="Times New Roman" w:eastAsia="仿宋_GB2312" w:cs="Times New Roman"/>
          <w:sz w:val="32"/>
          <w:szCs w:val="32"/>
        </w:rPr>
        <w:t>”</w:t>
      </w:r>
      <w:r>
        <w:rPr>
          <w:rFonts w:ascii="Times New Roman" w:hAnsi="仿宋_GB2312" w:eastAsia="仿宋_GB2312" w:cs="Times New Roman"/>
          <w:sz w:val="32"/>
          <w:szCs w:val="32"/>
        </w:rPr>
        <w:t>小微</w:t>
      </w:r>
      <w:r>
        <w:rPr>
          <w:rFonts w:hint="eastAsia" w:ascii="Times New Roman" w:hAnsi="仿宋_GB2312" w:eastAsia="仿宋_GB2312" w:cs="Times New Roman"/>
          <w:sz w:val="32"/>
          <w:szCs w:val="32"/>
        </w:rPr>
        <w:t>企业</w:t>
      </w:r>
      <w:r>
        <w:rPr>
          <w:rFonts w:ascii="Times New Roman" w:hAnsi="仿宋_GB2312" w:eastAsia="仿宋_GB2312" w:cs="Times New Roman"/>
          <w:sz w:val="32"/>
          <w:szCs w:val="32"/>
        </w:rPr>
        <w:t>园示范引领工程，实现企业集聚、产业集群、要素集约、</w:t>
      </w:r>
      <w:r>
        <w:rPr>
          <w:rFonts w:hint="eastAsia" w:ascii="Times New Roman" w:hAnsi="仿宋_GB2312" w:eastAsia="仿宋_GB2312" w:cs="Times New Roman"/>
          <w:sz w:val="32"/>
          <w:szCs w:val="32"/>
        </w:rPr>
        <w:t>技术集成、</w:t>
      </w:r>
      <w:r>
        <w:rPr>
          <w:rFonts w:ascii="Times New Roman" w:hAnsi="仿宋_GB2312" w:eastAsia="仿宋_GB2312" w:cs="Times New Roman"/>
          <w:sz w:val="32"/>
          <w:szCs w:val="32"/>
        </w:rPr>
        <w:t>服务集中，</w:t>
      </w:r>
      <w:r>
        <w:rPr>
          <w:rFonts w:hint="eastAsia" w:ascii="Times New Roman" w:hAnsi="仿宋_GB2312" w:eastAsia="仿宋_GB2312" w:cs="Times New Roman"/>
          <w:sz w:val="32"/>
          <w:szCs w:val="32"/>
        </w:rPr>
        <w:t>为小微企业转型升级提供良好生态和重要载体，使温州成为小微企业高质量发展的全国示范。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2</w:t>
      </w:r>
      <w:r>
        <w:rPr>
          <w:rFonts w:ascii="Times New Roman" w:hAnsi="Times New Roman" w:eastAsia="楷体_GB2312" w:cs="Times New Roman"/>
          <w:sz w:val="32"/>
          <w:szCs w:val="32"/>
        </w:rPr>
        <w:t>.工作目标。</w:t>
      </w:r>
      <w:r>
        <w:rPr>
          <w:rFonts w:ascii="Times New Roman" w:hAnsi="Times New Roman" w:eastAsia="仿宋_GB2312" w:cs="Times New Roman"/>
          <w:sz w:val="32"/>
          <w:szCs w:val="32"/>
        </w:rPr>
        <w:t>通过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3</w:t>
      </w:r>
      <w:r>
        <w:rPr>
          <w:rFonts w:ascii="Times New Roman" w:hAnsi="Times New Roman" w:eastAsia="仿宋_GB2312" w:cs="Times New Roman"/>
          <w:sz w:val="32"/>
          <w:szCs w:val="32"/>
        </w:rPr>
        <w:t>年努力，全市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再规划</w:t>
      </w:r>
      <w:r>
        <w:rPr>
          <w:rFonts w:ascii="Times New Roman" w:hAnsi="Times New Roman" w:eastAsia="仿宋_GB2312" w:cs="Times New Roman"/>
          <w:sz w:val="32"/>
          <w:szCs w:val="32"/>
        </w:rPr>
        <w:t>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设</w:t>
      </w:r>
      <w:r>
        <w:rPr>
          <w:rFonts w:ascii="Times New Roman" w:hAnsi="Times New Roman" w:eastAsia="仿宋_GB2312" w:cs="Times New Roman"/>
          <w:sz w:val="32"/>
          <w:szCs w:val="32"/>
        </w:rPr>
        <w:t>小微企业园100个以上，落实建设用地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8000</w:t>
      </w:r>
      <w:r>
        <w:rPr>
          <w:rFonts w:ascii="Times New Roman" w:hAnsi="Times New Roman" w:eastAsia="仿宋_GB2312" w:cs="Times New Roman"/>
          <w:sz w:val="32"/>
          <w:szCs w:val="32"/>
        </w:rPr>
        <w:t>亩，建成生产及配套用房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1000</w:t>
      </w:r>
      <w:r>
        <w:rPr>
          <w:rFonts w:ascii="Times New Roman" w:hAnsi="Times New Roman" w:eastAsia="仿宋_GB2312" w:cs="Times New Roman"/>
          <w:sz w:val="32"/>
          <w:szCs w:val="32"/>
        </w:rPr>
        <w:t>万平方米以上，引导1万家小微企业入园集聚发展；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入</w:t>
      </w:r>
      <w:r>
        <w:rPr>
          <w:rFonts w:ascii="Times New Roman" w:hAnsi="仿宋_GB2312" w:eastAsia="仿宋_GB2312" w:cs="Times New Roman"/>
          <w:sz w:val="32"/>
          <w:szCs w:val="32"/>
        </w:rPr>
        <w:t>园</w:t>
      </w:r>
      <w:r>
        <w:rPr>
          <w:rFonts w:hint="eastAsia" w:ascii="Times New Roman" w:hAnsi="仿宋_GB2312" w:eastAsia="仿宋_GB2312" w:cs="Times New Roman"/>
          <w:sz w:val="32"/>
          <w:szCs w:val="32"/>
        </w:rPr>
        <w:t>企业发展质量得到明显提升，</w:t>
      </w:r>
      <w:r>
        <w:rPr>
          <w:rFonts w:ascii="Times New Roman" w:hAnsi="仿宋_GB2312" w:eastAsia="仿宋_GB2312" w:cs="Times New Roman"/>
          <w:sz w:val="32"/>
          <w:szCs w:val="32"/>
        </w:rPr>
        <w:t>亩均税收达</w:t>
      </w:r>
      <w:r>
        <w:rPr>
          <w:rFonts w:ascii="Times New Roman" w:hAnsi="Times New Roman" w:eastAsia="仿宋_GB2312" w:cs="Times New Roman"/>
          <w:sz w:val="32"/>
          <w:szCs w:val="32"/>
        </w:rPr>
        <w:t>20</w:t>
      </w:r>
      <w:r>
        <w:rPr>
          <w:rFonts w:ascii="Times New Roman" w:hAnsi="仿宋_GB2312" w:eastAsia="仿宋_GB2312" w:cs="Times New Roman"/>
          <w:sz w:val="32"/>
          <w:szCs w:val="32"/>
        </w:rPr>
        <w:t>万元以上</w:t>
      </w:r>
      <w:r>
        <w:rPr>
          <w:rFonts w:hint="eastAsia" w:ascii="Times New Roman" w:hAnsi="仿宋_GB2312" w:eastAsia="仿宋_GB2312" w:cs="Times New Roman"/>
          <w:sz w:val="32"/>
          <w:szCs w:val="32"/>
        </w:rPr>
        <w:t>，新增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“</w:t>
      </w:r>
      <w:r>
        <w:rPr>
          <w:rFonts w:ascii="Times New Roman" w:hAnsi="Times New Roman" w:eastAsia="仿宋_GB2312" w:cs="Times New Roman"/>
          <w:sz w:val="32"/>
          <w:szCs w:val="32"/>
        </w:rPr>
        <w:t>专精特新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”</w:t>
      </w:r>
      <w:r>
        <w:rPr>
          <w:rFonts w:ascii="Times New Roman" w:hAnsi="Times New Roman" w:eastAsia="仿宋_GB2312" w:cs="Times New Roman"/>
          <w:sz w:val="32"/>
          <w:szCs w:val="32"/>
        </w:rPr>
        <w:t>培育企业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1000</w:t>
      </w:r>
      <w:r>
        <w:rPr>
          <w:rFonts w:ascii="Times New Roman" w:hAnsi="Times New Roman" w:eastAsia="仿宋_GB2312" w:cs="Times New Roman"/>
          <w:sz w:val="32"/>
          <w:szCs w:val="32"/>
        </w:rPr>
        <w:t>家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、“</w:t>
      </w:r>
      <w:r>
        <w:rPr>
          <w:rFonts w:ascii="Times New Roman" w:hAnsi="Times New Roman" w:eastAsia="仿宋_GB2312" w:cs="Times New Roman"/>
          <w:sz w:val="32"/>
          <w:szCs w:val="32"/>
        </w:rPr>
        <w:t>小升规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”</w:t>
      </w:r>
      <w:r>
        <w:rPr>
          <w:rFonts w:ascii="Times New Roman" w:hAnsi="Times New Roman" w:eastAsia="仿宋_GB2312" w:cs="Times New Roman"/>
          <w:sz w:val="32"/>
          <w:szCs w:val="32"/>
        </w:rPr>
        <w:t>企业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1000</w:t>
      </w:r>
      <w:r>
        <w:rPr>
          <w:rFonts w:ascii="Times New Roman" w:hAnsi="Times New Roman" w:eastAsia="仿宋_GB2312" w:cs="Times New Roman"/>
          <w:sz w:val="32"/>
          <w:szCs w:val="32"/>
        </w:rPr>
        <w:t>家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、科技型中小企业1000家</w:t>
      </w:r>
      <w:r>
        <w:rPr>
          <w:rFonts w:ascii="Times New Roman" w:hAnsi="Times New Roman" w:eastAsia="仿宋_GB2312" w:cs="Times New Roman"/>
          <w:sz w:val="32"/>
          <w:szCs w:val="32"/>
        </w:rPr>
        <w:t>以上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；园区管理</w:t>
      </w:r>
      <w:r>
        <w:rPr>
          <w:rFonts w:ascii="Times New Roman" w:hAnsi="Times New Roman" w:eastAsia="仿宋_GB2312" w:cs="Times New Roman"/>
          <w:sz w:val="32"/>
          <w:szCs w:val="32"/>
        </w:rPr>
        <w:t>实现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“</w:t>
      </w:r>
      <w:r>
        <w:rPr>
          <w:rFonts w:hint="eastAsia" w:ascii="Times New Roman" w:hAnsi="仿宋_GB2312" w:eastAsia="仿宋_GB2312" w:cs="Times New Roman"/>
          <w:sz w:val="32"/>
          <w:szCs w:val="32"/>
        </w:rPr>
        <w:t>三个</w:t>
      </w:r>
      <w:r>
        <w:rPr>
          <w:rFonts w:ascii="Times New Roman" w:hAnsi="仿宋_GB2312" w:eastAsia="仿宋_GB2312" w:cs="Times New Roman"/>
          <w:sz w:val="32"/>
          <w:szCs w:val="32"/>
        </w:rPr>
        <w:t>全覆盖</w:t>
      </w:r>
      <w:r>
        <w:rPr>
          <w:rFonts w:hint="eastAsia" w:ascii="Times New Roman" w:hAnsi="仿宋_GB2312" w:eastAsia="仿宋_GB2312" w:cs="Times New Roman"/>
          <w:sz w:val="32"/>
          <w:szCs w:val="32"/>
        </w:rPr>
        <w:t>”：全市</w:t>
      </w:r>
      <w:r>
        <w:rPr>
          <w:rFonts w:ascii="Times New Roman" w:hAnsi="Times New Roman" w:eastAsia="仿宋_GB2312" w:cs="Times New Roman"/>
          <w:sz w:val="32"/>
          <w:szCs w:val="32"/>
        </w:rPr>
        <w:t>100</w:t>
      </w:r>
      <w:r>
        <w:rPr>
          <w:rFonts w:ascii="Times New Roman" w:hAnsi="仿宋_GB2312" w:eastAsia="仿宋_GB2312" w:cs="Times New Roman"/>
          <w:sz w:val="32"/>
          <w:szCs w:val="32"/>
        </w:rPr>
        <w:t>亩以上小微</w:t>
      </w:r>
      <w:r>
        <w:rPr>
          <w:rFonts w:hint="eastAsia" w:ascii="Times New Roman" w:hAnsi="仿宋_GB2312" w:eastAsia="仿宋_GB2312" w:cs="Times New Roman"/>
          <w:sz w:val="32"/>
          <w:szCs w:val="32"/>
        </w:rPr>
        <w:t>企业</w:t>
      </w:r>
      <w:r>
        <w:rPr>
          <w:rFonts w:ascii="Times New Roman" w:hAnsi="仿宋_GB2312" w:eastAsia="仿宋_GB2312" w:cs="Times New Roman"/>
          <w:sz w:val="32"/>
          <w:szCs w:val="32"/>
        </w:rPr>
        <w:t>园专业化运营</w:t>
      </w:r>
      <w:r>
        <w:rPr>
          <w:rFonts w:hint="eastAsia" w:ascii="Times New Roman" w:hAnsi="仿宋_GB2312" w:eastAsia="仿宋_GB2312" w:cs="Times New Roman"/>
          <w:sz w:val="32"/>
          <w:szCs w:val="32"/>
        </w:rPr>
        <w:t>、非公党建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</w:t>
      </w:r>
      <w:r>
        <w:rPr>
          <w:rFonts w:ascii="Times New Roman" w:hAnsi="仿宋_GB2312" w:eastAsia="仿宋_GB2312" w:cs="Times New Roman"/>
          <w:sz w:val="32"/>
          <w:szCs w:val="32"/>
        </w:rPr>
        <w:t>智慧化管理</w:t>
      </w:r>
      <w:r>
        <w:rPr>
          <w:rFonts w:hint="eastAsia" w:ascii="Times New Roman" w:hAnsi="仿宋_GB2312" w:eastAsia="仿宋_GB2312" w:cs="Times New Roman"/>
          <w:sz w:val="32"/>
          <w:szCs w:val="32"/>
        </w:rPr>
        <w:t>全覆盖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争创四星级小微企业园区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5</w:t>
      </w:r>
      <w:r>
        <w:rPr>
          <w:rFonts w:ascii="Times New Roman" w:hAnsi="Times New Roman" w:eastAsia="仿宋_GB2312" w:cs="Times New Roman"/>
          <w:sz w:val="32"/>
          <w:szCs w:val="32"/>
        </w:rPr>
        <w:t>个以上，五星级小微企业园1-2个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pStyle w:val="14"/>
        <w:widowControl w:val="0"/>
        <w:autoSpaceDN w:val="0"/>
        <w:snapToGrid/>
        <w:spacing w:line="600" w:lineRule="exact"/>
        <w:ind w:firstLine="640" w:firstLineChars="200"/>
        <w:rPr>
          <w:rFonts w:ascii="Times New Roman" w:hAnsi="Times New Roman"/>
        </w:rPr>
      </w:pPr>
      <w:r>
        <w:rPr>
          <w:rFonts w:hint="eastAsia" w:ascii="Times New Roman" w:hAnsi="Times New Roman" w:eastAsia="楷体_GB2312"/>
        </w:rPr>
        <w:t>3</w:t>
      </w:r>
      <w:r>
        <w:rPr>
          <w:rFonts w:ascii="Times New Roman" w:hAnsi="Times New Roman" w:eastAsia="楷体_GB2312"/>
        </w:rPr>
        <w:t>.优化规划布局。</w:t>
      </w:r>
      <w:r>
        <w:rPr>
          <w:rFonts w:hint="eastAsia" w:ascii="Times New Roman" w:hAnsi="仿宋_GB2312"/>
        </w:rPr>
        <w:t>各地要</w:t>
      </w:r>
      <w:r>
        <w:rPr>
          <w:rFonts w:ascii="Times New Roman" w:hAnsi="仿宋_GB2312"/>
        </w:rPr>
        <w:t>围绕块状经济和主导产业特点，统筹兼顾新兴产业培育和传统产业改造提升</w:t>
      </w:r>
      <w:r>
        <w:rPr>
          <w:rFonts w:hint="eastAsia" w:ascii="Times New Roman" w:hAnsi="仿宋_GB2312"/>
        </w:rPr>
        <w:t>，</w:t>
      </w:r>
      <w:r>
        <w:rPr>
          <w:rFonts w:ascii="Times New Roman" w:hAnsi="仿宋_GB2312"/>
        </w:rPr>
        <w:t>认真</w:t>
      </w:r>
      <w:r>
        <w:rPr>
          <w:rFonts w:hint="eastAsia" w:ascii="Times New Roman" w:hAnsi="仿宋_GB2312"/>
        </w:rPr>
        <w:t>谋划编制小微企业园建设规划，</w:t>
      </w:r>
      <w:r>
        <w:rPr>
          <w:rFonts w:ascii="Times New Roman" w:hAnsi="仿宋_GB2312"/>
        </w:rPr>
        <w:t>合理布局、适度超前</w:t>
      </w:r>
      <w:r>
        <w:rPr>
          <w:rFonts w:hint="eastAsia" w:ascii="Times New Roman" w:hAnsi="仿宋_GB2312"/>
        </w:rPr>
        <w:t>。</w:t>
      </w:r>
      <w:r>
        <w:rPr>
          <w:rFonts w:ascii="Times New Roman" w:hAnsi="仿宋_GB2312"/>
        </w:rPr>
        <w:t>提倡采用</w:t>
      </w:r>
      <w:r>
        <w:rPr>
          <w:rFonts w:ascii="Times New Roman" w:hAnsi="Times New Roman"/>
        </w:rPr>
        <w:t>“</w:t>
      </w:r>
      <w:r>
        <w:rPr>
          <w:rFonts w:ascii="Times New Roman" w:hAnsi="仿宋_GB2312"/>
        </w:rPr>
        <w:t>区中园</w:t>
      </w:r>
      <w:r>
        <w:rPr>
          <w:rFonts w:ascii="Times New Roman" w:hAnsi="Times New Roman"/>
        </w:rPr>
        <w:t>”“</w:t>
      </w:r>
      <w:r>
        <w:rPr>
          <w:rFonts w:ascii="Times New Roman" w:hAnsi="仿宋_GB2312"/>
        </w:rPr>
        <w:t>园中园</w:t>
      </w:r>
      <w:r>
        <w:rPr>
          <w:rFonts w:ascii="Times New Roman" w:hAnsi="Times New Roman"/>
        </w:rPr>
        <w:t>”</w:t>
      </w:r>
      <w:r>
        <w:rPr>
          <w:rFonts w:ascii="Times New Roman" w:hAnsi="仿宋_GB2312"/>
        </w:rPr>
        <w:t>模式，优先在产业集聚区、开发区、高新区、工业园区</w:t>
      </w:r>
      <w:r>
        <w:rPr>
          <w:rFonts w:hint="eastAsia" w:ascii="Times New Roman" w:hAnsi="仿宋_GB2312"/>
        </w:rPr>
        <w:t>内</w:t>
      </w:r>
      <w:r>
        <w:rPr>
          <w:rFonts w:ascii="Times New Roman" w:hAnsi="仿宋_GB2312"/>
        </w:rPr>
        <w:t>布局小微企业园</w:t>
      </w:r>
      <w:r>
        <w:rPr>
          <w:rFonts w:hint="eastAsia" w:ascii="Times New Roman" w:hAnsi="仿宋_GB2312"/>
        </w:rPr>
        <w:t>。鼓励老旧工业区（点）通过有机更新，完善配套，改造建设小微企业园</w:t>
      </w:r>
      <w:r>
        <w:rPr>
          <w:rFonts w:ascii="Times New Roman" w:hAnsi="仿宋_GB2312"/>
        </w:rPr>
        <w:t>。</w:t>
      </w:r>
      <w:r>
        <w:rPr>
          <w:rFonts w:hint="eastAsia" w:ascii="楷体" w:hAnsi="楷体" w:eastAsia="楷体"/>
        </w:rPr>
        <w:t>（责任单位：各县〈市、区〉政府、省级产业集聚区管委会，市发改委、市经信委、市规划局）</w:t>
      </w:r>
    </w:p>
    <w:p>
      <w:pPr>
        <w:pStyle w:val="14"/>
        <w:widowControl w:val="0"/>
        <w:autoSpaceDN w:val="0"/>
        <w:snapToGrid/>
        <w:spacing w:line="600" w:lineRule="exact"/>
        <w:ind w:firstLine="640" w:firstLineChars="200"/>
        <w:rPr>
          <w:rFonts w:ascii="Times New Roman" w:hAnsi="仿宋_GB2312"/>
          <w:u w:val="single"/>
        </w:rPr>
      </w:pPr>
      <w:r>
        <w:rPr>
          <w:rFonts w:hint="eastAsia" w:ascii="Times New Roman" w:hAnsi="Times New Roman" w:eastAsia="楷体_GB2312"/>
        </w:rPr>
        <w:t>4</w:t>
      </w:r>
      <w:r>
        <w:rPr>
          <w:rFonts w:ascii="Times New Roman" w:hAnsi="Times New Roman" w:eastAsia="楷体_GB2312"/>
        </w:rPr>
        <w:t>.创新建设模式。</w:t>
      </w:r>
      <w:r>
        <w:rPr>
          <w:rFonts w:ascii="Times New Roman" w:hAnsi="仿宋_GB2312"/>
        </w:rPr>
        <w:t>因地制宜</w:t>
      </w:r>
      <w:r>
        <w:rPr>
          <w:rFonts w:hint="eastAsia" w:ascii="Times New Roman" w:hAnsi="仿宋_GB2312"/>
        </w:rPr>
        <w:t>，鼓励</w:t>
      </w:r>
      <w:r>
        <w:rPr>
          <w:rFonts w:ascii="Times New Roman" w:hAnsi="仿宋_GB2312"/>
        </w:rPr>
        <w:t>多主体、多元化建设开发模式</w:t>
      </w:r>
      <w:r>
        <w:rPr>
          <w:rFonts w:hint="eastAsia" w:ascii="Times New Roman" w:hAnsi="仿宋_GB2312"/>
        </w:rPr>
        <w:t>并存</w:t>
      </w:r>
      <w:r>
        <w:rPr>
          <w:rFonts w:ascii="Times New Roman" w:hAnsi="仿宋_GB2312"/>
        </w:rPr>
        <w:t>，</w:t>
      </w:r>
      <w:r>
        <w:rPr>
          <w:rFonts w:hint="eastAsia" w:ascii="Times New Roman" w:hAnsi="仿宋_GB2312"/>
        </w:rPr>
        <w:t>在继续推行“政府主导、产权开发、企业联建、龙头企业开发”等模式的基础上，鼓励各地积极探索“政府主导、企业代建”、“片区企业组团开发”等模式建设小微企业园。</w:t>
      </w:r>
      <w:r>
        <w:rPr>
          <w:rFonts w:hint="eastAsia" w:ascii="仿宋" w:hAnsi="仿宋" w:eastAsia="仿宋"/>
          <w:szCs w:val="32"/>
        </w:rPr>
        <w:t>经县（市、区）政府（功能区管委会）同意，允许城镇低效用地范围内已投产5年以上且具有一定规模（一般在100亩以上）的国有建设用地，在符合</w:t>
      </w:r>
      <w:r>
        <w:rPr>
          <w:rFonts w:hint="eastAsia" w:ascii="Times New Roman" w:hAnsi="仿宋_GB2312"/>
        </w:rPr>
        <w:t>城乡规划、土地利用规划、环境功能区划、产业发展规划</w:t>
      </w:r>
      <w:r>
        <w:rPr>
          <w:rFonts w:hint="eastAsia" w:ascii="仿宋" w:hAnsi="仿宋" w:eastAsia="仿宋"/>
          <w:szCs w:val="32"/>
        </w:rPr>
        <w:t>的前提下，拟定成片开发小微园方案（</w:t>
      </w:r>
      <w:r>
        <w:rPr>
          <w:rFonts w:hint="eastAsia" w:ascii="仿宋_GB2312" w:hAnsi="微软雅黑"/>
          <w:szCs w:val="32"/>
        </w:rPr>
        <w:t>包括产业定位、投资强度、亩均产出、亩均税收</w:t>
      </w:r>
      <w:r>
        <w:rPr>
          <w:rFonts w:hint="eastAsia" w:ascii="仿宋" w:hAnsi="仿宋" w:eastAsia="仿宋"/>
          <w:szCs w:val="32"/>
        </w:rPr>
        <w:t>），按市场评估价补缴土地出让金差价，开发建设小微企业园。项目允许按层或按幢作为最小分割单元，参照产权开发模式进行分割，且只能分割到实施主体或其成员名下（或分割转让到股东名下），有关产权按相应分割单元办理。</w:t>
      </w:r>
      <w:r>
        <w:rPr>
          <w:rFonts w:hint="eastAsia" w:ascii="仿宋_GB2312" w:hAnsi="微软雅黑"/>
          <w:szCs w:val="32"/>
        </w:rPr>
        <w:t>涉及多宗土地使用权终止期不一致的，可按出让终止期最长一宗土地重新确定出让年限。</w:t>
      </w:r>
      <w:r>
        <w:rPr>
          <w:rFonts w:hint="eastAsia" w:ascii="楷体" w:hAnsi="楷体" w:eastAsia="楷体"/>
        </w:rPr>
        <w:t>（责任单位：各县〈市、区〉政府、省级产业集聚区管委会，市经信委、市国土资源局、市规划局）</w:t>
      </w:r>
    </w:p>
    <w:p>
      <w:pPr>
        <w:pStyle w:val="14"/>
        <w:widowControl w:val="0"/>
        <w:autoSpaceDN w:val="0"/>
        <w:snapToGrid/>
        <w:spacing w:line="600" w:lineRule="exact"/>
        <w:ind w:firstLine="640" w:firstLineChars="200"/>
        <w:rPr>
          <w:rFonts w:ascii="Times New Roman" w:hAnsi="Times New Roman" w:eastAsia="楷体"/>
        </w:rPr>
      </w:pPr>
      <w:r>
        <w:rPr>
          <w:rFonts w:hint="eastAsia" w:ascii="Times New Roman" w:hAnsi="Times New Roman" w:eastAsia="楷体_GB2312"/>
        </w:rPr>
        <w:t>5</w:t>
      </w:r>
      <w:r>
        <w:rPr>
          <w:rFonts w:ascii="Times New Roman" w:hAnsi="Times New Roman" w:eastAsia="楷体_GB2312"/>
        </w:rPr>
        <w:t>.</w:t>
      </w:r>
      <w:r>
        <w:rPr>
          <w:rFonts w:hint="eastAsia" w:ascii="Times New Roman" w:hAnsi="Times New Roman" w:eastAsia="楷体_GB2312"/>
        </w:rPr>
        <w:t>提升</w:t>
      </w:r>
      <w:r>
        <w:rPr>
          <w:rFonts w:ascii="Times New Roman" w:hAnsi="Times New Roman" w:eastAsia="楷体_GB2312"/>
        </w:rPr>
        <w:t>功能</w:t>
      </w:r>
      <w:r>
        <w:rPr>
          <w:rFonts w:hint="eastAsia" w:ascii="Times New Roman" w:hAnsi="Times New Roman" w:eastAsia="楷体_GB2312"/>
        </w:rPr>
        <w:t>形态</w:t>
      </w:r>
      <w:r>
        <w:rPr>
          <w:rFonts w:ascii="Times New Roman" w:hAnsi="Times New Roman" w:eastAsia="楷体_GB2312"/>
        </w:rPr>
        <w:t>。</w:t>
      </w:r>
      <w:r>
        <w:rPr>
          <w:rFonts w:ascii="Times New Roman" w:hAnsi="仿宋_GB2312"/>
        </w:rPr>
        <w:t>小微企业园建筑功能设计应符合园区主导产业发展需求，建筑风格要尽可能体现</w:t>
      </w:r>
      <w:r>
        <w:rPr>
          <w:rFonts w:hint="eastAsia" w:ascii="Times New Roman" w:hAnsi="仿宋_GB2312"/>
        </w:rPr>
        <w:t>时</w:t>
      </w:r>
      <w:r>
        <w:rPr>
          <w:rFonts w:ascii="Times New Roman" w:hAnsi="仿宋_GB2312"/>
        </w:rPr>
        <w:t>代</w:t>
      </w:r>
      <w:r>
        <w:rPr>
          <w:rFonts w:hint="eastAsia" w:ascii="Times New Roman" w:hAnsi="仿宋_GB2312"/>
        </w:rPr>
        <w:t>特点</w:t>
      </w:r>
      <w:r>
        <w:rPr>
          <w:rFonts w:ascii="Times New Roman" w:hAnsi="仿宋_GB2312"/>
        </w:rPr>
        <w:t>、文化内涵和生态要求，彰显温州文化、展示温州特色</w:t>
      </w:r>
      <w:r>
        <w:rPr>
          <w:rFonts w:hint="eastAsia" w:ascii="Times New Roman" w:hAnsi="仿宋_GB2312"/>
        </w:rPr>
        <w:t>，</w:t>
      </w:r>
      <w:r>
        <w:rPr>
          <w:rFonts w:hint="eastAsia" w:ascii="Times New Roman" w:hAnsi="Times New Roman"/>
        </w:rPr>
        <w:t>打造小微企业园3.0版</w:t>
      </w:r>
      <w:r>
        <w:rPr>
          <w:rFonts w:hint="eastAsia" w:ascii="Times New Roman" w:hAnsi="仿宋_GB2312"/>
        </w:rPr>
        <w:t>。鼓励开发利用小微企业园</w:t>
      </w:r>
      <w:r>
        <w:rPr>
          <w:rFonts w:ascii="Times New Roman" w:hAnsi="仿宋_GB2312"/>
        </w:rPr>
        <w:t>地下空间</w:t>
      </w:r>
      <w:r>
        <w:rPr>
          <w:rFonts w:hint="eastAsia" w:ascii="Times New Roman" w:hAnsi="仿宋_GB2312"/>
        </w:rPr>
        <w:t>，</w:t>
      </w:r>
      <w:r>
        <w:rPr>
          <w:rFonts w:hint="eastAsia" w:ascii="仿宋" w:hAnsi="仿宋" w:eastAsia="仿宋"/>
          <w:szCs w:val="32"/>
        </w:rPr>
        <w:t>新增小微企业园地下空间不办理产权登记的，可不收出让金。</w:t>
      </w:r>
      <w:r>
        <w:rPr>
          <w:rFonts w:hint="eastAsia" w:ascii="Times New Roman" w:hAnsi="仿宋_GB2312"/>
        </w:rPr>
        <w:t>允许建有地下室的小微企业园厂房销售价格根据成本核算，通过“一事一议”方式予以适当提高</w:t>
      </w:r>
      <w:r>
        <w:rPr>
          <w:rFonts w:ascii="Times New Roman" w:hAnsi="仿宋_GB2312"/>
        </w:rPr>
        <w:t>。要根据规划要求和产业特点，科学合理设定小微企业园容积率，</w:t>
      </w:r>
      <w:r>
        <w:rPr>
          <w:rFonts w:hint="eastAsia" w:ascii="Times New Roman" w:hAnsi="仿宋_GB2312"/>
        </w:rPr>
        <w:t>除有特殊需求外，小微企业园容积率一般不得低于2.0</w:t>
      </w:r>
      <w:r>
        <w:rPr>
          <w:rFonts w:ascii="Times New Roman" w:hAnsi="仿宋_GB2312"/>
        </w:rPr>
        <w:t>。</w:t>
      </w:r>
      <w:r>
        <w:rPr>
          <w:rFonts w:hint="eastAsia" w:ascii="楷体" w:hAnsi="楷体" w:eastAsia="楷体"/>
        </w:rPr>
        <w:t>（责任单位：各县〈市、区〉政府、省级产业集聚区管委会，市规划局、市国土资源局、市经信委）</w:t>
      </w:r>
    </w:p>
    <w:p>
      <w:pPr>
        <w:pStyle w:val="14"/>
        <w:widowControl w:val="0"/>
        <w:autoSpaceDN w:val="0"/>
        <w:snapToGrid/>
        <w:spacing w:line="600" w:lineRule="exact"/>
        <w:ind w:firstLine="640" w:firstLineChars="200"/>
        <w:rPr>
          <w:rFonts w:ascii="Times New Roman" w:hAnsi="Times New Roman"/>
        </w:rPr>
      </w:pPr>
      <w:r>
        <w:rPr>
          <w:rFonts w:hint="eastAsia" w:ascii="Times New Roman" w:hAnsi="Times New Roman" w:eastAsia="楷体_GB2312"/>
        </w:rPr>
        <w:t>6</w:t>
      </w:r>
      <w:r>
        <w:rPr>
          <w:rFonts w:ascii="Times New Roman" w:hAnsi="Times New Roman" w:eastAsia="楷体_GB2312"/>
        </w:rPr>
        <w:t>.完善</w:t>
      </w:r>
      <w:r>
        <w:rPr>
          <w:rFonts w:hint="eastAsia" w:ascii="Times New Roman" w:hAnsi="Times New Roman" w:eastAsia="楷体_GB2312"/>
        </w:rPr>
        <w:t>配套化</w:t>
      </w:r>
      <w:r>
        <w:rPr>
          <w:rFonts w:ascii="Times New Roman" w:hAnsi="Times New Roman" w:eastAsia="楷体_GB2312"/>
        </w:rPr>
        <w:t>设施。</w:t>
      </w:r>
      <w:r>
        <w:rPr>
          <w:rFonts w:hint="eastAsia" w:ascii="Times New Roman" w:hAnsi="仿宋_GB2312"/>
        </w:rPr>
        <w:t>新建小微企业园要集中配套一定比例的职工宿舍、食堂、文娱等生活服务设施，</w:t>
      </w:r>
      <w:r>
        <w:rPr>
          <w:rFonts w:ascii="Times New Roman" w:hAnsi="仿宋_GB2312"/>
        </w:rPr>
        <w:t>引进研发设计、</w:t>
      </w:r>
      <w:r>
        <w:rPr>
          <w:rFonts w:hint="eastAsia" w:ascii="Times New Roman" w:hAnsi="仿宋_GB2312"/>
        </w:rPr>
        <w:t>仓储物流、</w:t>
      </w:r>
      <w:r>
        <w:rPr>
          <w:rFonts w:ascii="Times New Roman" w:hAnsi="仿宋_GB2312"/>
        </w:rPr>
        <w:t>检验检测、财务代理、人才培训、融资担保、知识产权等</w:t>
      </w:r>
      <w:r>
        <w:rPr>
          <w:rFonts w:hint="eastAsia" w:ascii="Times New Roman" w:hAnsi="仿宋_GB2312"/>
        </w:rPr>
        <w:t>生产性</w:t>
      </w:r>
      <w:r>
        <w:rPr>
          <w:rFonts w:ascii="Times New Roman" w:hAnsi="仿宋_GB2312"/>
        </w:rPr>
        <w:t>服务</w:t>
      </w:r>
      <w:r>
        <w:rPr>
          <w:rFonts w:hint="eastAsia" w:ascii="Times New Roman" w:hAnsi="仿宋_GB2312"/>
        </w:rPr>
        <w:t>机构，原则上非生产性用房建筑面积占总建筑面积的10%-25%。</w:t>
      </w:r>
      <w:r>
        <w:rPr>
          <w:rFonts w:ascii="Times New Roman" w:hAnsi="仿宋_GB2312"/>
        </w:rPr>
        <w:t>公共服务配套</w:t>
      </w:r>
      <w:r>
        <w:rPr>
          <w:rFonts w:hint="eastAsia" w:ascii="Times New Roman" w:hAnsi="仿宋_GB2312"/>
        </w:rPr>
        <w:t>规划不到位</w:t>
      </w:r>
      <w:r>
        <w:rPr>
          <w:rFonts w:ascii="Times New Roman" w:hAnsi="仿宋_GB2312"/>
        </w:rPr>
        <w:t>的在建小微企业园</w:t>
      </w:r>
      <w:r>
        <w:rPr>
          <w:rFonts w:hint="eastAsia" w:ascii="Times New Roman" w:hAnsi="仿宋_GB2312"/>
        </w:rPr>
        <w:t>，</w:t>
      </w:r>
      <w:r>
        <w:rPr>
          <w:rFonts w:ascii="Times New Roman" w:hAnsi="仿宋_GB2312"/>
        </w:rPr>
        <w:t>要</w:t>
      </w:r>
      <w:r>
        <w:rPr>
          <w:rFonts w:hint="eastAsia" w:ascii="Times New Roman" w:hAnsi="仿宋_GB2312"/>
        </w:rPr>
        <w:t>根据要求</w:t>
      </w:r>
      <w:r>
        <w:rPr>
          <w:rFonts w:ascii="Times New Roman" w:hAnsi="仿宋_GB2312"/>
        </w:rPr>
        <w:t>调整</w:t>
      </w:r>
      <w:r>
        <w:rPr>
          <w:rFonts w:hint="eastAsia" w:ascii="Times New Roman" w:hAnsi="仿宋_GB2312"/>
        </w:rPr>
        <w:t>规划建设方案</w:t>
      </w:r>
      <w:r>
        <w:rPr>
          <w:rFonts w:ascii="Times New Roman" w:hAnsi="仿宋_GB2312"/>
        </w:rPr>
        <w:t>。已竣工</w:t>
      </w:r>
      <w:r>
        <w:rPr>
          <w:rFonts w:hint="eastAsia" w:ascii="Times New Roman" w:hAnsi="仿宋_GB2312"/>
        </w:rPr>
        <w:t>投产</w:t>
      </w:r>
      <w:r>
        <w:rPr>
          <w:rFonts w:ascii="Times New Roman" w:hAnsi="Times New Roman"/>
        </w:rPr>
        <w:t>100</w:t>
      </w:r>
      <w:r>
        <w:rPr>
          <w:rFonts w:ascii="Times New Roman" w:hAnsi="仿宋_GB2312"/>
        </w:rPr>
        <w:t>亩以上</w:t>
      </w:r>
      <w:r>
        <w:rPr>
          <w:rFonts w:hint="eastAsia" w:ascii="Times New Roman" w:hAnsi="仿宋_GB2312"/>
        </w:rPr>
        <w:t>无公配设施的</w:t>
      </w:r>
      <w:r>
        <w:rPr>
          <w:rFonts w:ascii="Times New Roman" w:hAnsi="仿宋_GB2312"/>
        </w:rPr>
        <w:t>小微企业园</w:t>
      </w:r>
      <w:r>
        <w:rPr>
          <w:rFonts w:hint="eastAsia" w:ascii="Times New Roman" w:hAnsi="仿宋_GB2312"/>
        </w:rPr>
        <w:t>，要加大改造提升力度，</w:t>
      </w:r>
      <w:r>
        <w:rPr>
          <w:rFonts w:ascii="Times New Roman" w:hAnsi="仿宋_GB2312"/>
        </w:rPr>
        <w:t>增</w:t>
      </w:r>
      <w:r>
        <w:rPr>
          <w:rFonts w:hint="eastAsia" w:ascii="Times New Roman" w:hAnsi="仿宋_GB2312"/>
        </w:rPr>
        <w:t>加必备的</w:t>
      </w:r>
      <w:r>
        <w:rPr>
          <w:rFonts w:ascii="Times New Roman" w:hAnsi="仿宋_GB2312"/>
        </w:rPr>
        <w:t>公配</w:t>
      </w:r>
      <w:r>
        <w:rPr>
          <w:rFonts w:hint="eastAsia" w:ascii="Times New Roman" w:hAnsi="仿宋_GB2312"/>
        </w:rPr>
        <w:t>设施</w:t>
      </w:r>
      <w:r>
        <w:rPr>
          <w:rFonts w:ascii="Times New Roman" w:hAnsi="仿宋_GB2312"/>
        </w:rPr>
        <w:t>。园区周边</w:t>
      </w:r>
      <w:r>
        <w:rPr>
          <w:rFonts w:hint="eastAsia" w:ascii="Times New Roman" w:hAnsi="仿宋_GB2312"/>
        </w:rPr>
        <w:t>要</w:t>
      </w:r>
      <w:r>
        <w:rPr>
          <w:rFonts w:ascii="Times New Roman" w:hAnsi="仿宋_GB2312"/>
        </w:rPr>
        <w:t>规划建设教育、卫生医疗、休闲娱乐等公共大配套。</w:t>
      </w:r>
      <w:r>
        <w:rPr>
          <w:rFonts w:hint="eastAsia" w:ascii="楷体" w:hAnsi="楷体" w:eastAsia="楷体"/>
        </w:rPr>
        <w:t>（责任单位：各县〈市、区〉政府、省级产业集聚区管委会，市规划局）</w:t>
      </w:r>
    </w:p>
    <w:p>
      <w:pPr>
        <w:pStyle w:val="14"/>
        <w:widowControl w:val="0"/>
        <w:autoSpaceDN w:val="0"/>
        <w:snapToGrid/>
        <w:spacing w:line="600" w:lineRule="exact"/>
        <w:ind w:firstLine="640" w:firstLineChars="200"/>
        <w:rPr>
          <w:rFonts w:ascii="Times New Roman" w:hAnsi="Times New Roman"/>
        </w:rPr>
      </w:pPr>
      <w:r>
        <w:rPr>
          <w:rFonts w:hint="eastAsia" w:ascii="Times New Roman" w:hAnsi="Times New Roman" w:eastAsia="楷体_GB2312"/>
        </w:rPr>
        <w:t>7.推行专业化</w:t>
      </w:r>
      <w:r>
        <w:rPr>
          <w:rFonts w:ascii="Times New Roman" w:hAnsi="Times New Roman" w:eastAsia="楷体_GB2312"/>
        </w:rPr>
        <w:t>管理。</w:t>
      </w:r>
      <w:r>
        <w:rPr>
          <w:rFonts w:ascii="Times New Roman" w:hAnsi="仿宋_GB2312"/>
        </w:rPr>
        <w:t>推行小微园区专业化运营管理</w:t>
      </w:r>
      <w:r>
        <w:rPr>
          <w:rFonts w:hint="eastAsia" w:ascii="Times New Roman" w:hAnsi="仿宋_GB2312"/>
        </w:rPr>
        <w:t>，全市</w:t>
      </w:r>
      <w:r>
        <w:rPr>
          <w:rFonts w:ascii="Times New Roman" w:hAnsi="Times New Roman"/>
        </w:rPr>
        <w:t>100</w:t>
      </w:r>
      <w:r>
        <w:rPr>
          <w:rFonts w:ascii="Times New Roman" w:hAnsi="仿宋_GB2312"/>
        </w:rPr>
        <w:t>亩以上的小微园都应建立或引入</w:t>
      </w:r>
      <w:r>
        <w:rPr>
          <w:rFonts w:hint="eastAsia" w:ascii="Times New Roman" w:hAnsi="仿宋_GB2312"/>
        </w:rPr>
        <w:t>物业管理等</w:t>
      </w:r>
      <w:r>
        <w:rPr>
          <w:rFonts w:ascii="Times New Roman" w:hAnsi="仿宋_GB2312"/>
        </w:rPr>
        <w:t>专业化运营机构，建立规范化的管理运行机制</w:t>
      </w:r>
      <w:r>
        <w:rPr>
          <w:rFonts w:hint="eastAsia" w:ascii="Times New Roman" w:hAnsi="仿宋_GB2312"/>
        </w:rPr>
        <w:t>，实现专业化运营</w:t>
      </w:r>
      <w:r>
        <w:rPr>
          <w:rFonts w:ascii="Times New Roman" w:hAnsi="仿宋_GB2312"/>
        </w:rPr>
        <w:t>管理全覆盖。</w:t>
      </w:r>
      <w:r>
        <w:rPr>
          <w:rFonts w:hint="eastAsia" w:ascii="Times New Roman" w:hAnsi="仿宋_GB2312"/>
        </w:rPr>
        <w:t>加大专业化运营机构培育力度，三年培育专业化运营机构10家以上。支持在市外开发建设小微园的企业回温设立运营管理总部。</w:t>
      </w:r>
      <w:r>
        <w:rPr>
          <w:rFonts w:hint="eastAsia" w:ascii="楷体" w:hAnsi="楷体" w:eastAsia="楷体"/>
        </w:rPr>
        <w:t>（责任单位：各县〈市、区〉政府、省级产业集聚区管委会，市住建委、市经信委）</w:t>
      </w:r>
    </w:p>
    <w:p>
      <w:pPr>
        <w:pStyle w:val="14"/>
        <w:widowControl w:val="0"/>
        <w:autoSpaceDN w:val="0"/>
        <w:snapToGrid/>
        <w:spacing w:line="600" w:lineRule="exact"/>
        <w:ind w:firstLine="640" w:firstLineChars="200"/>
        <w:rPr>
          <w:rFonts w:ascii="楷体" w:hAnsi="楷体" w:eastAsia="楷体"/>
        </w:rPr>
      </w:pPr>
      <w:r>
        <w:rPr>
          <w:rFonts w:hint="eastAsia" w:ascii="Times New Roman" w:hAnsi="Times New Roman" w:eastAsia="楷体_GB2312"/>
        </w:rPr>
        <w:t>8</w:t>
      </w:r>
      <w:r>
        <w:rPr>
          <w:rFonts w:ascii="Times New Roman" w:hAnsi="Times New Roman" w:eastAsia="楷体_GB2312"/>
        </w:rPr>
        <w:t>.</w:t>
      </w:r>
      <w:r>
        <w:rPr>
          <w:rFonts w:hint="eastAsia" w:ascii="Times New Roman" w:hAnsi="Times New Roman" w:eastAsia="楷体_GB2312"/>
        </w:rPr>
        <w:t>推进数字化建设。</w:t>
      </w:r>
      <w:r>
        <w:rPr>
          <w:rFonts w:hint="eastAsia" w:ascii="Times New Roman" w:hAnsi="仿宋_GB2312"/>
        </w:rPr>
        <w:t>加快推进园区光纤、4G、窄带物联网等智慧园区基础网络建设；鼓励有条件的园区，打造集物流人流、消防安防、环保节能、企业综合评价、供应链金融等功能为一体的智慧管理服务平台；推动企业应用ERP、SCM、PLM、MES等信息化技术，提升园区企业的数字化水平。水、电、气等市政公用部门要开放数据端口，支持物联网在线采集，实现园区及企业大数据共享。</w:t>
      </w:r>
      <w:r>
        <w:rPr>
          <w:rFonts w:hint="eastAsia" w:ascii="楷体" w:hAnsi="楷体" w:eastAsia="楷体"/>
        </w:rPr>
        <w:t>（责任单位：各县〈市、区〉政府、省级产业集聚区管委会，市经信委）</w:t>
      </w:r>
    </w:p>
    <w:p>
      <w:pPr>
        <w:pStyle w:val="14"/>
        <w:widowControl w:val="0"/>
        <w:autoSpaceDN w:val="0"/>
        <w:snapToGrid/>
        <w:spacing w:line="600" w:lineRule="exact"/>
        <w:ind w:firstLine="640" w:firstLineChars="200"/>
        <w:rPr>
          <w:rFonts w:ascii="Times New Roman" w:hAnsi="仿宋_GB2312"/>
          <w:u w:val="single"/>
        </w:rPr>
      </w:pPr>
      <w:r>
        <w:rPr>
          <w:rFonts w:hint="eastAsia" w:ascii="Times New Roman" w:hAnsi="Times New Roman" w:eastAsia="楷体_GB2312"/>
        </w:rPr>
        <w:t>9</w:t>
      </w:r>
      <w:r>
        <w:rPr>
          <w:rFonts w:ascii="Times New Roman" w:hAnsi="Times New Roman" w:eastAsia="楷体_GB2312"/>
        </w:rPr>
        <w:t>.严格入园</w:t>
      </w:r>
      <w:r>
        <w:rPr>
          <w:rFonts w:hint="eastAsia" w:ascii="Times New Roman" w:hAnsi="Times New Roman" w:eastAsia="楷体_GB2312"/>
        </w:rPr>
        <w:t>“五度”</w:t>
      </w:r>
      <w:r>
        <w:rPr>
          <w:rFonts w:ascii="Times New Roman" w:hAnsi="Times New Roman" w:eastAsia="楷体_GB2312"/>
        </w:rPr>
        <w:t>标准。</w:t>
      </w:r>
      <w:r>
        <w:rPr>
          <w:rFonts w:hint="eastAsia" w:ascii="Times New Roman" w:hAnsi="仿宋_GB2312"/>
        </w:rPr>
        <w:t>各地要</w:t>
      </w:r>
      <w:r>
        <w:rPr>
          <w:rFonts w:ascii="Times New Roman" w:hAnsi="仿宋_GB2312"/>
        </w:rPr>
        <w:t>围绕</w:t>
      </w:r>
      <w:r>
        <w:rPr>
          <w:rFonts w:hint="eastAsia" w:ascii="Times New Roman" w:hAnsi="仿宋_GB2312"/>
        </w:rPr>
        <w:t>“科技高度、投资强度、税收贡献度、两化融合度、员工文化程度”</w:t>
      </w:r>
      <w:r>
        <w:rPr>
          <w:rFonts w:ascii="Times New Roman" w:hAnsi="仿宋_GB2312"/>
        </w:rPr>
        <w:t>等</w:t>
      </w:r>
      <w:r>
        <w:rPr>
          <w:rFonts w:hint="eastAsia" w:ascii="Times New Roman" w:hAnsi="仿宋_GB2312"/>
        </w:rPr>
        <w:t>要求，</w:t>
      </w:r>
      <w:r>
        <w:rPr>
          <w:rFonts w:ascii="Times New Roman" w:hAnsi="仿宋_GB2312"/>
        </w:rPr>
        <w:t>优先引导</w:t>
      </w:r>
      <w:r>
        <w:rPr>
          <w:rFonts w:hint="eastAsia" w:ascii="Times New Roman" w:hAnsi="仿宋_GB2312"/>
        </w:rPr>
        <w:t>科技型、成长型、特色型、环保型等</w:t>
      </w:r>
      <w:r>
        <w:rPr>
          <w:rFonts w:ascii="Times New Roman" w:hAnsi="仿宋_GB2312"/>
        </w:rPr>
        <w:t>小微企业入园</w:t>
      </w:r>
      <w:r>
        <w:rPr>
          <w:rFonts w:hint="eastAsia" w:ascii="Times New Roman" w:hAnsi="仿宋_GB2312"/>
        </w:rPr>
        <w:t>，园区主导产业生产性用房建筑面积必须达到70%以上</w:t>
      </w:r>
      <w:r>
        <w:rPr>
          <w:rFonts w:ascii="Times New Roman" w:hAnsi="仿宋_GB2312"/>
        </w:rPr>
        <w:t>。实施企业入园合同管理，</w:t>
      </w:r>
      <w:r>
        <w:rPr>
          <w:rFonts w:hint="eastAsia" w:ascii="Times New Roman" w:hAnsi="仿宋_GB2312"/>
        </w:rPr>
        <w:t>由小微企业园属地乡镇</w:t>
      </w:r>
      <w:r>
        <w:rPr>
          <w:rFonts w:hint="eastAsia" w:ascii="仿宋_GB2312" w:hAnsi="仿宋_GB2312"/>
        </w:rPr>
        <w:t>（</w:t>
      </w:r>
      <w:r>
        <w:rPr>
          <w:rFonts w:hint="eastAsia" w:ascii="Times New Roman" w:hAnsi="仿宋_GB2312"/>
        </w:rPr>
        <w:t>街道</w:t>
      </w:r>
      <w:r>
        <w:rPr>
          <w:rFonts w:hint="eastAsia" w:ascii="仿宋_GB2312" w:hAnsi="仿宋_GB2312"/>
        </w:rPr>
        <w:t>）</w:t>
      </w:r>
      <w:r>
        <w:rPr>
          <w:rFonts w:ascii="Times New Roman" w:hAnsi="仿宋_GB2312"/>
        </w:rPr>
        <w:t>、开发建设单位、入园企业三方共同签订入园合</w:t>
      </w:r>
      <w:r>
        <w:rPr>
          <w:rFonts w:hint="eastAsia" w:ascii="Times New Roman" w:hAnsi="仿宋_GB2312"/>
        </w:rPr>
        <w:t>同</w:t>
      </w:r>
      <w:r>
        <w:rPr>
          <w:rFonts w:ascii="Times New Roman" w:hAnsi="仿宋_GB2312"/>
        </w:rPr>
        <w:t>，明确入园达产要求，实行履约管理。</w:t>
      </w:r>
      <w:r>
        <w:rPr>
          <w:rFonts w:hint="eastAsia" w:ascii="楷体" w:hAnsi="楷体" w:eastAsia="楷体"/>
        </w:rPr>
        <w:t>（责任单位：各县〈市、区〉政府、省级产业集聚区管委会，市经信委、市科技局、市国土资源局、市环保局、市税务局）</w:t>
      </w:r>
    </w:p>
    <w:p>
      <w:pPr>
        <w:pStyle w:val="14"/>
        <w:widowControl w:val="0"/>
        <w:autoSpaceDN w:val="0"/>
        <w:snapToGrid/>
        <w:spacing w:line="600" w:lineRule="exact"/>
        <w:ind w:firstLine="640" w:firstLineChars="200"/>
        <w:rPr>
          <w:rFonts w:ascii="Times New Roman" w:hAnsi="仿宋_GB2312"/>
          <w:u w:val="single"/>
        </w:rPr>
      </w:pPr>
      <w:r>
        <w:rPr>
          <w:rFonts w:hint="eastAsia" w:ascii="Times New Roman" w:hAnsi="仿宋_GB2312"/>
        </w:rPr>
        <w:t>10.</w:t>
      </w:r>
      <w:r>
        <w:rPr>
          <w:rFonts w:hint="eastAsia" w:ascii="Times New Roman" w:hAnsi="Times New Roman" w:eastAsia="楷体_GB2312"/>
        </w:rPr>
        <w:t>规范销售准入管理。</w:t>
      </w:r>
      <w:r>
        <w:rPr>
          <w:rFonts w:hint="eastAsia" w:ascii="仿宋_GB2312" w:hAnsi="Times New Roman"/>
        </w:rPr>
        <w:t>各地</w:t>
      </w:r>
      <w:r>
        <w:rPr>
          <w:rFonts w:hint="eastAsia" w:ascii="Times New Roman" w:hAnsi="Times New Roman"/>
        </w:rPr>
        <w:t>严格落实“四限”（限房价、限地价、限面积、限自持）政策，取消产权开发小微企业园“公开摇号”销售规定。要前移准入关，根据“五度”要求制定入园管理评分体系，对报名拟入园企业进行资格审查和评分，择优入园。对亩均税收达到30万以上、纳税总额在200万以上的优质企业购置厂房限制面积放宽至2万</w:t>
      </w:r>
      <w:r>
        <w:rPr>
          <w:rFonts w:hint="eastAsia" w:ascii="宋体" w:hAnsi="宋体" w:eastAsia="宋体" w:cs="宋体"/>
        </w:rPr>
        <w:t>㎡</w:t>
      </w:r>
      <w:r>
        <w:rPr>
          <w:rFonts w:ascii="Times New Roman" w:hAnsi="仿宋_GB2312"/>
        </w:rPr>
        <w:t>。</w:t>
      </w:r>
      <w:r>
        <w:rPr>
          <w:rFonts w:hint="eastAsia" w:ascii="Times New Roman" w:hAnsi="Times New Roman"/>
        </w:rPr>
        <w:t>要严格小微企业园价格监督管理，严厉打击违规销售、“阴阳合同”、哄抬价格、逃漏税等违法犯罪行为。</w:t>
      </w:r>
      <w:r>
        <w:rPr>
          <w:rFonts w:hint="eastAsia" w:ascii="楷体" w:hAnsi="楷体" w:eastAsia="楷体"/>
        </w:rPr>
        <w:t>（责任单位：各县〈市、区〉政府、省级产业集聚区管委会，市发改委〈物价局〉、市经信委、市科技局、市公安局、市国土资源局、市住建委、市环保局、市税务局）</w:t>
      </w:r>
    </w:p>
    <w:p>
      <w:pPr>
        <w:pStyle w:val="14"/>
        <w:widowControl w:val="0"/>
        <w:autoSpaceDN w:val="0"/>
        <w:snapToGrid/>
        <w:spacing w:line="600" w:lineRule="exact"/>
        <w:ind w:firstLine="640" w:firstLineChars="200"/>
        <w:rPr>
          <w:rFonts w:ascii="Times New Roman" w:hAnsi="Times New Roman"/>
        </w:rPr>
      </w:pPr>
      <w:r>
        <w:rPr>
          <w:rFonts w:hint="eastAsia" w:ascii="Times New Roman" w:hAnsi="Times New Roman" w:eastAsia="楷体_GB2312"/>
        </w:rPr>
        <w:t>11</w:t>
      </w:r>
      <w:r>
        <w:rPr>
          <w:rFonts w:ascii="Times New Roman" w:hAnsi="Times New Roman" w:eastAsia="楷体_GB2312"/>
        </w:rPr>
        <w:t>.</w:t>
      </w:r>
      <w:r>
        <w:rPr>
          <w:rFonts w:hint="eastAsia" w:ascii="Times New Roman" w:hAnsi="Times New Roman" w:eastAsia="楷体_GB2312"/>
        </w:rPr>
        <w:t>支持企业发展壮大</w:t>
      </w:r>
      <w:r>
        <w:rPr>
          <w:rFonts w:ascii="Times New Roman" w:hAnsi="Times New Roman" w:eastAsia="楷体_GB2312"/>
        </w:rPr>
        <w:t>。</w:t>
      </w:r>
      <w:r>
        <w:rPr>
          <w:rFonts w:ascii="Times New Roman" w:hAnsi="仿宋_GB2312"/>
        </w:rPr>
        <w:t>大力实施入园企业培育提质行动，引导入园企业</w:t>
      </w:r>
      <w:r>
        <w:rPr>
          <w:rFonts w:ascii="Times New Roman" w:hAnsi="Times New Roman"/>
        </w:rPr>
        <w:t>“</w:t>
      </w:r>
      <w:r>
        <w:rPr>
          <w:rFonts w:ascii="Times New Roman" w:hAnsi="仿宋_GB2312"/>
        </w:rPr>
        <w:t>小升规、规改股、股上市</w:t>
      </w:r>
      <w:r>
        <w:rPr>
          <w:rFonts w:ascii="Times New Roman" w:hAnsi="Times New Roman"/>
        </w:rPr>
        <w:t>”</w:t>
      </w:r>
      <w:r>
        <w:rPr>
          <w:rFonts w:ascii="Times New Roman" w:hAnsi="仿宋_GB2312"/>
        </w:rPr>
        <w:t>，培育一批</w:t>
      </w:r>
      <w:r>
        <w:rPr>
          <w:rFonts w:hint="eastAsia" w:ascii="Times New Roman" w:hAnsi="Times New Roman"/>
        </w:rPr>
        <w:t>“专精特新”和隐形冠军</w:t>
      </w:r>
      <w:r>
        <w:rPr>
          <w:rFonts w:ascii="Times New Roman" w:hAnsi="仿宋_GB2312"/>
        </w:rPr>
        <w:t>企业</w:t>
      </w:r>
      <w:r>
        <w:rPr>
          <w:rFonts w:hint="eastAsia" w:ascii="Times New Roman" w:hAnsi="仿宋_GB2312"/>
        </w:rPr>
        <w:t>。加大金融和财政支持力度，</w:t>
      </w:r>
      <w:r>
        <w:rPr>
          <w:rFonts w:ascii="Times New Roman" w:hAnsi="仿宋_GB2312"/>
        </w:rPr>
        <w:t>鼓励入园企业加</w:t>
      </w:r>
      <w:r>
        <w:rPr>
          <w:rFonts w:hint="eastAsia" w:ascii="Times New Roman" w:hAnsi="仿宋_GB2312"/>
        </w:rPr>
        <w:t>强</w:t>
      </w:r>
      <w:r>
        <w:rPr>
          <w:rFonts w:ascii="Times New Roman" w:hAnsi="仿宋_GB2312"/>
        </w:rPr>
        <w:t>技改，</w:t>
      </w:r>
      <w:r>
        <w:rPr>
          <w:rFonts w:hint="eastAsia" w:ascii="Times New Roman" w:hAnsi="仿宋_GB2312"/>
        </w:rPr>
        <w:t>推广</w:t>
      </w:r>
      <w:r>
        <w:rPr>
          <w:rFonts w:ascii="Times New Roman" w:hAnsi="仿宋_GB2312"/>
        </w:rPr>
        <w:t>应用先进工艺技术和装备，</w:t>
      </w:r>
      <w:r>
        <w:rPr>
          <w:rFonts w:hint="eastAsia" w:ascii="Times New Roman" w:hAnsi="仿宋_GB2312"/>
        </w:rPr>
        <w:t>开展“机联网”“厂联网”建设，提高智能制造水平。加快中小企业公共服务平台向小微企业园延伸，</w:t>
      </w:r>
      <w:r>
        <w:rPr>
          <w:rFonts w:ascii="Times New Roman" w:hAnsi="仿宋_GB2312"/>
        </w:rPr>
        <w:t>实现小微企业园</w:t>
      </w:r>
      <w:r>
        <w:rPr>
          <w:rFonts w:hint="eastAsia" w:ascii="Times New Roman" w:hAnsi="仿宋_GB2312"/>
        </w:rPr>
        <w:t>服务</w:t>
      </w:r>
      <w:r>
        <w:rPr>
          <w:rFonts w:ascii="Times New Roman" w:hAnsi="仿宋_GB2312"/>
        </w:rPr>
        <w:t>全覆盖</w:t>
      </w:r>
      <w:r>
        <w:rPr>
          <w:rFonts w:hint="eastAsia" w:ascii="Times New Roman" w:hAnsi="仿宋_GB2312"/>
        </w:rPr>
        <w:t>。</w:t>
      </w:r>
      <w:r>
        <w:rPr>
          <w:rFonts w:hint="eastAsia" w:ascii="楷体" w:hAnsi="楷体" w:eastAsia="楷体"/>
        </w:rPr>
        <w:t>（责任单位：各县〈市、区〉政府、省级产业集聚区管委会，市经信委、市科技局、市金融办）</w:t>
      </w:r>
    </w:p>
    <w:p>
      <w:pPr>
        <w:pStyle w:val="14"/>
        <w:widowControl w:val="0"/>
        <w:autoSpaceDN w:val="0"/>
        <w:snapToGrid/>
        <w:spacing w:line="600" w:lineRule="exact"/>
        <w:ind w:firstLine="640" w:firstLineChars="200"/>
        <w:rPr>
          <w:rFonts w:ascii="Times New Roman" w:hAnsi="Times New Roman"/>
        </w:rPr>
      </w:pPr>
      <w:r>
        <w:rPr>
          <w:rFonts w:hint="eastAsia" w:ascii="Times New Roman" w:hAnsi="Times New Roman" w:eastAsia="楷体_GB2312"/>
        </w:rPr>
        <w:t>12</w:t>
      </w:r>
      <w:r>
        <w:rPr>
          <w:rFonts w:ascii="Times New Roman" w:hAnsi="Times New Roman" w:eastAsia="楷体_GB2312"/>
        </w:rPr>
        <w:t>.</w:t>
      </w:r>
      <w:r>
        <w:rPr>
          <w:rFonts w:hint="eastAsia" w:ascii="Times New Roman" w:hAnsi="Times New Roman" w:eastAsia="楷体_GB2312"/>
        </w:rPr>
        <w:t>实施“亩均论英雄”</w:t>
      </w:r>
      <w:r>
        <w:rPr>
          <w:rFonts w:ascii="Times New Roman" w:hAnsi="Times New Roman" w:eastAsia="楷体_GB2312"/>
        </w:rPr>
        <w:t>。</w:t>
      </w:r>
      <w:r>
        <w:rPr>
          <w:rFonts w:ascii="Times New Roman" w:hAnsi="仿宋_GB2312"/>
        </w:rPr>
        <w:t>建立入园企业</w:t>
      </w:r>
      <w:r>
        <w:rPr>
          <w:rFonts w:hint="eastAsia" w:ascii="Times New Roman" w:hAnsi="仿宋_GB2312"/>
        </w:rPr>
        <w:t>综合</w:t>
      </w:r>
      <w:r>
        <w:rPr>
          <w:rFonts w:ascii="Times New Roman" w:hAnsi="仿宋_GB2312"/>
        </w:rPr>
        <w:t>评价机制，以入园企业上一年度亩均销售产值、亩均税收、单位能耗销售产值等指标对入园企业实施评价，</w:t>
      </w:r>
      <w:r>
        <w:rPr>
          <w:rFonts w:hint="eastAsia" w:ascii="Times New Roman" w:hAnsi="仿宋_GB2312"/>
        </w:rPr>
        <w:t>落实</w:t>
      </w:r>
      <w:r>
        <w:rPr>
          <w:rFonts w:ascii="Times New Roman" w:hAnsi="仿宋_GB2312"/>
        </w:rPr>
        <w:t>要素供给差别化政策，倒逼入园企业更新设备、创新产品、节能减排和安全生产。</w:t>
      </w:r>
      <w:r>
        <w:rPr>
          <w:rFonts w:hint="eastAsia" w:ascii="仿宋_GB2312" w:hAnsi="宋体"/>
          <w:szCs w:val="30"/>
        </w:rPr>
        <w:t>开展小微企业园绩效评价和星级评定，评定结果与扶持政策挂钩。</w:t>
      </w:r>
      <w:r>
        <w:rPr>
          <w:rFonts w:hint="eastAsia" w:ascii="楷体" w:hAnsi="楷体" w:eastAsia="楷体"/>
        </w:rPr>
        <w:t>（责任单位：各县〈市、区〉政府、省级产业集聚区管委会，市经信委、市国土资源局、市环保局、市统计局、市税务局）</w:t>
      </w:r>
    </w:p>
    <w:p>
      <w:pPr>
        <w:pStyle w:val="14"/>
        <w:widowControl w:val="0"/>
        <w:autoSpaceDN w:val="0"/>
        <w:snapToGrid/>
        <w:spacing w:line="600" w:lineRule="exact"/>
        <w:ind w:firstLine="640" w:firstLineChars="200"/>
        <w:rPr>
          <w:rFonts w:ascii="Times New Roman" w:hAnsi="Times New Roman"/>
        </w:rPr>
      </w:pPr>
      <w:r>
        <w:rPr>
          <w:rFonts w:ascii="Times New Roman" w:hAnsi="Times New Roman" w:eastAsia="楷体_GB2312"/>
        </w:rPr>
        <w:t>1</w:t>
      </w:r>
      <w:r>
        <w:rPr>
          <w:rFonts w:hint="eastAsia" w:ascii="Times New Roman" w:hAnsi="Times New Roman" w:eastAsia="楷体_GB2312"/>
        </w:rPr>
        <w:t>3</w:t>
      </w:r>
      <w:r>
        <w:rPr>
          <w:rFonts w:ascii="Times New Roman" w:hAnsi="Times New Roman" w:eastAsia="楷体_GB2312"/>
        </w:rPr>
        <w:t>.建立</w:t>
      </w:r>
      <w:r>
        <w:rPr>
          <w:rFonts w:hint="eastAsia" w:ascii="Times New Roman" w:hAnsi="Times New Roman" w:eastAsia="楷体_GB2312"/>
        </w:rPr>
        <w:t>退出</w:t>
      </w:r>
      <w:r>
        <w:rPr>
          <w:rFonts w:ascii="Times New Roman" w:hAnsi="Times New Roman" w:eastAsia="楷体_GB2312"/>
        </w:rPr>
        <w:t>机制。</w:t>
      </w:r>
      <w:r>
        <w:rPr>
          <w:rFonts w:hint="eastAsia" w:ascii="Times New Roman" w:hAnsi="仿宋_GB2312"/>
        </w:rPr>
        <w:t>入园</w:t>
      </w:r>
      <w:r>
        <w:rPr>
          <w:rFonts w:ascii="Times New Roman" w:hAnsi="仿宋_GB2312"/>
        </w:rPr>
        <w:t>企业取得小微企业园厂房产权或租赁使用权后，未经批准不得转让、转租。</w:t>
      </w:r>
      <w:r>
        <w:rPr>
          <w:rFonts w:hint="eastAsia" w:ascii="仿宋" w:hAnsi="仿宋" w:eastAsia="仿宋"/>
          <w:szCs w:val="32"/>
        </w:rPr>
        <w:t>对确因经营不善或其他原因需要转让的，按不高于市场评估价由属地政府进行回购，属地政府放弃回购的，须经属地政府同意后方可转让。</w:t>
      </w:r>
      <w:r>
        <w:rPr>
          <w:rFonts w:hint="eastAsia" w:ascii="Times New Roman" w:hAnsi="仿宋_GB2312"/>
        </w:rPr>
        <w:t>各地要定期</w:t>
      </w:r>
      <w:r>
        <w:rPr>
          <w:rFonts w:ascii="Times New Roman" w:hAnsi="仿宋_GB2312"/>
        </w:rPr>
        <w:t>组织入园企业大清查，清退不合规入园企业，处罚违规</w:t>
      </w:r>
      <w:r>
        <w:rPr>
          <w:rFonts w:hint="eastAsia" w:ascii="Times New Roman" w:hAnsi="仿宋_GB2312"/>
        </w:rPr>
        <w:t>运营</w:t>
      </w:r>
      <w:r>
        <w:rPr>
          <w:rFonts w:ascii="Times New Roman" w:hAnsi="仿宋_GB2312"/>
        </w:rPr>
        <w:t>单位</w:t>
      </w:r>
      <w:r>
        <w:rPr>
          <w:rFonts w:hint="eastAsia" w:ascii="Times New Roman" w:hAnsi="仿宋_GB2312"/>
        </w:rPr>
        <w:t>和</w:t>
      </w:r>
      <w:r>
        <w:rPr>
          <w:rFonts w:ascii="Times New Roman" w:hAnsi="仿宋_GB2312"/>
        </w:rPr>
        <w:t>入园企业，杜绝</w:t>
      </w:r>
      <w:r>
        <w:rPr>
          <w:rFonts w:ascii="Times New Roman" w:hAnsi="Times New Roman"/>
        </w:rPr>
        <w:t>“</w:t>
      </w:r>
      <w:r>
        <w:rPr>
          <w:rFonts w:ascii="Times New Roman" w:hAnsi="仿宋_GB2312"/>
        </w:rPr>
        <w:t>四无</w:t>
      </w:r>
      <w:r>
        <w:rPr>
          <w:rFonts w:ascii="Times New Roman" w:hAnsi="Times New Roman"/>
        </w:rPr>
        <w:t>”</w:t>
      </w:r>
      <w:r>
        <w:rPr>
          <w:rFonts w:ascii="Times New Roman" w:hAnsi="仿宋_GB2312"/>
        </w:rPr>
        <w:t>企业入园，避免造成低端平移和二次</w:t>
      </w:r>
      <w:r>
        <w:rPr>
          <w:rFonts w:ascii="Times New Roman" w:hAnsi="Times New Roman"/>
        </w:rPr>
        <w:t>“</w:t>
      </w:r>
      <w:r>
        <w:rPr>
          <w:rFonts w:ascii="Times New Roman" w:hAnsi="仿宋_GB2312"/>
        </w:rPr>
        <w:t>低散乱</w:t>
      </w:r>
      <w:r>
        <w:rPr>
          <w:rFonts w:ascii="Times New Roman" w:hAnsi="Times New Roman"/>
        </w:rPr>
        <w:t>”</w:t>
      </w:r>
      <w:r>
        <w:rPr>
          <w:rFonts w:ascii="Times New Roman" w:hAnsi="仿宋_GB2312"/>
        </w:rPr>
        <w:t>集聚。</w:t>
      </w:r>
      <w:r>
        <w:rPr>
          <w:rFonts w:hint="eastAsia" w:ascii="楷体" w:hAnsi="楷体" w:eastAsia="楷体"/>
        </w:rPr>
        <w:t>（责任单位：各县〈市、区〉政府、省级产业集聚区管委会，市经信委、市国土资源局、市环保局、市公安消防局）</w:t>
      </w:r>
    </w:p>
    <w:p>
      <w:pPr>
        <w:pStyle w:val="14"/>
        <w:widowControl w:val="0"/>
        <w:autoSpaceDN w:val="0"/>
        <w:snapToGrid/>
        <w:spacing w:line="600" w:lineRule="exact"/>
        <w:ind w:firstLine="640" w:firstLineChars="200"/>
        <w:rPr>
          <w:rFonts w:ascii="Times New Roman" w:hAnsi="Times New Roman"/>
        </w:rPr>
      </w:pPr>
      <w:r>
        <w:rPr>
          <w:rFonts w:hint="eastAsia" w:ascii="Times New Roman" w:hAnsi="Times New Roman" w:eastAsia="楷体_GB2312"/>
        </w:rPr>
        <w:t>14</w:t>
      </w:r>
      <w:r>
        <w:rPr>
          <w:rFonts w:ascii="Times New Roman" w:hAnsi="Times New Roman" w:eastAsia="楷体_GB2312"/>
        </w:rPr>
        <w:t>.加强用地保障。</w:t>
      </w:r>
      <w:r>
        <w:rPr>
          <w:rFonts w:ascii="Times New Roman" w:hAnsi="仿宋_GB2312"/>
        </w:rPr>
        <w:t>各地政府要落实主体责任，把小微企业园建设用地纳入年度供地计划</w:t>
      </w:r>
      <w:r>
        <w:rPr>
          <w:rFonts w:hint="eastAsia" w:ascii="Times New Roman" w:hAnsi="仿宋_GB2312"/>
        </w:rPr>
        <w:t>，予以重点保障</w:t>
      </w:r>
      <w:r>
        <w:rPr>
          <w:rFonts w:ascii="Times New Roman" w:hAnsi="仿宋_GB2312"/>
        </w:rPr>
        <w:t>。小微企业园建设项目原则上一次性供地，</w:t>
      </w:r>
      <w:r>
        <w:rPr>
          <w:rFonts w:hint="eastAsia" w:ascii="Times New Roman" w:hAnsi="仿宋_GB2312"/>
        </w:rPr>
        <w:t>并</w:t>
      </w:r>
      <w:r>
        <w:rPr>
          <w:rFonts w:ascii="Times New Roman" w:hAnsi="仿宋_GB2312"/>
        </w:rPr>
        <w:t>在土地出让公告中予以明确建设工期一般不超过</w:t>
      </w:r>
      <w:r>
        <w:rPr>
          <w:rFonts w:ascii="Times New Roman" w:hAnsi="Times New Roman"/>
        </w:rPr>
        <w:t>2</w:t>
      </w:r>
      <w:r>
        <w:rPr>
          <w:rFonts w:ascii="Times New Roman" w:hAnsi="仿宋_GB2312"/>
        </w:rPr>
        <w:t>年。</w:t>
      </w:r>
      <w:r>
        <w:rPr>
          <w:rFonts w:hint="eastAsia" w:ascii="Times New Roman" w:hAnsi="仿宋_GB2312"/>
        </w:rPr>
        <w:t>加快推进</w:t>
      </w:r>
      <w:r>
        <w:rPr>
          <w:rFonts w:ascii="Times New Roman" w:hAnsi="仿宋_GB2312"/>
        </w:rPr>
        <w:t>存量工业用地盘活和低效用地再开发工作，</w:t>
      </w:r>
      <w:r>
        <w:rPr>
          <w:rFonts w:hint="eastAsia" w:ascii="Times New Roman" w:hAnsi="仿宋_GB2312"/>
        </w:rPr>
        <w:t>组织开展</w:t>
      </w:r>
      <w:r>
        <w:rPr>
          <w:rFonts w:ascii="Times New Roman" w:hAnsi="Times New Roman"/>
        </w:rPr>
        <w:t>“</w:t>
      </w:r>
      <w:r>
        <w:rPr>
          <w:rFonts w:ascii="Times New Roman" w:hAnsi="仿宋_GB2312"/>
        </w:rPr>
        <w:t>供而未用</w:t>
      </w:r>
      <w:r>
        <w:rPr>
          <w:rFonts w:ascii="Times New Roman" w:hAnsi="Times New Roman"/>
        </w:rPr>
        <w:t>”</w:t>
      </w:r>
      <w:r>
        <w:rPr>
          <w:rFonts w:ascii="Times New Roman" w:hAnsi="仿宋_GB2312"/>
        </w:rPr>
        <w:t>土地清</w:t>
      </w:r>
      <w:r>
        <w:rPr>
          <w:rFonts w:hint="eastAsia" w:ascii="Times New Roman" w:hAnsi="仿宋_GB2312"/>
        </w:rPr>
        <w:t>零行动</w:t>
      </w:r>
      <w:r>
        <w:rPr>
          <w:rFonts w:ascii="Times New Roman" w:hAnsi="仿宋_GB2312"/>
        </w:rPr>
        <w:t>。</w:t>
      </w:r>
      <w:r>
        <w:rPr>
          <w:rFonts w:hint="eastAsia" w:ascii="Times New Roman" w:hAnsi="仿宋_GB2312"/>
        </w:rPr>
        <w:t>允许村二产返回地</w:t>
      </w:r>
      <w:r>
        <w:rPr>
          <w:rFonts w:ascii="Times New Roman" w:hAnsi="仿宋_GB2312"/>
        </w:rPr>
        <w:t>以土地使用权作价出资或入股方式开发小微企业园。</w:t>
      </w:r>
      <w:r>
        <w:rPr>
          <w:rFonts w:hint="eastAsia" w:ascii="楷体" w:hAnsi="楷体" w:eastAsia="楷体"/>
        </w:rPr>
        <w:t>（责任单位：各县〈市、区〉政府、省级产业集聚区管委会，市国土资源局）</w:t>
      </w:r>
    </w:p>
    <w:p>
      <w:pPr>
        <w:pStyle w:val="14"/>
        <w:widowControl w:val="0"/>
        <w:autoSpaceDN w:val="0"/>
        <w:snapToGrid/>
        <w:spacing w:line="600" w:lineRule="exact"/>
        <w:ind w:firstLine="640" w:firstLineChars="200"/>
        <w:rPr>
          <w:rFonts w:ascii="Times New Roman" w:hAnsi="Times New Roman"/>
        </w:rPr>
      </w:pPr>
      <w:r>
        <w:rPr>
          <w:rFonts w:hint="eastAsia" w:ascii="Times New Roman" w:hAnsi="Times New Roman" w:eastAsia="楷体_GB2312"/>
        </w:rPr>
        <w:t>15</w:t>
      </w:r>
      <w:r>
        <w:rPr>
          <w:rFonts w:ascii="Times New Roman" w:hAnsi="Times New Roman" w:eastAsia="楷体_GB2312"/>
        </w:rPr>
        <w:t>.创新竞价方式。</w:t>
      </w:r>
      <w:r>
        <w:rPr>
          <w:rFonts w:ascii="Times New Roman" w:hAnsi="仿宋_GB2312"/>
        </w:rPr>
        <w:t>在原有</w:t>
      </w:r>
      <w:r>
        <w:rPr>
          <w:rFonts w:hint="eastAsia" w:ascii="Times New Roman" w:hAnsi="Times New Roman"/>
        </w:rPr>
        <w:t>“</w:t>
      </w:r>
      <w:r>
        <w:rPr>
          <w:rFonts w:ascii="Times New Roman" w:hAnsi="仿宋_GB2312"/>
        </w:rPr>
        <w:t>限地价、竞无偿移交厂房面积</w:t>
      </w:r>
      <w:r>
        <w:rPr>
          <w:rFonts w:hint="eastAsia" w:ascii="Times New Roman" w:hAnsi="Times New Roman"/>
        </w:rPr>
        <w:t>”</w:t>
      </w:r>
      <w:r>
        <w:rPr>
          <w:rFonts w:ascii="Times New Roman" w:hAnsi="仿宋_GB2312"/>
        </w:rPr>
        <w:t>的</w:t>
      </w:r>
      <w:r>
        <w:rPr>
          <w:rFonts w:hint="eastAsia" w:ascii="Times New Roman" w:hAnsi="仿宋_GB2312"/>
        </w:rPr>
        <w:t>基础</w:t>
      </w:r>
      <w:r>
        <w:rPr>
          <w:rFonts w:ascii="Times New Roman" w:hAnsi="仿宋_GB2312"/>
        </w:rPr>
        <w:t>上，</w:t>
      </w:r>
      <w:r>
        <w:rPr>
          <w:rFonts w:hint="eastAsia" w:ascii="Times New Roman" w:hAnsi="仿宋_GB2312"/>
        </w:rPr>
        <w:t>鼓励</w:t>
      </w:r>
      <w:r>
        <w:rPr>
          <w:rFonts w:ascii="Times New Roman" w:hAnsi="仿宋_GB2312"/>
        </w:rPr>
        <w:t>推行</w:t>
      </w:r>
      <w:r>
        <w:rPr>
          <w:rFonts w:ascii="Times New Roman" w:hAnsi="Times New Roman"/>
        </w:rPr>
        <w:t>“</w:t>
      </w:r>
      <w:r>
        <w:rPr>
          <w:rFonts w:ascii="Times New Roman" w:hAnsi="仿宋_GB2312"/>
        </w:rPr>
        <w:t>限地价、</w:t>
      </w:r>
      <w:r>
        <w:rPr>
          <w:rFonts w:hint="eastAsia" w:ascii="Times New Roman" w:hAnsi="仿宋_GB2312"/>
        </w:rPr>
        <w:t>限房价、</w:t>
      </w:r>
      <w:r>
        <w:rPr>
          <w:rFonts w:ascii="Times New Roman" w:hAnsi="仿宋_GB2312"/>
        </w:rPr>
        <w:t>竞亩均税收</w:t>
      </w:r>
      <w:r>
        <w:rPr>
          <w:rFonts w:ascii="Times New Roman" w:hAnsi="Times New Roman"/>
        </w:rPr>
        <w:t>”</w:t>
      </w:r>
      <w:r>
        <w:rPr>
          <w:rFonts w:ascii="Times New Roman" w:hAnsi="仿宋_GB2312"/>
        </w:rPr>
        <w:t>的方式</w:t>
      </w:r>
      <w:r>
        <w:rPr>
          <w:rFonts w:hint="eastAsia" w:ascii="Times New Roman" w:hAnsi="仿宋_GB2312"/>
        </w:rPr>
        <w:t>，</w:t>
      </w:r>
      <w:r>
        <w:rPr>
          <w:rFonts w:ascii="Times New Roman" w:hAnsi="仿宋_GB2312"/>
        </w:rPr>
        <w:t>竞标者在达到封顶地价（</w:t>
      </w:r>
      <w:r>
        <w:rPr>
          <w:rFonts w:hint="eastAsia" w:ascii="Times New Roman" w:hAnsi="仿宋_GB2312"/>
        </w:rPr>
        <w:t>最高</w:t>
      </w:r>
      <w:r>
        <w:rPr>
          <w:rFonts w:ascii="Times New Roman" w:hAnsi="仿宋_GB2312"/>
        </w:rPr>
        <w:t>溢价</w:t>
      </w:r>
      <w:r>
        <w:rPr>
          <w:rFonts w:ascii="Times New Roman" w:hAnsi="Times New Roman"/>
        </w:rPr>
        <w:t>50%</w:t>
      </w:r>
      <w:r>
        <w:rPr>
          <w:rFonts w:ascii="Times New Roman" w:hAnsi="仿宋_GB2312"/>
        </w:rPr>
        <w:t>），</w:t>
      </w:r>
      <w:r>
        <w:rPr>
          <w:rFonts w:hint="eastAsia" w:ascii="Times New Roman" w:hAnsi="仿宋_GB2312"/>
        </w:rPr>
        <w:t>转</w:t>
      </w:r>
      <w:r>
        <w:rPr>
          <w:rFonts w:ascii="Times New Roman" w:hAnsi="仿宋_GB2312"/>
        </w:rPr>
        <w:t>为竞年度亩均税收，承诺缴纳年度亩均税收高</w:t>
      </w:r>
      <w:r>
        <w:rPr>
          <w:rFonts w:hint="eastAsia" w:ascii="Times New Roman" w:hAnsi="仿宋_GB2312"/>
          <w:color w:val="000000" w:themeColor="text1"/>
        </w:rPr>
        <w:t>者中标。</w:t>
      </w:r>
      <w:r>
        <w:rPr>
          <w:rFonts w:hint="eastAsia" w:ascii="Times New Roman" w:hAnsi="仿宋_GB2312"/>
        </w:rPr>
        <w:t>园区通过竣工验收2年后，每年亩均税收须达到承诺要求；如不达标，园区开发运营企业须向属地政府支付税收差额部分违约金。如不履约的，属地政府按照项目投资合同规定追究园区开发运营企业违约责任，予以没收履约保证金。履约保证金金额按中标承诺亩均税收和起拍价差额缴纳，但总额不少于土地出让金总额的10%。</w:t>
      </w:r>
      <w:r>
        <w:rPr>
          <w:rFonts w:hint="eastAsia" w:ascii="楷体" w:hAnsi="楷体" w:eastAsia="楷体"/>
        </w:rPr>
        <w:t>（责任单位：各县〈市、区〉政府、省级产业集聚区管委会，市国土资源局、市经信委、市税务局）</w:t>
      </w:r>
    </w:p>
    <w:p>
      <w:pPr>
        <w:pStyle w:val="14"/>
        <w:widowControl w:val="0"/>
        <w:autoSpaceDN w:val="0"/>
        <w:snapToGrid/>
        <w:spacing w:line="600" w:lineRule="exact"/>
        <w:ind w:firstLine="640" w:firstLineChars="200"/>
        <w:rPr>
          <w:rFonts w:ascii="Times New Roman" w:hAnsi="Times New Roman"/>
        </w:rPr>
      </w:pPr>
      <w:r>
        <w:rPr>
          <w:rFonts w:ascii="Times New Roman" w:hAnsi="Times New Roman" w:eastAsia="楷体_GB2312"/>
        </w:rPr>
        <w:t>1</w:t>
      </w:r>
      <w:r>
        <w:rPr>
          <w:rFonts w:hint="eastAsia" w:ascii="Times New Roman" w:hAnsi="Times New Roman" w:eastAsia="楷体_GB2312"/>
        </w:rPr>
        <w:t>6</w:t>
      </w:r>
      <w:r>
        <w:rPr>
          <w:rFonts w:ascii="Times New Roman" w:hAnsi="Times New Roman" w:eastAsia="楷体_GB2312"/>
        </w:rPr>
        <w:t>.做好降本减负。</w:t>
      </w:r>
      <w:r>
        <w:rPr>
          <w:rFonts w:ascii="Times New Roman" w:hAnsi="Times New Roman"/>
        </w:rPr>
        <w:t>对小微企业园开发建设项目</w:t>
      </w:r>
      <w:r>
        <w:rPr>
          <w:rFonts w:ascii="Times New Roman" w:hAnsi="Times New Roman"/>
          <w:szCs w:val="32"/>
        </w:rPr>
        <w:t>实施城建基础设施配套费减免、</w:t>
      </w:r>
      <w:r>
        <w:rPr>
          <w:rFonts w:ascii="Times New Roman" w:hAnsi="Times New Roman"/>
        </w:rPr>
        <w:t>土地增值税按现有规定从低预征、按第一档享受城镇土地使用税优惠（建成运营3年内），切实降低企业生产经营成本。小微企业园开发项目预售时，征收企业所得税，毛利率按5%计算。</w:t>
      </w:r>
      <w:r>
        <w:rPr>
          <w:rFonts w:ascii="Times New Roman" w:hAnsi="Times New Roman"/>
          <w:szCs w:val="32"/>
        </w:rPr>
        <w:t>鼓励小微企业园优先招引优质企业，按温委发〔2018〕44号文件规定，给予小微企业园开发运营单位前3年100%，后3年50%，第7、第8年20%的环比新增地方综合贡献度的财政奖励。</w:t>
      </w:r>
      <w:r>
        <w:rPr>
          <w:rFonts w:ascii="Times New Roman" w:hAnsi="Times New Roman"/>
        </w:rPr>
        <w:t>允许入园企业按政府指导价（建设成本）计价缴纳房产税。</w:t>
      </w:r>
      <w:r>
        <w:rPr>
          <w:rFonts w:ascii="Times New Roman" w:hAnsi="仿宋_GB2312"/>
        </w:rPr>
        <w:t>加大政府购买服务力度，鼓励向符合条件的入园企业发放小微企业服务券和创新券。</w:t>
      </w:r>
      <w:r>
        <w:rPr>
          <w:rFonts w:hint="eastAsia" w:ascii="楷体" w:hAnsi="楷体" w:eastAsia="楷体"/>
        </w:rPr>
        <w:t>（责任单位：各县〈市、区〉政府、省级产业集聚区管委会，市经信委、市税务局、市财政局、市规划局）</w:t>
      </w:r>
    </w:p>
    <w:p>
      <w:pPr>
        <w:pStyle w:val="14"/>
        <w:widowControl w:val="0"/>
        <w:autoSpaceDN w:val="0"/>
        <w:snapToGrid/>
        <w:spacing w:line="600" w:lineRule="exact"/>
        <w:ind w:firstLine="640" w:firstLineChars="200"/>
        <w:rPr>
          <w:rFonts w:ascii="Times New Roman" w:hAnsi="Times New Roman"/>
        </w:rPr>
      </w:pPr>
      <w:r>
        <w:rPr>
          <w:rFonts w:ascii="Times New Roman" w:hAnsi="Times New Roman" w:eastAsia="楷体_GB2312"/>
        </w:rPr>
        <w:t>1</w:t>
      </w:r>
      <w:r>
        <w:rPr>
          <w:rFonts w:hint="eastAsia" w:ascii="Times New Roman" w:hAnsi="Times New Roman" w:eastAsia="楷体_GB2312"/>
        </w:rPr>
        <w:t>7</w:t>
      </w:r>
      <w:r>
        <w:rPr>
          <w:rFonts w:ascii="Times New Roman" w:hAnsi="Times New Roman" w:eastAsia="楷体_GB2312"/>
        </w:rPr>
        <w:t>.创新融资服务。</w:t>
      </w:r>
      <w:r>
        <w:rPr>
          <w:rFonts w:ascii="Times New Roman" w:hAnsi="Times New Roman"/>
          <w:szCs w:val="32"/>
        </w:rPr>
        <w:t>符合</w:t>
      </w:r>
      <w:r>
        <w:rPr>
          <w:rFonts w:hint="eastAsia" w:ascii="Times New Roman" w:hAnsi="Times New Roman"/>
          <w:szCs w:val="32"/>
        </w:rPr>
        <w:t>银行</w:t>
      </w:r>
      <w:r>
        <w:rPr>
          <w:rFonts w:ascii="Times New Roman" w:hAnsi="Times New Roman"/>
          <w:szCs w:val="32"/>
        </w:rPr>
        <w:t>信贷</w:t>
      </w:r>
      <w:r>
        <w:rPr>
          <w:rFonts w:hint="eastAsia" w:ascii="Times New Roman" w:hAnsi="Times New Roman"/>
          <w:szCs w:val="32"/>
        </w:rPr>
        <w:t>准入条件下</w:t>
      </w:r>
      <w:r>
        <w:rPr>
          <w:rFonts w:ascii="Times New Roman" w:hAnsi="Times New Roman"/>
          <w:szCs w:val="32"/>
        </w:rPr>
        <w:t>，</w:t>
      </w:r>
      <w:r>
        <w:rPr>
          <w:rFonts w:hint="eastAsia" w:ascii="Times New Roman" w:hAnsi="仿宋_GB2312"/>
        </w:rPr>
        <w:t>金融</w:t>
      </w:r>
      <w:bookmarkStart w:id="0" w:name="_GoBack"/>
      <w:bookmarkEnd w:id="0"/>
      <w:r>
        <w:rPr>
          <w:rFonts w:hint="eastAsia" w:ascii="Times New Roman" w:hAnsi="仿宋_GB2312"/>
        </w:rPr>
        <w:t>机构</w:t>
      </w:r>
      <w:r>
        <w:rPr>
          <w:rFonts w:hint="eastAsia" w:ascii="Times New Roman" w:hAnsi="Times New Roman"/>
          <w:szCs w:val="32"/>
        </w:rPr>
        <w:t>可参</w:t>
      </w:r>
      <w:r>
        <w:rPr>
          <w:rFonts w:ascii="Times New Roman" w:hAnsi="Times New Roman"/>
          <w:szCs w:val="32"/>
        </w:rPr>
        <w:t>照重点工业项目或基础设施建设项目</w:t>
      </w:r>
      <w:r>
        <w:rPr>
          <w:rFonts w:hint="eastAsia" w:ascii="Times New Roman" w:hAnsi="Times New Roman"/>
          <w:szCs w:val="32"/>
        </w:rPr>
        <w:t>对小微企业园</w:t>
      </w:r>
      <w:r>
        <w:rPr>
          <w:rFonts w:ascii="Times New Roman" w:hAnsi="Times New Roman"/>
          <w:szCs w:val="32"/>
        </w:rPr>
        <w:t>进行授信管理</w:t>
      </w:r>
      <w:r>
        <w:rPr>
          <w:rFonts w:hint="eastAsia" w:ascii="Times New Roman" w:hAnsi="Times New Roman"/>
          <w:szCs w:val="32"/>
        </w:rPr>
        <w:t>，可根据注册资本金给予项目贷款。对在各县（市、区）没有分支机构的银行业机构，若提供小微企业园开发贷款的，开发方应当在该行开立预售资金专用存款账户。</w:t>
      </w:r>
      <w:r>
        <w:rPr>
          <w:rFonts w:hint="eastAsia" w:ascii="Times New Roman" w:hAnsi="仿宋_GB2312"/>
        </w:rPr>
        <w:t>金融机构要</w:t>
      </w:r>
      <w:r>
        <w:rPr>
          <w:rFonts w:ascii="Times New Roman" w:hAnsi="仿宋_GB2312"/>
        </w:rPr>
        <w:t>加</w:t>
      </w:r>
      <w:r>
        <w:rPr>
          <w:rFonts w:hint="eastAsia" w:ascii="Times New Roman" w:hAnsi="仿宋_GB2312"/>
        </w:rPr>
        <w:t>大对入园小微企业</w:t>
      </w:r>
      <w:r>
        <w:rPr>
          <w:rFonts w:ascii="Times New Roman" w:hAnsi="仿宋_GB2312"/>
        </w:rPr>
        <w:t>多元化、个性化金融支持</w:t>
      </w:r>
      <w:r>
        <w:rPr>
          <w:rFonts w:hint="eastAsia" w:ascii="Times New Roman" w:hAnsi="仿宋_GB2312"/>
        </w:rPr>
        <w:t>力度</w:t>
      </w:r>
      <w:r>
        <w:rPr>
          <w:rFonts w:ascii="Times New Roman" w:hAnsi="仿宋_GB2312"/>
        </w:rPr>
        <w:t>，</w:t>
      </w:r>
      <w:r>
        <w:rPr>
          <w:rFonts w:hint="eastAsia" w:ascii="Times New Roman" w:hAnsi="仿宋_GB2312"/>
        </w:rPr>
        <w:t>积极开展</w:t>
      </w:r>
      <w:r>
        <w:rPr>
          <w:rFonts w:hint="eastAsia" w:ascii="Times New Roman" w:hAnsi="Times New Roman"/>
          <w:szCs w:val="32"/>
        </w:rPr>
        <w:t>知识产权质押、股权质押、应收账款</w:t>
      </w:r>
      <w:r>
        <w:rPr>
          <w:rFonts w:ascii="Times New Roman" w:hAnsi="Times New Roman"/>
          <w:szCs w:val="32"/>
        </w:rPr>
        <w:t>保理、仓单质押、承兑汇票贴现等融资</w:t>
      </w:r>
      <w:r>
        <w:rPr>
          <w:rFonts w:hint="eastAsia" w:ascii="Times New Roman" w:hAnsi="Times New Roman"/>
          <w:szCs w:val="32"/>
        </w:rPr>
        <w:t>；</w:t>
      </w:r>
      <w:r>
        <w:rPr>
          <w:rFonts w:ascii="Times New Roman" w:hAnsi="Times New Roman"/>
          <w:szCs w:val="32"/>
        </w:rPr>
        <w:t>对入园企业</w:t>
      </w:r>
      <w:r>
        <w:rPr>
          <w:rFonts w:hint="eastAsia" w:ascii="Times New Roman" w:hAnsi="Times New Roman"/>
          <w:szCs w:val="32"/>
        </w:rPr>
        <w:t>“亩均论英雄”综合</w:t>
      </w:r>
      <w:r>
        <w:rPr>
          <w:rFonts w:ascii="Times New Roman" w:hAnsi="Times New Roman"/>
          <w:szCs w:val="32"/>
        </w:rPr>
        <w:t>评价A类</w:t>
      </w:r>
      <w:r>
        <w:rPr>
          <w:rFonts w:hint="eastAsia" w:ascii="Times New Roman" w:hAnsi="Times New Roman"/>
          <w:szCs w:val="32"/>
        </w:rPr>
        <w:t>企业，可</w:t>
      </w:r>
      <w:r>
        <w:rPr>
          <w:rFonts w:ascii="Times New Roman" w:hAnsi="Times New Roman"/>
          <w:szCs w:val="32"/>
        </w:rPr>
        <w:t>给予信用贷款。</w:t>
      </w:r>
      <w:r>
        <w:rPr>
          <w:rFonts w:hint="eastAsia" w:ascii="Times New Roman" w:hAnsi="Times New Roman"/>
          <w:szCs w:val="32"/>
        </w:rPr>
        <w:t>全市政策性担保公司要积极发挥担保的杠杆作用，安排专项担保额度，用于支持入园小微企业，并适当降低担保费率和反担保要求。</w:t>
      </w:r>
      <w:r>
        <w:rPr>
          <w:rFonts w:hint="eastAsia" w:ascii="楷体" w:hAnsi="楷体" w:eastAsia="楷体"/>
        </w:rPr>
        <w:t>（责任单位：市金融办、市人行、温州银监分局）</w:t>
      </w:r>
    </w:p>
    <w:p>
      <w:pPr>
        <w:pStyle w:val="14"/>
        <w:widowControl w:val="0"/>
        <w:autoSpaceDN w:val="0"/>
        <w:snapToGrid/>
        <w:spacing w:line="600" w:lineRule="exact"/>
        <w:ind w:firstLine="640" w:firstLineChars="200"/>
        <w:rPr>
          <w:rFonts w:ascii="Times New Roman" w:hAnsi="Times New Roman"/>
        </w:rPr>
      </w:pPr>
      <w:r>
        <w:rPr>
          <w:rFonts w:hint="eastAsia" w:ascii="Times New Roman" w:hAnsi="Times New Roman" w:eastAsia="楷体_GB2312"/>
          <w:szCs w:val="32"/>
        </w:rPr>
        <w:t>18</w:t>
      </w:r>
      <w:r>
        <w:rPr>
          <w:rFonts w:ascii="Times New Roman" w:hAnsi="Times New Roman" w:eastAsia="楷体_GB2312"/>
          <w:szCs w:val="32"/>
        </w:rPr>
        <w:t>.加强审批服务。</w:t>
      </w:r>
      <w:r>
        <w:rPr>
          <w:rFonts w:hint="eastAsia" w:ascii="仿宋_GB2312" w:hAnsi="Times New Roman"/>
          <w:color w:val="000000" w:themeColor="text1"/>
          <w:szCs w:val="32"/>
        </w:rPr>
        <w:t>工业小微企业园用地要实行“标准地”制度管理，合理确定相关控制执行指标，纳入土地出让条件。</w:t>
      </w:r>
      <w:r>
        <w:rPr>
          <w:rFonts w:ascii="Times New Roman" w:hAnsi="仿宋_GB2312"/>
        </w:rPr>
        <w:t>按照</w:t>
      </w:r>
      <w:r>
        <w:rPr>
          <w:rFonts w:ascii="Times New Roman" w:hAnsi="Times New Roman"/>
        </w:rPr>
        <w:t>“</w:t>
      </w:r>
      <w:r>
        <w:rPr>
          <w:rFonts w:ascii="Times New Roman" w:hAnsi="仿宋_GB2312"/>
        </w:rPr>
        <w:t>最多跑一次</w:t>
      </w:r>
      <w:r>
        <w:rPr>
          <w:rFonts w:ascii="Times New Roman" w:hAnsi="Times New Roman"/>
        </w:rPr>
        <w:t>”</w:t>
      </w:r>
      <w:r>
        <w:rPr>
          <w:rFonts w:ascii="Times New Roman" w:hAnsi="仿宋_GB2312"/>
        </w:rPr>
        <w:t>改革要求，依法办理规划建设、用地、消防、能评、环评、水土保持等手续，实行即时一并办理施工许可证</w:t>
      </w:r>
      <w:r>
        <w:rPr>
          <w:rFonts w:hint="eastAsia" w:ascii="Times New Roman" w:hAnsi="仿宋_GB2312"/>
        </w:rPr>
        <w:t>等</w:t>
      </w:r>
      <w:r>
        <w:rPr>
          <w:rFonts w:ascii="Times New Roman" w:hAnsi="仿宋_GB2312"/>
        </w:rPr>
        <w:t>手续</w:t>
      </w:r>
      <w:r>
        <w:rPr>
          <w:rFonts w:hint="eastAsia" w:ascii="Times New Roman" w:hAnsi="仿宋_GB2312"/>
        </w:rPr>
        <w:t>、</w:t>
      </w:r>
      <w:r>
        <w:rPr>
          <w:rFonts w:ascii="Times New Roman" w:hAnsi="仿宋_GB2312"/>
        </w:rPr>
        <w:t>一次性联合竣工验收，确保开工审批最多</w:t>
      </w:r>
      <w:r>
        <w:rPr>
          <w:rFonts w:ascii="Times New Roman" w:hAnsi="Times New Roman"/>
        </w:rPr>
        <w:t>100</w:t>
      </w:r>
      <w:r>
        <w:rPr>
          <w:rFonts w:ascii="Times New Roman" w:hAnsi="仿宋_GB2312"/>
        </w:rPr>
        <w:t>天和验收总时间最多</w:t>
      </w:r>
      <w:r>
        <w:rPr>
          <w:rFonts w:ascii="Times New Roman" w:hAnsi="Times New Roman"/>
        </w:rPr>
        <w:t>30</w:t>
      </w:r>
      <w:r>
        <w:rPr>
          <w:rFonts w:ascii="Times New Roman" w:hAnsi="仿宋_GB2312"/>
        </w:rPr>
        <w:t>个工作日。</w:t>
      </w:r>
      <w:r>
        <w:rPr>
          <w:rFonts w:hint="eastAsia" w:ascii="Times New Roman" w:hAnsi="仿宋_GB2312"/>
        </w:rPr>
        <w:t>允许小微企业园建设项目在</w:t>
      </w:r>
      <w:r>
        <w:rPr>
          <w:rFonts w:hint="eastAsia" w:ascii="Times New Roman" w:hAnsi="Times New Roman"/>
          <w:szCs w:val="32"/>
        </w:rPr>
        <w:t>投资额达到25%后，可参照房地产预售政策办理预售许可证，并纳入住建部门商品房预售、销售系统管理。</w:t>
      </w:r>
      <w:r>
        <w:rPr>
          <w:rFonts w:ascii="Times New Roman" w:hAnsi="仿宋_GB2312"/>
        </w:rPr>
        <w:t>工业小微企业园归口工业固定资产投资项目进行审批</w:t>
      </w:r>
      <w:r>
        <w:rPr>
          <w:rFonts w:hint="eastAsia" w:ascii="Times New Roman" w:hAnsi="仿宋_GB2312"/>
        </w:rPr>
        <w:t>，纳入工业投资项目统计</w:t>
      </w:r>
      <w:r>
        <w:rPr>
          <w:rFonts w:ascii="Times New Roman" w:hAnsi="仿宋_GB2312"/>
        </w:rPr>
        <w:t>。</w:t>
      </w:r>
      <w:r>
        <w:rPr>
          <w:rFonts w:hint="eastAsia" w:ascii="楷体" w:hAnsi="楷体" w:eastAsia="楷体"/>
        </w:rPr>
        <w:t>（责任单位：各县〈市、区〉政府、省级产业集聚区管委会，市审管办、市国土资源局、市规划局、市住建委、市环保局、市公安消防局、市经信委）</w:t>
      </w:r>
    </w:p>
    <w:p>
      <w:pPr>
        <w:pStyle w:val="14"/>
        <w:widowControl w:val="0"/>
        <w:autoSpaceDN w:val="0"/>
        <w:snapToGrid/>
        <w:spacing w:line="600" w:lineRule="exact"/>
        <w:ind w:firstLine="640" w:firstLineChars="200"/>
        <w:rPr>
          <w:rFonts w:ascii="楷体" w:hAnsi="楷体" w:eastAsia="楷体"/>
        </w:rPr>
      </w:pPr>
      <w:r>
        <w:rPr>
          <w:rFonts w:hint="eastAsia" w:ascii="Times New Roman" w:hAnsi="Times New Roman" w:eastAsia="楷体_GB2312"/>
        </w:rPr>
        <w:t>19.加强非公党建</w:t>
      </w:r>
      <w:r>
        <w:rPr>
          <w:rFonts w:ascii="Times New Roman" w:hAnsi="Times New Roman" w:eastAsia="楷体_GB2312"/>
        </w:rPr>
        <w:t>。</w:t>
      </w:r>
      <w:r>
        <w:rPr>
          <w:rFonts w:hint="eastAsia" w:ascii="仿宋_GB2312" w:hAnsi="仿宋_GB2312" w:cs="仿宋_GB2312"/>
          <w:szCs w:val="32"/>
        </w:rPr>
        <w:t>扎实开展小微企业园党建“六个一”建设（即建一个区域性的综合党组织、建一支高素质的党组织书记队伍、建一套运行高效的工作机制、建一套适销对路的服务事项、建一个“瓯江红”党群服务中心、建一个规范持续的党建公积金），不断扩大小微企业党的组织和工作有效覆盖。建立党建联席会议制度，定期研究工作，开展经常性的党组织活动，</w:t>
      </w:r>
      <w:r>
        <w:rPr>
          <w:rFonts w:ascii="Times New Roman" w:hAnsi="Times New Roman"/>
          <w:szCs w:val="32"/>
          <w:shd w:val="clear" w:color="auto" w:fill="FFFFFF"/>
        </w:rPr>
        <w:t>努力把党建综合体建成小微企业园两新党组织、党员和职工群众的活动场所、交流平台、教育园地、精神家园</w:t>
      </w:r>
      <w:r>
        <w:rPr>
          <w:rFonts w:hint="eastAsia" w:ascii="Times New Roman" w:hAnsi="Times New Roman"/>
          <w:szCs w:val="32"/>
          <w:shd w:val="clear" w:color="auto" w:fill="FFFFFF"/>
        </w:rPr>
        <w:t>。</w:t>
      </w:r>
      <w:r>
        <w:rPr>
          <w:rFonts w:hint="eastAsia" w:ascii="楷体" w:hAnsi="楷体" w:eastAsia="楷体"/>
        </w:rPr>
        <w:t>（责任单位：各县〈市、区〉政府、省级产业集聚区管委会，市委组织部）</w:t>
      </w:r>
    </w:p>
    <w:p>
      <w:pPr>
        <w:pStyle w:val="14"/>
        <w:widowControl w:val="0"/>
        <w:autoSpaceDN w:val="0"/>
        <w:snapToGrid/>
        <w:spacing w:line="600" w:lineRule="exact"/>
        <w:ind w:firstLine="640" w:firstLineChars="200"/>
        <w:rPr>
          <w:rFonts w:ascii="楷体" w:hAnsi="楷体" w:eastAsia="楷体"/>
        </w:rPr>
      </w:pPr>
      <w:r>
        <w:rPr>
          <w:rFonts w:hint="eastAsia" w:ascii="Times New Roman" w:hAnsi="Times New Roman" w:eastAsia="楷体_GB2312"/>
        </w:rPr>
        <w:t>20</w:t>
      </w:r>
      <w:r>
        <w:rPr>
          <w:rFonts w:ascii="Times New Roman" w:hAnsi="Times New Roman" w:eastAsia="楷体_GB2312"/>
        </w:rPr>
        <w:t>.强</w:t>
      </w:r>
      <w:r>
        <w:rPr>
          <w:rFonts w:hint="eastAsia" w:ascii="Times New Roman" w:hAnsi="Times New Roman" w:eastAsia="楷体_GB2312"/>
        </w:rPr>
        <w:t>化</w:t>
      </w:r>
      <w:r>
        <w:rPr>
          <w:rFonts w:ascii="Times New Roman" w:hAnsi="Times New Roman" w:eastAsia="楷体_GB2312"/>
        </w:rPr>
        <w:t>组织领导。</w:t>
      </w:r>
      <w:r>
        <w:rPr>
          <w:rFonts w:ascii="Times New Roman" w:hAnsi="仿宋_GB2312"/>
        </w:rPr>
        <w:t>各</w:t>
      </w:r>
      <w:r>
        <w:rPr>
          <w:rFonts w:hint="eastAsia" w:ascii="Times New Roman" w:hAnsi="仿宋_GB2312"/>
        </w:rPr>
        <w:t>地要建立小微企业园高质量发展工作联席会议制度，</w:t>
      </w:r>
      <w:r>
        <w:rPr>
          <w:rFonts w:ascii="Times New Roman" w:hAnsi="仿宋_GB2312"/>
        </w:rPr>
        <w:t>定期研究</w:t>
      </w:r>
      <w:r>
        <w:rPr>
          <w:rFonts w:hint="eastAsia" w:ascii="Times New Roman" w:hAnsi="仿宋_GB2312"/>
        </w:rPr>
        <w:t>、</w:t>
      </w:r>
      <w:r>
        <w:rPr>
          <w:rFonts w:ascii="Times New Roman" w:hAnsi="仿宋_GB2312"/>
        </w:rPr>
        <w:t>统筹</w:t>
      </w:r>
      <w:r>
        <w:rPr>
          <w:rFonts w:hint="eastAsia" w:ascii="Times New Roman" w:hAnsi="仿宋_GB2312"/>
        </w:rPr>
        <w:t>推进</w:t>
      </w:r>
      <w:r>
        <w:rPr>
          <w:rFonts w:ascii="Times New Roman" w:hAnsi="仿宋_GB2312"/>
        </w:rPr>
        <w:t>本区域</w:t>
      </w:r>
      <w:r>
        <w:rPr>
          <w:rFonts w:ascii="Times New Roman" w:hAnsi="Times New Roman"/>
        </w:rPr>
        <w:t>“</w:t>
      </w:r>
      <w:r>
        <w:rPr>
          <w:rFonts w:ascii="Times New Roman" w:hAnsi="仿宋_GB2312"/>
        </w:rPr>
        <w:t>百园万企</w:t>
      </w:r>
      <w:r>
        <w:rPr>
          <w:rFonts w:ascii="Times New Roman" w:hAnsi="Times New Roman"/>
        </w:rPr>
        <w:t>”</w:t>
      </w:r>
      <w:r>
        <w:rPr>
          <w:rFonts w:ascii="Times New Roman" w:hAnsi="仿宋_GB2312"/>
        </w:rPr>
        <w:t>小微企业园示范引领工程行动，协调</w:t>
      </w:r>
      <w:r>
        <w:rPr>
          <w:rFonts w:hint="eastAsia" w:ascii="Times New Roman" w:hAnsi="仿宋_GB2312"/>
        </w:rPr>
        <w:t>解决</w:t>
      </w:r>
      <w:r>
        <w:rPr>
          <w:rFonts w:ascii="Times New Roman" w:hAnsi="仿宋_GB2312"/>
        </w:rPr>
        <w:t>重大问题。</w:t>
      </w:r>
      <w:r>
        <w:rPr>
          <w:rFonts w:hint="eastAsia" w:ascii="Times New Roman" w:hAnsi="仿宋_GB2312"/>
        </w:rPr>
        <w:t>各地</w:t>
      </w:r>
      <w:r>
        <w:rPr>
          <w:rFonts w:ascii="Times New Roman" w:hAnsi="仿宋_GB2312"/>
        </w:rPr>
        <w:t>要切实履行属地管理职责，配强小微企业园</w:t>
      </w:r>
      <w:r>
        <w:rPr>
          <w:rFonts w:hint="eastAsia" w:ascii="Times New Roman" w:hAnsi="仿宋_GB2312"/>
        </w:rPr>
        <w:t>办公室</w:t>
      </w:r>
      <w:r>
        <w:rPr>
          <w:rFonts w:ascii="Times New Roman" w:hAnsi="仿宋_GB2312"/>
        </w:rPr>
        <w:t>管理人员，建立相应工作机制，</w:t>
      </w:r>
      <w:r>
        <w:rPr>
          <w:rFonts w:hint="eastAsia" w:ascii="Times New Roman" w:hAnsi="仿宋_GB2312"/>
        </w:rPr>
        <w:t>强化工作推进落实</w:t>
      </w:r>
      <w:r>
        <w:rPr>
          <w:rFonts w:ascii="Times New Roman" w:hAnsi="仿宋_GB2312"/>
        </w:rPr>
        <w:t>。</w:t>
      </w:r>
      <w:r>
        <w:rPr>
          <w:rFonts w:hint="eastAsia" w:ascii="Times New Roman" w:hAnsi="仿宋_GB2312"/>
        </w:rPr>
        <w:t>各</w:t>
      </w:r>
      <w:r>
        <w:rPr>
          <w:rFonts w:ascii="Times New Roman" w:hAnsi="仿宋_GB2312"/>
        </w:rPr>
        <w:t>有关部门要按照职责分工，完善政策措施，加强协作配合。</w:t>
      </w:r>
      <w:r>
        <w:rPr>
          <w:rFonts w:hint="eastAsia" w:ascii="楷体" w:hAnsi="楷体" w:eastAsia="楷体"/>
        </w:rPr>
        <w:t>（责任单位：各县〈市、区〉政府、省级产业集聚区管委会，市经信委）</w:t>
      </w:r>
    </w:p>
    <w:p>
      <w:pPr>
        <w:pStyle w:val="14"/>
        <w:widowControl w:val="0"/>
        <w:autoSpaceDN w:val="0"/>
        <w:snapToGrid/>
        <w:spacing w:line="600" w:lineRule="exact"/>
        <w:ind w:firstLine="640" w:firstLineChars="200"/>
        <w:rPr>
          <w:rFonts w:ascii="Times New Roman" w:hAnsi="Times New Roman"/>
        </w:rPr>
      </w:pPr>
      <w:r>
        <w:rPr>
          <w:rFonts w:hint="eastAsia" w:ascii="Times New Roman" w:hAnsi="Times New Roman" w:eastAsia="楷体_GB2312"/>
        </w:rPr>
        <w:t>21</w:t>
      </w:r>
      <w:r>
        <w:rPr>
          <w:rFonts w:ascii="Times New Roman" w:hAnsi="Times New Roman" w:eastAsia="楷体_GB2312"/>
        </w:rPr>
        <w:t>.</w:t>
      </w:r>
      <w:r>
        <w:rPr>
          <w:rFonts w:hint="eastAsia" w:ascii="Times New Roman" w:hAnsi="Times New Roman" w:eastAsia="楷体_GB2312"/>
        </w:rPr>
        <w:t>严格</w:t>
      </w:r>
      <w:r>
        <w:rPr>
          <w:rFonts w:ascii="Times New Roman" w:hAnsi="Times New Roman" w:eastAsia="楷体_GB2312"/>
        </w:rPr>
        <w:t>督查考核。</w:t>
      </w:r>
      <w:r>
        <w:rPr>
          <w:rFonts w:hint="eastAsia" w:ascii="Times New Roman" w:hAnsi="仿宋_GB2312"/>
        </w:rPr>
        <w:t>各地要</w:t>
      </w:r>
      <w:r>
        <w:rPr>
          <w:rFonts w:ascii="Times New Roman" w:hAnsi="仿宋_GB2312"/>
        </w:rPr>
        <w:t>对小微企业园建设进展情况定期开展督查，重点针对小微企业园开工进度、竣工进度、入驻进度、公共服务配套等内容进行督查，全面掌握各地</w:t>
      </w:r>
      <w:r>
        <w:rPr>
          <w:rFonts w:ascii="Times New Roman" w:hAnsi="Times New Roman"/>
        </w:rPr>
        <w:t>“</w:t>
      </w:r>
      <w:r>
        <w:rPr>
          <w:rFonts w:ascii="Times New Roman" w:hAnsi="仿宋_GB2312"/>
        </w:rPr>
        <w:t>百园万企</w:t>
      </w:r>
      <w:r>
        <w:rPr>
          <w:rFonts w:ascii="Times New Roman" w:hAnsi="Times New Roman"/>
        </w:rPr>
        <w:t>”</w:t>
      </w:r>
      <w:r>
        <w:rPr>
          <w:rFonts w:ascii="Times New Roman" w:hAnsi="仿宋_GB2312"/>
        </w:rPr>
        <w:t>小微企业园示范引领行动推进情况，协调解决建设过程中存在的困难和问题，促进工作落实。各地要建立相应通报制度</w:t>
      </w:r>
      <w:r>
        <w:rPr>
          <w:rFonts w:hint="eastAsia" w:ascii="Times New Roman" w:hAnsi="仿宋_GB2312"/>
        </w:rPr>
        <w:t>和责任追究制度</w:t>
      </w:r>
      <w:r>
        <w:rPr>
          <w:rFonts w:ascii="Times New Roman" w:hAnsi="仿宋_GB2312"/>
        </w:rPr>
        <w:t>。</w:t>
      </w:r>
      <w:r>
        <w:rPr>
          <w:rFonts w:hint="eastAsia" w:ascii="楷体" w:hAnsi="楷体" w:eastAsia="楷体"/>
        </w:rPr>
        <w:t>（责任单位：各县〈市、区〉政府、省级产业集聚区管委会，市考绩办、市经信委）</w:t>
      </w:r>
    </w:p>
    <w:p>
      <w:pPr>
        <w:pStyle w:val="14"/>
        <w:widowControl w:val="0"/>
        <w:autoSpaceDN w:val="0"/>
        <w:snapToGrid/>
        <w:spacing w:line="600" w:lineRule="exact"/>
        <w:ind w:firstLine="640" w:firstLineChars="200"/>
        <w:rPr>
          <w:rFonts w:ascii="Times New Roman" w:hAnsi="Times New Roman"/>
        </w:rPr>
      </w:pPr>
      <w:r>
        <w:rPr>
          <w:rFonts w:hint="eastAsia" w:ascii="Times New Roman" w:hAnsi="Times New Roman" w:eastAsia="楷体_GB2312"/>
        </w:rPr>
        <w:t>22</w:t>
      </w:r>
      <w:r>
        <w:rPr>
          <w:rFonts w:ascii="Times New Roman" w:hAnsi="Times New Roman" w:eastAsia="楷体_GB2312"/>
        </w:rPr>
        <w:t>.加大宣传力度。</w:t>
      </w:r>
      <w:r>
        <w:rPr>
          <w:rFonts w:ascii="Times New Roman" w:hAnsi="仿宋_GB2312"/>
        </w:rPr>
        <w:t>要充分发挥新闻舆论的宣传、引导和监督作用，利用各种媒体宣传手段，加大</w:t>
      </w:r>
      <w:r>
        <w:rPr>
          <w:rFonts w:ascii="Times New Roman" w:hAnsi="Times New Roman"/>
        </w:rPr>
        <w:t>“</w:t>
      </w:r>
      <w:r>
        <w:rPr>
          <w:rFonts w:ascii="Times New Roman" w:hAnsi="仿宋_GB2312"/>
        </w:rPr>
        <w:t>百园万企</w:t>
      </w:r>
      <w:r>
        <w:rPr>
          <w:rFonts w:ascii="Times New Roman" w:hAnsi="Times New Roman"/>
        </w:rPr>
        <w:t>”</w:t>
      </w:r>
      <w:r>
        <w:rPr>
          <w:rFonts w:ascii="Times New Roman" w:hAnsi="仿宋_GB2312"/>
        </w:rPr>
        <w:t>小微企业园示范引领工程行动宣传力度，及时推广宣传先进经验做法、典型样板，切实营造小微企业园建设的良好氛围。</w:t>
      </w:r>
      <w:r>
        <w:rPr>
          <w:rFonts w:hint="eastAsia" w:ascii="楷体" w:hAnsi="楷体" w:eastAsia="楷体"/>
        </w:rPr>
        <w:t>（责任单位：各县〈市、区〉政府、省级产业集聚区管委会，市委宣传部、市经信委）</w:t>
      </w:r>
    </w:p>
    <w:p>
      <w:pPr>
        <w:pStyle w:val="14"/>
        <w:autoSpaceDN w:val="0"/>
        <w:snapToGrid/>
        <w:spacing w:line="600" w:lineRule="exact"/>
        <w:ind w:firstLine="640" w:firstLineChars="200"/>
        <w:rPr>
          <w:rFonts w:ascii="Times New Roman" w:hAnsi="仿宋_GB2312"/>
        </w:rPr>
      </w:pPr>
      <w:r>
        <w:rPr>
          <w:rFonts w:hint="eastAsia" w:ascii="Times New Roman" w:hAnsi="仿宋_GB2312"/>
        </w:rPr>
        <w:t>以上规范小微企业园企业入园、用地出让、销售管理的限制性规定，各地须在土地出让公告中予以明确，并通过土地出让合同和项目管理合同予以约定，付诸实施。</w:t>
      </w:r>
    </w:p>
    <w:p>
      <w:pPr>
        <w:pStyle w:val="14"/>
        <w:autoSpaceDN w:val="0"/>
        <w:snapToGrid/>
        <w:spacing w:line="600" w:lineRule="exact"/>
        <w:ind w:firstLine="640" w:firstLineChars="200"/>
        <w:rPr>
          <w:rFonts w:ascii="Times New Roman" w:hAnsi="仿宋_GB2312"/>
          <w:color w:val="FF0000"/>
          <w:u w:val="single"/>
        </w:rPr>
      </w:pPr>
      <w:r>
        <w:rPr>
          <w:rFonts w:hint="eastAsia" w:ascii="Times New Roman" w:hAnsi="仿宋_GB2312"/>
        </w:rPr>
        <w:t>本实施意见自2019年1月1日起施行，各县（市、区）政府（省级产业集聚区管委会）根据本实施意见制定实施细则。</w:t>
      </w:r>
    </w:p>
    <w:p>
      <w:pPr>
        <w:pStyle w:val="14"/>
        <w:autoSpaceDN w:val="0"/>
        <w:snapToGrid/>
        <w:spacing w:line="600" w:lineRule="exact"/>
        <w:ind w:firstLine="640" w:firstLineChars="200"/>
        <w:rPr>
          <w:rFonts w:ascii="Times New Roman" w:hAnsi="仿宋_GB2312"/>
        </w:rPr>
      </w:pPr>
    </w:p>
    <w:p>
      <w:pPr>
        <w:pStyle w:val="14"/>
        <w:autoSpaceDN w:val="0"/>
        <w:snapToGrid/>
        <w:spacing w:line="600" w:lineRule="exact"/>
        <w:ind w:firstLine="640" w:firstLineChars="200"/>
        <w:rPr>
          <w:rFonts w:ascii="Times New Roman" w:hAnsi="仿宋_GB2312"/>
        </w:rPr>
      </w:pPr>
      <w:r>
        <w:rPr>
          <w:rFonts w:ascii="Times New Roman" w:hAnsi="仿宋_GB2312"/>
        </w:rPr>
        <w:t>附件：温州市</w:t>
      </w:r>
      <w:r>
        <w:rPr>
          <w:rFonts w:hint="eastAsia" w:ascii="Times New Roman" w:hAnsi="Times New Roman"/>
        </w:rPr>
        <w:t>“</w:t>
      </w:r>
      <w:r>
        <w:rPr>
          <w:rFonts w:ascii="Times New Roman" w:hAnsi="仿宋_GB2312"/>
        </w:rPr>
        <w:t>百园万企</w:t>
      </w:r>
      <w:r>
        <w:rPr>
          <w:rFonts w:hint="eastAsia" w:ascii="Times New Roman" w:hAnsi="Times New Roman"/>
        </w:rPr>
        <w:t>”</w:t>
      </w:r>
      <w:r>
        <w:rPr>
          <w:rFonts w:ascii="Times New Roman" w:hAnsi="仿宋_GB2312"/>
        </w:rPr>
        <w:t>小微企业园示范引领工程行动</w:t>
      </w:r>
    </w:p>
    <w:p>
      <w:pPr>
        <w:pStyle w:val="14"/>
        <w:autoSpaceDN w:val="0"/>
        <w:snapToGrid/>
        <w:spacing w:line="600" w:lineRule="exact"/>
        <w:ind w:firstLine="1600" w:firstLineChars="500"/>
        <w:rPr>
          <w:rFonts w:ascii="Times New Roman" w:hAnsi="仿宋_GB2312"/>
        </w:rPr>
      </w:pPr>
      <w:r>
        <w:rPr>
          <w:rFonts w:ascii="Times New Roman" w:hAnsi="仿宋_GB2312"/>
        </w:rPr>
        <w:t>计划表</w:t>
      </w:r>
    </w:p>
    <w:p>
      <w:pPr>
        <w:pStyle w:val="14"/>
        <w:autoSpaceDN w:val="0"/>
        <w:snapToGrid/>
        <w:spacing w:line="600" w:lineRule="exact"/>
        <w:ind w:firstLine="1600" w:firstLineChars="500"/>
        <w:rPr>
          <w:rFonts w:ascii="Times New Roman" w:hAnsi="仿宋_GB2312"/>
          <w:u w:val="single"/>
        </w:rPr>
      </w:pPr>
    </w:p>
    <w:p>
      <w:pPr>
        <w:pStyle w:val="14"/>
        <w:autoSpaceDN w:val="0"/>
        <w:snapToGrid/>
        <w:spacing w:line="600" w:lineRule="exact"/>
        <w:ind w:firstLine="1600" w:firstLineChars="500"/>
        <w:rPr>
          <w:rFonts w:ascii="Times New Roman" w:hAnsi="仿宋_GB2312"/>
          <w:u w:val="single"/>
        </w:rPr>
      </w:pPr>
    </w:p>
    <w:p>
      <w:pPr>
        <w:pStyle w:val="14"/>
        <w:autoSpaceDN w:val="0"/>
        <w:snapToGrid/>
        <w:spacing w:line="600" w:lineRule="exact"/>
        <w:ind w:firstLine="1600" w:firstLineChars="500"/>
        <w:rPr>
          <w:rFonts w:ascii="Times New Roman" w:hAnsi="仿宋_GB2312"/>
          <w:u w:val="single"/>
        </w:rPr>
        <w:sectPr>
          <w:footerReference r:id="rId3" w:type="default"/>
          <w:pgSz w:w="11906" w:h="16838"/>
          <w:pgMar w:top="1531" w:right="1474" w:bottom="1985" w:left="1588" w:header="851" w:footer="992" w:gutter="0"/>
          <w:pgNumType w:fmt="numberInDash"/>
          <w:cols w:space="720" w:num="1"/>
          <w:docGrid w:type="lines" w:linePitch="555" w:charSpace="0"/>
        </w:sectPr>
      </w:pPr>
    </w:p>
    <w:p>
      <w:pPr>
        <w:spacing w:line="40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附件</w:t>
      </w:r>
    </w:p>
    <w:p>
      <w:pPr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温州市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“</w:t>
      </w:r>
      <w:r>
        <w:rPr>
          <w:rFonts w:ascii="Times New Roman" w:hAnsi="Times New Roman" w:eastAsia="方正小标宋简体" w:cs="Times New Roman"/>
          <w:sz w:val="44"/>
          <w:szCs w:val="44"/>
        </w:rPr>
        <w:t>百园万企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”</w:t>
      </w:r>
      <w:r>
        <w:rPr>
          <w:rFonts w:ascii="Times New Roman" w:hAnsi="Times New Roman" w:eastAsia="方正小标宋简体" w:cs="Times New Roman"/>
          <w:sz w:val="44"/>
          <w:szCs w:val="44"/>
        </w:rPr>
        <w:t>小微企业园示范引领工程行动计划表（一）</w:t>
      </w:r>
    </w:p>
    <w:tbl>
      <w:tblPr>
        <w:tblStyle w:val="7"/>
        <w:tblW w:w="1307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7"/>
        <w:gridCol w:w="967"/>
        <w:gridCol w:w="1249"/>
        <w:gridCol w:w="1297"/>
        <w:gridCol w:w="1397"/>
        <w:gridCol w:w="1367"/>
        <w:gridCol w:w="1330"/>
        <w:gridCol w:w="1572"/>
        <w:gridCol w:w="147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41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4"/>
              </w:rPr>
              <w:t>县（市、区）</w:t>
            </w:r>
          </w:p>
        </w:tc>
        <w:tc>
          <w:tcPr>
            <w:tcW w:w="967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4"/>
              </w:rPr>
              <w:t>用地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4"/>
              </w:rPr>
              <w:t>（亩）</w:t>
            </w:r>
          </w:p>
        </w:tc>
        <w:tc>
          <w:tcPr>
            <w:tcW w:w="124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4"/>
              </w:rPr>
              <w:t>建筑面积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4"/>
              </w:rPr>
              <w:t>（万㎡）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4"/>
              </w:rPr>
              <w:t>2019年</w:t>
            </w:r>
          </w:p>
        </w:tc>
        <w:tc>
          <w:tcPr>
            <w:tcW w:w="269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4"/>
              </w:rPr>
              <w:t>2020年</w:t>
            </w:r>
          </w:p>
        </w:tc>
        <w:tc>
          <w:tcPr>
            <w:tcW w:w="304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4"/>
              </w:rPr>
              <w:t>2021年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41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Cs/>
                <w:kern w:val="0"/>
                <w:sz w:val="24"/>
              </w:rPr>
            </w:pPr>
          </w:p>
        </w:tc>
        <w:tc>
          <w:tcPr>
            <w:tcW w:w="96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Cs/>
                <w:kern w:val="0"/>
                <w:sz w:val="24"/>
              </w:rPr>
            </w:pPr>
          </w:p>
        </w:tc>
        <w:tc>
          <w:tcPr>
            <w:tcW w:w="124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Cs/>
                <w:kern w:val="0"/>
                <w:sz w:val="24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4"/>
              </w:rPr>
              <w:t>开工数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4"/>
              </w:rPr>
              <w:t>（亩）</w:t>
            </w:r>
          </w:p>
        </w:tc>
        <w:tc>
          <w:tcPr>
            <w:tcW w:w="1397" w:type="dxa"/>
          </w:tcPr>
          <w:p>
            <w:pPr>
              <w:jc w:val="center"/>
              <w:rPr>
                <w:rFonts w:ascii="Times New Roman" w:hAnsi="Times New Roman" w:eastAsia="黑体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4"/>
              </w:rPr>
              <w:t>竣工数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4"/>
              </w:rPr>
              <w:t>（万㎡）</w:t>
            </w:r>
          </w:p>
        </w:tc>
        <w:tc>
          <w:tcPr>
            <w:tcW w:w="136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4"/>
              </w:rPr>
              <w:t>开工数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4"/>
              </w:rPr>
              <w:t>（亩）</w:t>
            </w:r>
          </w:p>
        </w:tc>
        <w:tc>
          <w:tcPr>
            <w:tcW w:w="133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4"/>
              </w:rPr>
              <w:t>竣工数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4"/>
              </w:rPr>
              <w:t>（万㎡）</w:t>
            </w:r>
          </w:p>
        </w:tc>
        <w:tc>
          <w:tcPr>
            <w:tcW w:w="157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4"/>
              </w:rPr>
              <w:t>开工数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4"/>
              </w:rPr>
              <w:t>（亩）</w:t>
            </w: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4"/>
              </w:rPr>
              <w:t>竣工数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4"/>
              </w:rPr>
              <w:t>（万㎡）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2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温州市</w:t>
            </w:r>
          </w:p>
        </w:tc>
        <w:tc>
          <w:tcPr>
            <w:tcW w:w="9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8000</w:t>
            </w:r>
          </w:p>
        </w:tc>
        <w:tc>
          <w:tcPr>
            <w:tcW w:w="12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1000</w:t>
            </w:r>
          </w:p>
        </w:tc>
        <w:tc>
          <w:tcPr>
            <w:tcW w:w="12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2800</w:t>
            </w:r>
          </w:p>
        </w:tc>
        <w:tc>
          <w:tcPr>
            <w:tcW w:w="139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295</w:t>
            </w:r>
          </w:p>
        </w:tc>
        <w:tc>
          <w:tcPr>
            <w:tcW w:w="13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2800</w:t>
            </w:r>
          </w:p>
        </w:tc>
        <w:tc>
          <w:tcPr>
            <w:tcW w:w="13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335</w:t>
            </w:r>
          </w:p>
        </w:tc>
        <w:tc>
          <w:tcPr>
            <w:tcW w:w="157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2400</w:t>
            </w:r>
          </w:p>
        </w:tc>
        <w:tc>
          <w:tcPr>
            <w:tcW w:w="14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370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2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鹿城区</w:t>
            </w:r>
          </w:p>
        </w:tc>
        <w:tc>
          <w:tcPr>
            <w:tcW w:w="9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400</w:t>
            </w:r>
          </w:p>
        </w:tc>
        <w:tc>
          <w:tcPr>
            <w:tcW w:w="12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50</w:t>
            </w:r>
          </w:p>
        </w:tc>
        <w:tc>
          <w:tcPr>
            <w:tcW w:w="12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150</w:t>
            </w:r>
          </w:p>
        </w:tc>
        <w:tc>
          <w:tcPr>
            <w:tcW w:w="139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13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150</w:t>
            </w:r>
          </w:p>
        </w:tc>
        <w:tc>
          <w:tcPr>
            <w:tcW w:w="13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157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100</w:t>
            </w:r>
          </w:p>
        </w:tc>
        <w:tc>
          <w:tcPr>
            <w:tcW w:w="14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2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龙湾区</w:t>
            </w:r>
          </w:p>
        </w:tc>
        <w:tc>
          <w:tcPr>
            <w:tcW w:w="9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550</w:t>
            </w:r>
          </w:p>
        </w:tc>
        <w:tc>
          <w:tcPr>
            <w:tcW w:w="12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70</w:t>
            </w:r>
          </w:p>
        </w:tc>
        <w:tc>
          <w:tcPr>
            <w:tcW w:w="12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200</w:t>
            </w:r>
          </w:p>
        </w:tc>
        <w:tc>
          <w:tcPr>
            <w:tcW w:w="139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</w:t>
            </w:r>
          </w:p>
        </w:tc>
        <w:tc>
          <w:tcPr>
            <w:tcW w:w="13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200</w:t>
            </w:r>
          </w:p>
        </w:tc>
        <w:tc>
          <w:tcPr>
            <w:tcW w:w="13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25</w:t>
            </w:r>
          </w:p>
        </w:tc>
        <w:tc>
          <w:tcPr>
            <w:tcW w:w="157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150</w:t>
            </w:r>
          </w:p>
        </w:tc>
        <w:tc>
          <w:tcPr>
            <w:tcW w:w="14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2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瓯海区</w:t>
            </w:r>
          </w:p>
        </w:tc>
        <w:tc>
          <w:tcPr>
            <w:tcW w:w="9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450</w:t>
            </w:r>
          </w:p>
        </w:tc>
        <w:tc>
          <w:tcPr>
            <w:tcW w:w="12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55</w:t>
            </w:r>
          </w:p>
        </w:tc>
        <w:tc>
          <w:tcPr>
            <w:tcW w:w="12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150</w:t>
            </w:r>
          </w:p>
        </w:tc>
        <w:tc>
          <w:tcPr>
            <w:tcW w:w="139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13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150</w:t>
            </w:r>
          </w:p>
        </w:tc>
        <w:tc>
          <w:tcPr>
            <w:tcW w:w="13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</w:t>
            </w:r>
          </w:p>
        </w:tc>
        <w:tc>
          <w:tcPr>
            <w:tcW w:w="157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150</w:t>
            </w:r>
          </w:p>
        </w:tc>
        <w:tc>
          <w:tcPr>
            <w:tcW w:w="14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2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洞头区</w:t>
            </w:r>
          </w:p>
        </w:tc>
        <w:tc>
          <w:tcPr>
            <w:tcW w:w="9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300</w:t>
            </w:r>
          </w:p>
        </w:tc>
        <w:tc>
          <w:tcPr>
            <w:tcW w:w="12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35</w:t>
            </w:r>
          </w:p>
        </w:tc>
        <w:tc>
          <w:tcPr>
            <w:tcW w:w="12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100</w:t>
            </w:r>
          </w:p>
        </w:tc>
        <w:tc>
          <w:tcPr>
            <w:tcW w:w="139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13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100</w:t>
            </w:r>
          </w:p>
        </w:tc>
        <w:tc>
          <w:tcPr>
            <w:tcW w:w="13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157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100</w:t>
            </w:r>
          </w:p>
        </w:tc>
        <w:tc>
          <w:tcPr>
            <w:tcW w:w="14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2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乐清市</w:t>
            </w:r>
          </w:p>
        </w:tc>
        <w:tc>
          <w:tcPr>
            <w:tcW w:w="9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1350</w:t>
            </w:r>
          </w:p>
        </w:tc>
        <w:tc>
          <w:tcPr>
            <w:tcW w:w="12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170</w:t>
            </w:r>
          </w:p>
        </w:tc>
        <w:tc>
          <w:tcPr>
            <w:tcW w:w="12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500</w:t>
            </w:r>
          </w:p>
        </w:tc>
        <w:tc>
          <w:tcPr>
            <w:tcW w:w="139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50</w:t>
            </w:r>
          </w:p>
        </w:tc>
        <w:tc>
          <w:tcPr>
            <w:tcW w:w="13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450</w:t>
            </w:r>
          </w:p>
        </w:tc>
        <w:tc>
          <w:tcPr>
            <w:tcW w:w="13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60</w:t>
            </w:r>
          </w:p>
        </w:tc>
        <w:tc>
          <w:tcPr>
            <w:tcW w:w="157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400</w:t>
            </w:r>
          </w:p>
        </w:tc>
        <w:tc>
          <w:tcPr>
            <w:tcW w:w="14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60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2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瑞安市</w:t>
            </w:r>
          </w:p>
        </w:tc>
        <w:tc>
          <w:tcPr>
            <w:tcW w:w="9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1350</w:t>
            </w:r>
          </w:p>
        </w:tc>
        <w:tc>
          <w:tcPr>
            <w:tcW w:w="12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170</w:t>
            </w:r>
          </w:p>
        </w:tc>
        <w:tc>
          <w:tcPr>
            <w:tcW w:w="12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500</w:t>
            </w:r>
          </w:p>
        </w:tc>
        <w:tc>
          <w:tcPr>
            <w:tcW w:w="139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50</w:t>
            </w:r>
          </w:p>
        </w:tc>
        <w:tc>
          <w:tcPr>
            <w:tcW w:w="13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450</w:t>
            </w:r>
          </w:p>
        </w:tc>
        <w:tc>
          <w:tcPr>
            <w:tcW w:w="13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60</w:t>
            </w:r>
          </w:p>
        </w:tc>
        <w:tc>
          <w:tcPr>
            <w:tcW w:w="157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400</w:t>
            </w:r>
          </w:p>
        </w:tc>
        <w:tc>
          <w:tcPr>
            <w:tcW w:w="14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60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2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永嘉县</w:t>
            </w:r>
          </w:p>
        </w:tc>
        <w:tc>
          <w:tcPr>
            <w:tcW w:w="9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600</w:t>
            </w:r>
          </w:p>
        </w:tc>
        <w:tc>
          <w:tcPr>
            <w:tcW w:w="12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75</w:t>
            </w:r>
          </w:p>
        </w:tc>
        <w:tc>
          <w:tcPr>
            <w:tcW w:w="12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200</w:t>
            </w:r>
          </w:p>
        </w:tc>
        <w:tc>
          <w:tcPr>
            <w:tcW w:w="139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25</w:t>
            </w:r>
          </w:p>
        </w:tc>
        <w:tc>
          <w:tcPr>
            <w:tcW w:w="13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200</w:t>
            </w:r>
          </w:p>
        </w:tc>
        <w:tc>
          <w:tcPr>
            <w:tcW w:w="13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25</w:t>
            </w:r>
          </w:p>
        </w:tc>
        <w:tc>
          <w:tcPr>
            <w:tcW w:w="157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200</w:t>
            </w:r>
          </w:p>
        </w:tc>
        <w:tc>
          <w:tcPr>
            <w:tcW w:w="14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2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文成县</w:t>
            </w:r>
          </w:p>
        </w:tc>
        <w:tc>
          <w:tcPr>
            <w:tcW w:w="9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300</w:t>
            </w:r>
          </w:p>
        </w:tc>
        <w:tc>
          <w:tcPr>
            <w:tcW w:w="12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35</w:t>
            </w:r>
          </w:p>
        </w:tc>
        <w:tc>
          <w:tcPr>
            <w:tcW w:w="12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100</w:t>
            </w:r>
          </w:p>
        </w:tc>
        <w:tc>
          <w:tcPr>
            <w:tcW w:w="139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13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100</w:t>
            </w:r>
          </w:p>
        </w:tc>
        <w:tc>
          <w:tcPr>
            <w:tcW w:w="13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157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100</w:t>
            </w:r>
          </w:p>
        </w:tc>
        <w:tc>
          <w:tcPr>
            <w:tcW w:w="14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2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平阳县</w:t>
            </w:r>
          </w:p>
        </w:tc>
        <w:tc>
          <w:tcPr>
            <w:tcW w:w="9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1050</w:t>
            </w:r>
          </w:p>
        </w:tc>
        <w:tc>
          <w:tcPr>
            <w:tcW w:w="12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135</w:t>
            </w:r>
          </w:p>
        </w:tc>
        <w:tc>
          <w:tcPr>
            <w:tcW w:w="12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350</w:t>
            </w:r>
          </w:p>
        </w:tc>
        <w:tc>
          <w:tcPr>
            <w:tcW w:w="139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40</w:t>
            </w:r>
          </w:p>
        </w:tc>
        <w:tc>
          <w:tcPr>
            <w:tcW w:w="13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400</w:t>
            </w:r>
          </w:p>
        </w:tc>
        <w:tc>
          <w:tcPr>
            <w:tcW w:w="13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45</w:t>
            </w:r>
          </w:p>
        </w:tc>
        <w:tc>
          <w:tcPr>
            <w:tcW w:w="157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300</w:t>
            </w:r>
          </w:p>
        </w:tc>
        <w:tc>
          <w:tcPr>
            <w:tcW w:w="14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2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泰顺县</w:t>
            </w:r>
          </w:p>
        </w:tc>
        <w:tc>
          <w:tcPr>
            <w:tcW w:w="9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300</w:t>
            </w:r>
          </w:p>
        </w:tc>
        <w:tc>
          <w:tcPr>
            <w:tcW w:w="12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35</w:t>
            </w:r>
          </w:p>
        </w:tc>
        <w:tc>
          <w:tcPr>
            <w:tcW w:w="12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100</w:t>
            </w:r>
          </w:p>
        </w:tc>
        <w:tc>
          <w:tcPr>
            <w:tcW w:w="139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13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100</w:t>
            </w:r>
          </w:p>
        </w:tc>
        <w:tc>
          <w:tcPr>
            <w:tcW w:w="13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157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100</w:t>
            </w:r>
          </w:p>
        </w:tc>
        <w:tc>
          <w:tcPr>
            <w:tcW w:w="14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2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苍南县</w:t>
            </w:r>
          </w:p>
        </w:tc>
        <w:tc>
          <w:tcPr>
            <w:tcW w:w="9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1050</w:t>
            </w:r>
          </w:p>
        </w:tc>
        <w:tc>
          <w:tcPr>
            <w:tcW w:w="12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135</w:t>
            </w:r>
          </w:p>
        </w:tc>
        <w:tc>
          <w:tcPr>
            <w:tcW w:w="12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350</w:t>
            </w:r>
          </w:p>
        </w:tc>
        <w:tc>
          <w:tcPr>
            <w:tcW w:w="139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40</w:t>
            </w:r>
          </w:p>
        </w:tc>
        <w:tc>
          <w:tcPr>
            <w:tcW w:w="13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400</w:t>
            </w:r>
          </w:p>
        </w:tc>
        <w:tc>
          <w:tcPr>
            <w:tcW w:w="13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45</w:t>
            </w:r>
          </w:p>
        </w:tc>
        <w:tc>
          <w:tcPr>
            <w:tcW w:w="157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300</w:t>
            </w:r>
          </w:p>
        </w:tc>
        <w:tc>
          <w:tcPr>
            <w:tcW w:w="14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241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瓯江口产业集聚区</w:t>
            </w:r>
          </w:p>
        </w:tc>
        <w:tc>
          <w:tcPr>
            <w:tcW w:w="9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12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12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139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13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13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157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14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241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浙南产业集聚区</w:t>
            </w:r>
          </w:p>
        </w:tc>
        <w:tc>
          <w:tcPr>
            <w:tcW w:w="9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300</w:t>
            </w:r>
          </w:p>
        </w:tc>
        <w:tc>
          <w:tcPr>
            <w:tcW w:w="12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35</w:t>
            </w:r>
          </w:p>
        </w:tc>
        <w:tc>
          <w:tcPr>
            <w:tcW w:w="12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100</w:t>
            </w:r>
          </w:p>
        </w:tc>
        <w:tc>
          <w:tcPr>
            <w:tcW w:w="139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13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100</w:t>
            </w:r>
          </w:p>
        </w:tc>
        <w:tc>
          <w:tcPr>
            <w:tcW w:w="13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157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100</w:t>
            </w:r>
          </w:p>
        </w:tc>
        <w:tc>
          <w:tcPr>
            <w:tcW w:w="14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15</w:t>
            </w:r>
          </w:p>
        </w:tc>
      </w:tr>
    </w:tbl>
    <w:p>
      <w:pPr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温州市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“</w:t>
      </w:r>
      <w:r>
        <w:rPr>
          <w:rFonts w:ascii="Times New Roman" w:hAnsi="Times New Roman" w:eastAsia="方正小标宋简体" w:cs="Times New Roman"/>
          <w:sz w:val="44"/>
          <w:szCs w:val="44"/>
        </w:rPr>
        <w:t>百园万企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”</w:t>
      </w:r>
      <w:r>
        <w:rPr>
          <w:rFonts w:ascii="Times New Roman" w:hAnsi="Times New Roman" w:eastAsia="方正小标宋简体" w:cs="Times New Roman"/>
          <w:sz w:val="44"/>
          <w:szCs w:val="44"/>
        </w:rPr>
        <w:t>小微企业园示范引领工程行动计划表（二）</w:t>
      </w:r>
    </w:p>
    <w:tbl>
      <w:tblPr>
        <w:tblStyle w:val="7"/>
        <w:tblW w:w="1281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3"/>
        <w:gridCol w:w="1752"/>
        <w:gridCol w:w="1701"/>
        <w:gridCol w:w="1735"/>
        <w:gridCol w:w="1701"/>
        <w:gridCol w:w="1801"/>
        <w:gridCol w:w="21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1993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4"/>
              </w:rPr>
              <w:t>县（市、区）</w:t>
            </w:r>
          </w:p>
        </w:tc>
        <w:tc>
          <w:tcPr>
            <w:tcW w:w="1752" w:type="dxa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4"/>
              </w:rPr>
              <w:t>工业小微园</w:t>
            </w:r>
            <w:r>
              <w:rPr>
                <w:rFonts w:hint="eastAsia" w:ascii="Times New Roman" w:hAnsi="Times New Roman" w:eastAsia="黑体" w:cs="Times New Roman"/>
                <w:bCs/>
                <w:kern w:val="0"/>
                <w:sz w:val="24"/>
              </w:rPr>
              <w:t>（个）</w:t>
            </w:r>
          </w:p>
        </w:tc>
        <w:tc>
          <w:tcPr>
            <w:tcW w:w="1701" w:type="dxa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4"/>
              </w:rPr>
              <w:t>电商园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bCs/>
                <w:kern w:val="0"/>
                <w:sz w:val="24"/>
              </w:rPr>
              <w:t>（个）</w:t>
            </w:r>
          </w:p>
        </w:tc>
        <w:tc>
          <w:tcPr>
            <w:tcW w:w="1735" w:type="dxa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4"/>
              </w:rPr>
              <w:t>科创园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bCs/>
                <w:kern w:val="0"/>
                <w:sz w:val="24"/>
              </w:rPr>
              <w:t>（个）</w:t>
            </w:r>
          </w:p>
        </w:tc>
        <w:tc>
          <w:tcPr>
            <w:tcW w:w="1701" w:type="dxa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4"/>
              </w:rPr>
              <w:t>引导入园企业数</w:t>
            </w:r>
            <w:r>
              <w:rPr>
                <w:rFonts w:hint="eastAsia" w:ascii="Times New Roman" w:hAnsi="Times New Roman" w:eastAsia="黑体" w:cs="Times New Roman"/>
                <w:bCs/>
                <w:kern w:val="0"/>
                <w:sz w:val="24"/>
              </w:rPr>
              <w:t>（家）</w:t>
            </w:r>
          </w:p>
        </w:tc>
        <w:tc>
          <w:tcPr>
            <w:tcW w:w="1801" w:type="dxa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4"/>
              </w:rPr>
              <w:t>小升规企业数</w:t>
            </w:r>
            <w:r>
              <w:rPr>
                <w:rFonts w:hint="eastAsia" w:ascii="Times New Roman" w:hAnsi="Times New Roman" w:eastAsia="黑体" w:cs="Times New Roman"/>
                <w:bCs/>
                <w:kern w:val="0"/>
                <w:sz w:val="24"/>
              </w:rPr>
              <w:t>（家）</w:t>
            </w:r>
          </w:p>
        </w:tc>
        <w:tc>
          <w:tcPr>
            <w:tcW w:w="2132" w:type="dxa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4"/>
              </w:rPr>
              <w:t>专精特新培育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4"/>
              </w:rPr>
              <w:t>企业数</w:t>
            </w:r>
            <w:r>
              <w:rPr>
                <w:rFonts w:hint="eastAsia" w:ascii="Times New Roman" w:hAnsi="Times New Roman" w:eastAsia="黑体" w:cs="Times New Roman"/>
                <w:bCs/>
                <w:kern w:val="0"/>
                <w:sz w:val="24"/>
              </w:rPr>
              <w:t>（家）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温州市</w:t>
            </w:r>
          </w:p>
        </w:tc>
        <w:tc>
          <w:tcPr>
            <w:tcW w:w="175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</w:t>
            </w:r>
          </w:p>
        </w:tc>
        <w:tc>
          <w:tcPr>
            <w:tcW w:w="173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10000</w:t>
            </w:r>
          </w:p>
        </w:tc>
        <w:tc>
          <w:tcPr>
            <w:tcW w:w="180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1000</w:t>
            </w:r>
          </w:p>
        </w:tc>
        <w:tc>
          <w:tcPr>
            <w:tcW w:w="213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鹿城区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550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50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龙湾区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700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60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瓯海区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650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60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洞头区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250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30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乐清市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1600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170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170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瑞安市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1600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170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170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永嘉县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800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90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文成县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250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30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平阳县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1200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110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110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泰顺县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250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30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苍南县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1200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110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110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瓯江口产业集聚区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00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20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浙南产业集聚区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850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70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70</w:t>
            </w:r>
          </w:p>
        </w:tc>
      </w:tr>
    </w:tbl>
    <w:p>
      <w:pPr>
        <w:spacing w:line="240" w:lineRule="exact"/>
        <w:jc w:val="left"/>
        <w:rPr>
          <w:rFonts w:ascii="仿宋_GB2312" w:hAnsi="黑体" w:eastAsia="仿宋_GB2312" w:cs="黑体"/>
          <w:sz w:val="32"/>
          <w:szCs w:val="32"/>
        </w:rPr>
      </w:pPr>
    </w:p>
    <w:sectPr>
      <w:footerReference r:id="rId4" w:type="default"/>
      <w:pgSz w:w="16838" w:h="11906" w:orient="landscape"/>
      <w:pgMar w:top="1531" w:right="2098" w:bottom="1418" w:left="1985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46564958"/>
      <w:docPartObj>
        <w:docPartGallery w:val="autotext"/>
      </w:docPartObj>
    </w:sdtPr>
    <w:sdtEndPr>
      <w:rPr>
        <w:rFonts w:asciiTheme="minorEastAsia" w:hAnsiTheme="minorEastAsia"/>
        <w:sz w:val="24"/>
        <w:szCs w:val="24"/>
      </w:rPr>
    </w:sdtEndPr>
    <w:sdtContent>
      <w:p>
        <w:pPr>
          <w:pStyle w:val="4"/>
          <w:jc w:val="center"/>
          <w:rPr>
            <w:rFonts w:asciiTheme="minorEastAsia" w:hAnsiTheme="minorEastAsia"/>
            <w:sz w:val="24"/>
            <w:szCs w:val="24"/>
          </w:rPr>
        </w:pPr>
        <w:r>
          <w:rPr>
            <w:rFonts w:asciiTheme="minorEastAsia" w:hAnsiTheme="minorEastAsia"/>
            <w:sz w:val="24"/>
            <w:szCs w:val="24"/>
          </w:rPr>
          <w:fldChar w:fldCharType="begin"/>
        </w:r>
        <w:r>
          <w:rPr>
            <w:rFonts w:asciiTheme="minorEastAsia" w:hAnsiTheme="minorEastAsia"/>
            <w:sz w:val="24"/>
            <w:szCs w:val="24"/>
          </w:rPr>
          <w:instrText xml:space="preserve"> PAGE   \* MERGEFORMAT </w:instrText>
        </w:r>
        <w:r>
          <w:rPr>
            <w:rFonts w:asciiTheme="minorEastAsia" w:hAnsiTheme="minorEastAsia"/>
            <w:sz w:val="24"/>
            <w:szCs w:val="24"/>
          </w:rPr>
          <w:fldChar w:fldCharType="separate"/>
        </w:r>
        <w:r>
          <w:rPr>
            <w:rFonts w:asciiTheme="minorEastAsia" w:hAnsiTheme="minorEastAsia"/>
            <w:sz w:val="24"/>
            <w:szCs w:val="24"/>
            <w:lang w:val="zh-CN"/>
          </w:rPr>
          <w:t>-</w:t>
        </w:r>
        <w:r>
          <w:rPr>
            <w:rFonts w:asciiTheme="minorEastAsia" w:hAnsiTheme="minorEastAsia"/>
            <w:sz w:val="24"/>
            <w:szCs w:val="24"/>
          </w:rPr>
          <w:t xml:space="preserve"> 1 -</w:t>
        </w:r>
        <w:r>
          <w:rPr>
            <w:rFonts w:asciiTheme="minorEastAsia" w:hAnsiTheme="minorEastAsia"/>
            <w:sz w:val="24"/>
            <w:szCs w:val="24"/>
          </w:rPr>
          <w:fldChar w:fldCharType="end"/>
        </w:r>
      </w:p>
    </w:sdtContent>
  </w:sdt>
  <w:p>
    <w:pPr>
      <w:pStyle w:val="4"/>
      <w:rPr>
        <w:rFonts w:asciiTheme="minorEastAsia" w:hAnsiTheme="minorEastAsia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rFonts w:hint="eastAsia"/>
      </w:rPr>
      <w:t>-</w:t>
    </w: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12</w:t>
    </w:r>
    <w:r>
      <w:rPr>
        <w:lang w:val="zh-CN"/>
      </w:rPr>
      <w:fldChar w:fldCharType="end"/>
    </w:r>
    <w:r>
      <w:rPr>
        <w:rFonts w:hint="eastAsia"/>
      </w:rPr>
      <w:t>-</w: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55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EwNDIxMDQ4YjliZjBkMmE1ZGY4NTQ1Y2FmYTU1OTkifQ=="/>
  </w:docVars>
  <w:rsids>
    <w:rsidRoot w:val="00E120B8"/>
    <w:rsid w:val="00004708"/>
    <w:rsid w:val="00004A0C"/>
    <w:rsid w:val="000053AA"/>
    <w:rsid w:val="00005CB6"/>
    <w:rsid w:val="0001011A"/>
    <w:rsid w:val="0001088A"/>
    <w:rsid w:val="00012BF2"/>
    <w:rsid w:val="00012DAC"/>
    <w:rsid w:val="00014224"/>
    <w:rsid w:val="00016B69"/>
    <w:rsid w:val="000170DD"/>
    <w:rsid w:val="00022ED3"/>
    <w:rsid w:val="000270BC"/>
    <w:rsid w:val="00032D9D"/>
    <w:rsid w:val="0003376F"/>
    <w:rsid w:val="000408EB"/>
    <w:rsid w:val="00044569"/>
    <w:rsid w:val="00046FF9"/>
    <w:rsid w:val="00050946"/>
    <w:rsid w:val="00056086"/>
    <w:rsid w:val="00057EAD"/>
    <w:rsid w:val="0006529D"/>
    <w:rsid w:val="000711B6"/>
    <w:rsid w:val="00075F65"/>
    <w:rsid w:val="00084AA0"/>
    <w:rsid w:val="00090196"/>
    <w:rsid w:val="00092A05"/>
    <w:rsid w:val="000953FC"/>
    <w:rsid w:val="000963F2"/>
    <w:rsid w:val="00097128"/>
    <w:rsid w:val="000A00CF"/>
    <w:rsid w:val="000A2574"/>
    <w:rsid w:val="000A7BF5"/>
    <w:rsid w:val="000B74C0"/>
    <w:rsid w:val="000C0F1E"/>
    <w:rsid w:val="000C706C"/>
    <w:rsid w:val="000E1734"/>
    <w:rsid w:val="000E3E2B"/>
    <w:rsid w:val="000E3F5B"/>
    <w:rsid w:val="000F6518"/>
    <w:rsid w:val="001015B3"/>
    <w:rsid w:val="00110895"/>
    <w:rsid w:val="001179B5"/>
    <w:rsid w:val="001205C5"/>
    <w:rsid w:val="00125573"/>
    <w:rsid w:val="001263CF"/>
    <w:rsid w:val="00130C4D"/>
    <w:rsid w:val="00131B1A"/>
    <w:rsid w:val="001427BD"/>
    <w:rsid w:val="0014407C"/>
    <w:rsid w:val="00152E7D"/>
    <w:rsid w:val="00153A36"/>
    <w:rsid w:val="001541B7"/>
    <w:rsid w:val="00162460"/>
    <w:rsid w:val="001627BF"/>
    <w:rsid w:val="0016335B"/>
    <w:rsid w:val="00164840"/>
    <w:rsid w:val="001701F0"/>
    <w:rsid w:val="00170F37"/>
    <w:rsid w:val="00176EB4"/>
    <w:rsid w:val="001773C1"/>
    <w:rsid w:val="00192359"/>
    <w:rsid w:val="0019359F"/>
    <w:rsid w:val="0019447D"/>
    <w:rsid w:val="00194506"/>
    <w:rsid w:val="00194A02"/>
    <w:rsid w:val="0019726A"/>
    <w:rsid w:val="001A13C8"/>
    <w:rsid w:val="001A7C27"/>
    <w:rsid w:val="001B293C"/>
    <w:rsid w:val="001B602A"/>
    <w:rsid w:val="001C2931"/>
    <w:rsid w:val="001C6455"/>
    <w:rsid w:val="001C7214"/>
    <w:rsid w:val="001E2DC0"/>
    <w:rsid w:val="001E479E"/>
    <w:rsid w:val="001F020F"/>
    <w:rsid w:val="001F5170"/>
    <w:rsid w:val="001F6A5D"/>
    <w:rsid w:val="001F6F1B"/>
    <w:rsid w:val="00203BDD"/>
    <w:rsid w:val="002047CF"/>
    <w:rsid w:val="00205448"/>
    <w:rsid w:val="00205B42"/>
    <w:rsid w:val="00206767"/>
    <w:rsid w:val="0020737F"/>
    <w:rsid w:val="00211A67"/>
    <w:rsid w:val="002131B4"/>
    <w:rsid w:val="00214146"/>
    <w:rsid w:val="00215850"/>
    <w:rsid w:val="00216307"/>
    <w:rsid w:val="002174EA"/>
    <w:rsid w:val="002273B5"/>
    <w:rsid w:val="00227739"/>
    <w:rsid w:val="00227ACF"/>
    <w:rsid w:val="002312E5"/>
    <w:rsid w:val="0023131D"/>
    <w:rsid w:val="0023253A"/>
    <w:rsid w:val="00232E34"/>
    <w:rsid w:val="00240D99"/>
    <w:rsid w:val="00243519"/>
    <w:rsid w:val="00243845"/>
    <w:rsid w:val="002475C2"/>
    <w:rsid w:val="002527BF"/>
    <w:rsid w:val="0025339A"/>
    <w:rsid w:val="00264247"/>
    <w:rsid w:val="00267550"/>
    <w:rsid w:val="00282AA3"/>
    <w:rsid w:val="00294B27"/>
    <w:rsid w:val="00294F19"/>
    <w:rsid w:val="002969D6"/>
    <w:rsid w:val="002A23E1"/>
    <w:rsid w:val="002A2E43"/>
    <w:rsid w:val="002B2EF5"/>
    <w:rsid w:val="002B7E8A"/>
    <w:rsid w:val="002C0777"/>
    <w:rsid w:val="002C0994"/>
    <w:rsid w:val="002C3424"/>
    <w:rsid w:val="002C5B73"/>
    <w:rsid w:val="002C5CF7"/>
    <w:rsid w:val="002C7CCE"/>
    <w:rsid w:val="002D0498"/>
    <w:rsid w:val="002E2644"/>
    <w:rsid w:val="002E7F6F"/>
    <w:rsid w:val="002F0F77"/>
    <w:rsid w:val="002F3432"/>
    <w:rsid w:val="002F3948"/>
    <w:rsid w:val="002F52F0"/>
    <w:rsid w:val="003047C2"/>
    <w:rsid w:val="00310B30"/>
    <w:rsid w:val="0031305E"/>
    <w:rsid w:val="00317B5E"/>
    <w:rsid w:val="00320289"/>
    <w:rsid w:val="00322F82"/>
    <w:rsid w:val="00327EC6"/>
    <w:rsid w:val="00335533"/>
    <w:rsid w:val="00346BAF"/>
    <w:rsid w:val="00355579"/>
    <w:rsid w:val="00361559"/>
    <w:rsid w:val="00367B00"/>
    <w:rsid w:val="00370DAB"/>
    <w:rsid w:val="003715C6"/>
    <w:rsid w:val="00372701"/>
    <w:rsid w:val="00374948"/>
    <w:rsid w:val="003805BE"/>
    <w:rsid w:val="00383894"/>
    <w:rsid w:val="00384D64"/>
    <w:rsid w:val="00386017"/>
    <w:rsid w:val="0039554A"/>
    <w:rsid w:val="003A106F"/>
    <w:rsid w:val="003A1254"/>
    <w:rsid w:val="003A6569"/>
    <w:rsid w:val="003A7050"/>
    <w:rsid w:val="003A7BB1"/>
    <w:rsid w:val="003A7D90"/>
    <w:rsid w:val="003B5BBF"/>
    <w:rsid w:val="003B7C80"/>
    <w:rsid w:val="003C1490"/>
    <w:rsid w:val="003C1C47"/>
    <w:rsid w:val="003C32B8"/>
    <w:rsid w:val="003C3B7B"/>
    <w:rsid w:val="003D3C42"/>
    <w:rsid w:val="003D637C"/>
    <w:rsid w:val="003D682F"/>
    <w:rsid w:val="003D68A0"/>
    <w:rsid w:val="003E09F8"/>
    <w:rsid w:val="003E0ABE"/>
    <w:rsid w:val="003E61E4"/>
    <w:rsid w:val="003F0007"/>
    <w:rsid w:val="003F0C04"/>
    <w:rsid w:val="003F0EA3"/>
    <w:rsid w:val="003F45F6"/>
    <w:rsid w:val="003F7987"/>
    <w:rsid w:val="003F7FD5"/>
    <w:rsid w:val="00400DEF"/>
    <w:rsid w:val="004010A6"/>
    <w:rsid w:val="00402B76"/>
    <w:rsid w:val="00403D01"/>
    <w:rsid w:val="00404943"/>
    <w:rsid w:val="004065A3"/>
    <w:rsid w:val="00406EEB"/>
    <w:rsid w:val="004079A7"/>
    <w:rsid w:val="00415B2B"/>
    <w:rsid w:val="00415E17"/>
    <w:rsid w:val="0041713E"/>
    <w:rsid w:val="00417293"/>
    <w:rsid w:val="0042193C"/>
    <w:rsid w:val="004251A6"/>
    <w:rsid w:val="00427095"/>
    <w:rsid w:val="0043077D"/>
    <w:rsid w:val="004338E8"/>
    <w:rsid w:val="00436D73"/>
    <w:rsid w:val="004406ED"/>
    <w:rsid w:val="00441BFF"/>
    <w:rsid w:val="004424DD"/>
    <w:rsid w:val="00443C49"/>
    <w:rsid w:val="0044577A"/>
    <w:rsid w:val="00454AB6"/>
    <w:rsid w:val="0046258C"/>
    <w:rsid w:val="00471CD8"/>
    <w:rsid w:val="00494D83"/>
    <w:rsid w:val="004965A6"/>
    <w:rsid w:val="004A145D"/>
    <w:rsid w:val="004A707F"/>
    <w:rsid w:val="004A715B"/>
    <w:rsid w:val="004A740E"/>
    <w:rsid w:val="004B0DBB"/>
    <w:rsid w:val="004B2ACE"/>
    <w:rsid w:val="004B47E3"/>
    <w:rsid w:val="004B6EE5"/>
    <w:rsid w:val="004D5D42"/>
    <w:rsid w:val="004D7ACA"/>
    <w:rsid w:val="004E2587"/>
    <w:rsid w:val="004E5682"/>
    <w:rsid w:val="004E708E"/>
    <w:rsid w:val="004F4274"/>
    <w:rsid w:val="004F6E79"/>
    <w:rsid w:val="0050275A"/>
    <w:rsid w:val="005029A3"/>
    <w:rsid w:val="0050540D"/>
    <w:rsid w:val="00506E92"/>
    <w:rsid w:val="00512018"/>
    <w:rsid w:val="00512809"/>
    <w:rsid w:val="005136DA"/>
    <w:rsid w:val="0051512F"/>
    <w:rsid w:val="005254D9"/>
    <w:rsid w:val="0052622A"/>
    <w:rsid w:val="0052654E"/>
    <w:rsid w:val="00530FA0"/>
    <w:rsid w:val="0053262F"/>
    <w:rsid w:val="0053557E"/>
    <w:rsid w:val="00536A98"/>
    <w:rsid w:val="0054025D"/>
    <w:rsid w:val="00541742"/>
    <w:rsid w:val="0055294C"/>
    <w:rsid w:val="0055429E"/>
    <w:rsid w:val="0055635E"/>
    <w:rsid w:val="00556765"/>
    <w:rsid w:val="0056222A"/>
    <w:rsid w:val="005704D8"/>
    <w:rsid w:val="0057416F"/>
    <w:rsid w:val="00575083"/>
    <w:rsid w:val="005816F9"/>
    <w:rsid w:val="005857E0"/>
    <w:rsid w:val="00593889"/>
    <w:rsid w:val="00596938"/>
    <w:rsid w:val="005A2864"/>
    <w:rsid w:val="005A2E8D"/>
    <w:rsid w:val="005A57B4"/>
    <w:rsid w:val="005A5987"/>
    <w:rsid w:val="005D35F2"/>
    <w:rsid w:val="005F22D0"/>
    <w:rsid w:val="00605BB2"/>
    <w:rsid w:val="006209B2"/>
    <w:rsid w:val="00621324"/>
    <w:rsid w:val="00623EB1"/>
    <w:rsid w:val="00624473"/>
    <w:rsid w:val="00625F7F"/>
    <w:rsid w:val="0063571D"/>
    <w:rsid w:val="00643D82"/>
    <w:rsid w:val="00646A82"/>
    <w:rsid w:val="00650AFB"/>
    <w:rsid w:val="006539B5"/>
    <w:rsid w:val="00655233"/>
    <w:rsid w:val="006604F2"/>
    <w:rsid w:val="006777CF"/>
    <w:rsid w:val="00677DD4"/>
    <w:rsid w:val="00686333"/>
    <w:rsid w:val="0069242C"/>
    <w:rsid w:val="006939F2"/>
    <w:rsid w:val="0069479E"/>
    <w:rsid w:val="00694A60"/>
    <w:rsid w:val="00694AFE"/>
    <w:rsid w:val="00694D68"/>
    <w:rsid w:val="00697638"/>
    <w:rsid w:val="006A1E07"/>
    <w:rsid w:val="006A28CE"/>
    <w:rsid w:val="006A5072"/>
    <w:rsid w:val="006B5FB5"/>
    <w:rsid w:val="006C45BD"/>
    <w:rsid w:val="006C48C9"/>
    <w:rsid w:val="006C4C68"/>
    <w:rsid w:val="006D15FD"/>
    <w:rsid w:val="006D4FAD"/>
    <w:rsid w:val="006E3B13"/>
    <w:rsid w:val="006E548A"/>
    <w:rsid w:val="006E5A99"/>
    <w:rsid w:val="006F23EF"/>
    <w:rsid w:val="006F6751"/>
    <w:rsid w:val="007120AE"/>
    <w:rsid w:val="00713154"/>
    <w:rsid w:val="00721A14"/>
    <w:rsid w:val="00722CF9"/>
    <w:rsid w:val="0073091F"/>
    <w:rsid w:val="007331DD"/>
    <w:rsid w:val="00736291"/>
    <w:rsid w:val="00737BD5"/>
    <w:rsid w:val="00746765"/>
    <w:rsid w:val="00750F6C"/>
    <w:rsid w:val="00752304"/>
    <w:rsid w:val="0075452E"/>
    <w:rsid w:val="00754BA4"/>
    <w:rsid w:val="00755C76"/>
    <w:rsid w:val="007574B8"/>
    <w:rsid w:val="0075750F"/>
    <w:rsid w:val="00757C04"/>
    <w:rsid w:val="007626C2"/>
    <w:rsid w:val="00763DD4"/>
    <w:rsid w:val="00765E19"/>
    <w:rsid w:val="00771ED8"/>
    <w:rsid w:val="00776808"/>
    <w:rsid w:val="007815B7"/>
    <w:rsid w:val="007817B6"/>
    <w:rsid w:val="00782F2F"/>
    <w:rsid w:val="00786352"/>
    <w:rsid w:val="00790CF4"/>
    <w:rsid w:val="00791B4C"/>
    <w:rsid w:val="00792C94"/>
    <w:rsid w:val="00793DDF"/>
    <w:rsid w:val="007A2F72"/>
    <w:rsid w:val="007A4D9B"/>
    <w:rsid w:val="007B484E"/>
    <w:rsid w:val="007B76A3"/>
    <w:rsid w:val="007B77B7"/>
    <w:rsid w:val="007C1764"/>
    <w:rsid w:val="007C30EA"/>
    <w:rsid w:val="007C34B0"/>
    <w:rsid w:val="007C6B89"/>
    <w:rsid w:val="007D0B66"/>
    <w:rsid w:val="007E0A06"/>
    <w:rsid w:val="007E1910"/>
    <w:rsid w:val="007E22EE"/>
    <w:rsid w:val="007E6672"/>
    <w:rsid w:val="007F2ECC"/>
    <w:rsid w:val="007F4FE4"/>
    <w:rsid w:val="00804885"/>
    <w:rsid w:val="0081185E"/>
    <w:rsid w:val="00814CC5"/>
    <w:rsid w:val="00820C00"/>
    <w:rsid w:val="00822D55"/>
    <w:rsid w:val="008243BA"/>
    <w:rsid w:val="00827ED2"/>
    <w:rsid w:val="00832B68"/>
    <w:rsid w:val="00834B3F"/>
    <w:rsid w:val="00834C54"/>
    <w:rsid w:val="008404B0"/>
    <w:rsid w:val="00843C98"/>
    <w:rsid w:val="00845E3B"/>
    <w:rsid w:val="00850C75"/>
    <w:rsid w:val="00852A1F"/>
    <w:rsid w:val="00852BF9"/>
    <w:rsid w:val="008541EB"/>
    <w:rsid w:val="0085560B"/>
    <w:rsid w:val="00862C77"/>
    <w:rsid w:val="00862EA1"/>
    <w:rsid w:val="00865541"/>
    <w:rsid w:val="00873294"/>
    <w:rsid w:val="008745D4"/>
    <w:rsid w:val="00874C5E"/>
    <w:rsid w:val="00876BAA"/>
    <w:rsid w:val="00877C2F"/>
    <w:rsid w:val="00880A86"/>
    <w:rsid w:val="00880C65"/>
    <w:rsid w:val="00884433"/>
    <w:rsid w:val="00884710"/>
    <w:rsid w:val="00885464"/>
    <w:rsid w:val="00886F44"/>
    <w:rsid w:val="00892A29"/>
    <w:rsid w:val="00894D97"/>
    <w:rsid w:val="008A7DE9"/>
    <w:rsid w:val="008B386B"/>
    <w:rsid w:val="008B559A"/>
    <w:rsid w:val="008B6D41"/>
    <w:rsid w:val="008C096D"/>
    <w:rsid w:val="008C0A21"/>
    <w:rsid w:val="008C137B"/>
    <w:rsid w:val="008C1EF4"/>
    <w:rsid w:val="008C445F"/>
    <w:rsid w:val="008C76D0"/>
    <w:rsid w:val="008D015F"/>
    <w:rsid w:val="008D56ED"/>
    <w:rsid w:val="008D780F"/>
    <w:rsid w:val="008E02A9"/>
    <w:rsid w:val="008E39DC"/>
    <w:rsid w:val="008E4EA8"/>
    <w:rsid w:val="008F166A"/>
    <w:rsid w:val="008F271A"/>
    <w:rsid w:val="008F3633"/>
    <w:rsid w:val="008F460F"/>
    <w:rsid w:val="00900267"/>
    <w:rsid w:val="009062A8"/>
    <w:rsid w:val="0090738F"/>
    <w:rsid w:val="00921A2B"/>
    <w:rsid w:val="009235F8"/>
    <w:rsid w:val="00924B83"/>
    <w:rsid w:val="00926172"/>
    <w:rsid w:val="00932E2E"/>
    <w:rsid w:val="00937B03"/>
    <w:rsid w:val="0094426C"/>
    <w:rsid w:val="00950701"/>
    <w:rsid w:val="00951EB7"/>
    <w:rsid w:val="009522CC"/>
    <w:rsid w:val="009713B2"/>
    <w:rsid w:val="00985406"/>
    <w:rsid w:val="009854A8"/>
    <w:rsid w:val="00987FFD"/>
    <w:rsid w:val="009A5C23"/>
    <w:rsid w:val="009B5B85"/>
    <w:rsid w:val="009C2AD8"/>
    <w:rsid w:val="009C34E5"/>
    <w:rsid w:val="009C7287"/>
    <w:rsid w:val="009D384F"/>
    <w:rsid w:val="009E1AD7"/>
    <w:rsid w:val="009E30D6"/>
    <w:rsid w:val="009E509F"/>
    <w:rsid w:val="009E626E"/>
    <w:rsid w:val="009E6F00"/>
    <w:rsid w:val="009F3364"/>
    <w:rsid w:val="009F4348"/>
    <w:rsid w:val="009F5A70"/>
    <w:rsid w:val="00A0352D"/>
    <w:rsid w:val="00A05C20"/>
    <w:rsid w:val="00A074CE"/>
    <w:rsid w:val="00A1001E"/>
    <w:rsid w:val="00A129BA"/>
    <w:rsid w:val="00A15D08"/>
    <w:rsid w:val="00A22656"/>
    <w:rsid w:val="00A26728"/>
    <w:rsid w:val="00A26CBA"/>
    <w:rsid w:val="00A33FF9"/>
    <w:rsid w:val="00A34EC3"/>
    <w:rsid w:val="00A373A0"/>
    <w:rsid w:val="00A41988"/>
    <w:rsid w:val="00A504D0"/>
    <w:rsid w:val="00A5061C"/>
    <w:rsid w:val="00A50E33"/>
    <w:rsid w:val="00A516C6"/>
    <w:rsid w:val="00A53BE4"/>
    <w:rsid w:val="00A57F72"/>
    <w:rsid w:val="00A61945"/>
    <w:rsid w:val="00A61A12"/>
    <w:rsid w:val="00A621C9"/>
    <w:rsid w:val="00A654F8"/>
    <w:rsid w:val="00A658D7"/>
    <w:rsid w:val="00A730F0"/>
    <w:rsid w:val="00A74911"/>
    <w:rsid w:val="00A81B7B"/>
    <w:rsid w:val="00A901C6"/>
    <w:rsid w:val="00A91ECC"/>
    <w:rsid w:val="00AA25E3"/>
    <w:rsid w:val="00AA26B6"/>
    <w:rsid w:val="00AB022E"/>
    <w:rsid w:val="00AB2034"/>
    <w:rsid w:val="00AB6FEF"/>
    <w:rsid w:val="00AC0F42"/>
    <w:rsid w:val="00AC2152"/>
    <w:rsid w:val="00AD0F49"/>
    <w:rsid w:val="00AE6D17"/>
    <w:rsid w:val="00AF7EE5"/>
    <w:rsid w:val="00B04095"/>
    <w:rsid w:val="00B0559A"/>
    <w:rsid w:val="00B05D58"/>
    <w:rsid w:val="00B34D45"/>
    <w:rsid w:val="00B36DFC"/>
    <w:rsid w:val="00B40A80"/>
    <w:rsid w:val="00B43B51"/>
    <w:rsid w:val="00B44D13"/>
    <w:rsid w:val="00B45877"/>
    <w:rsid w:val="00B45F7F"/>
    <w:rsid w:val="00B473AB"/>
    <w:rsid w:val="00B47694"/>
    <w:rsid w:val="00B503DE"/>
    <w:rsid w:val="00B508E4"/>
    <w:rsid w:val="00B509EE"/>
    <w:rsid w:val="00B60151"/>
    <w:rsid w:val="00B6319C"/>
    <w:rsid w:val="00B63C82"/>
    <w:rsid w:val="00B64F6E"/>
    <w:rsid w:val="00B67321"/>
    <w:rsid w:val="00B67BDE"/>
    <w:rsid w:val="00B70C8B"/>
    <w:rsid w:val="00B71175"/>
    <w:rsid w:val="00B716CA"/>
    <w:rsid w:val="00B8606B"/>
    <w:rsid w:val="00B86C2F"/>
    <w:rsid w:val="00B8717D"/>
    <w:rsid w:val="00B91D46"/>
    <w:rsid w:val="00B950BE"/>
    <w:rsid w:val="00BA1344"/>
    <w:rsid w:val="00BA5303"/>
    <w:rsid w:val="00BA770B"/>
    <w:rsid w:val="00BA79E7"/>
    <w:rsid w:val="00BB4BFB"/>
    <w:rsid w:val="00BB57C1"/>
    <w:rsid w:val="00BB78AA"/>
    <w:rsid w:val="00BC6C55"/>
    <w:rsid w:val="00BC7303"/>
    <w:rsid w:val="00BD0576"/>
    <w:rsid w:val="00BD0EB4"/>
    <w:rsid w:val="00BD3817"/>
    <w:rsid w:val="00BD3DB0"/>
    <w:rsid w:val="00BE0CDE"/>
    <w:rsid w:val="00BE402E"/>
    <w:rsid w:val="00BE4789"/>
    <w:rsid w:val="00BE7998"/>
    <w:rsid w:val="00BE7ACF"/>
    <w:rsid w:val="00BF1774"/>
    <w:rsid w:val="00BF3D99"/>
    <w:rsid w:val="00C00008"/>
    <w:rsid w:val="00C03DA0"/>
    <w:rsid w:val="00C06D2C"/>
    <w:rsid w:val="00C2269D"/>
    <w:rsid w:val="00C276B8"/>
    <w:rsid w:val="00C3362D"/>
    <w:rsid w:val="00C33F24"/>
    <w:rsid w:val="00C348E3"/>
    <w:rsid w:val="00C36143"/>
    <w:rsid w:val="00C361B9"/>
    <w:rsid w:val="00C3735D"/>
    <w:rsid w:val="00C46F9A"/>
    <w:rsid w:val="00C55127"/>
    <w:rsid w:val="00C6115C"/>
    <w:rsid w:val="00C6206D"/>
    <w:rsid w:val="00C6225C"/>
    <w:rsid w:val="00C62E92"/>
    <w:rsid w:val="00C6706D"/>
    <w:rsid w:val="00C72703"/>
    <w:rsid w:val="00C7704F"/>
    <w:rsid w:val="00C7715E"/>
    <w:rsid w:val="00C811F1"/>
    <w:rsid w:val="00C85F2A"/>
    <w:rsid w:val="00C87A10"/>
    <w:rsid w:val="00C97EC1"/>
    <w:rsid w:val="00CA36A1"/>
    <w:rsid w:val="00CA4A2A"/>
    <w:rsid w:val="00CA5AF4"/>
    <w:rsid w:val="00CC710D"/>
    <w:rsid w:val="00CD0569"/>
    <w:rsid w:val="00CD1951"/>
    <w:rsid w:val="00CE0BEF"/>
    <w:rsid w:val="00CF1BDC"/>
    <w:rsid w:val="00CF3BA0"/>
    <w:rsid w:val="00D0165F"/>
    <w:rsid w:val="00D01D36"/>
    <w:rsid w:val="00D05244"/>
    <w:rsid w:val="00D05691"/>
    <w:rsid w:val="00D05A62"/>
    <w:rsid w:val="00D24ABF"/>
    <w:rsid w:val="00D33E0B"/>
    <w:rsid w:val="00D40C58"/>
    <w:rsid w:val="00D42B83"/>
    <w:rsid w:val="00D50A55"/>
    <w:rsid w:val="00D547AE"/>
    <w:rsid w:val="00D558C0"/>
    <w:rsid w:val="00D60399"/>
    <w:rsid w:val="00D632EB"/>
    <w:rsid w:val="00D643AC"/>
    <w:rsid w:val="00D646F8"/>
    <w:rsid w:val="00D65874"/>
    <w:rsid w:val="00D72220"/>
    <w:rsid w:val="00D72AEB"/>
    <w:rsid w:val="00D73D32"/>
    <w:rsid w:val="00D74445"/>
    <w:rsid w:val="00D74462"/>
    <w:rsid w:val="00D74915"/>
    <w:rsid w:val="00D77ADE"/>
    <w:rsid w:val="00D842E0"/>
    <w:rsid w:val="00D85D5B"/>
    <w:rsid w:val="00D9503E"/>
    <w:rsid w:val="00DA57AC"/>
    <w:rsid w:val="00DA7681"/>
    <w:rsid w:val="00DA7BCD"/>
    <w:rsid w:val="00DB426A"/>
    <w:rsid w:val="00DB4FE5"/>
    <w:rsid w:val="00DD0111"/>
    <w:rsid w:val="00DD2BB6"/>
    <w:rsid w:val="00DD47B5"/>
    <w:rsid w:val="00DD602F"/>
    <w:rsid w:val="00DE5C2C"/>
    <w:rsid w:val="00DE76F4"/>
    <w:rsid w:val="00DE79A0"/>
    <w:rsid w:val="00DF195E"/>
    <w:rsid w:val="00DF5EAF"/>
    <w:rsid w:val="00E01CB7"/>
    <w:rsid w:val="00E06C0C"/>
    <w:rsid w:val="00E070ED"/>
    <w:rsid w:val="00E10033"/>
    <w:rsid w:val="00E120B8"/>
    <w:rsid w:val="00E13D5F"/>
    <w:rsid w:val="00E27054"/>
    <w:rsid w:val="00E305E2"/>
    <w:rsid w:val="00E37CEA"/>
    <w:rsid w:val="00E44F73"/>
    <w:rsid w:val="00E456EC"/>
    <w:rsid w:val="00E46F90"/>
    <w:rsid w:val="00E529B8"/>
    <w:rsid w:val="00E53658"/>
    <w:rsid w:val="00E54429"/>
    <w:rsid w:val="00E566CE"/>
    <w:rsid w:val="00E607D0"/>
    <w:rsid w:val="00E64778"/>
    <w:rsid w:val="00E7549F"/>
    <w:rsid w:val="00E9506E"/>
    <w:rsid w:val="00EA3856"/>
    <w:rsid w:val="00EA4D4D"/>
    <w:rsid w:val="00EB4047"/>
    <w:rsid w:val="00EB43BE"/>
    <w:rsid w:val="00EB5050"/>
    <w:rsid w:val="00EC1E94"/>
    <w:rsid w:val="00EC360D"/>
    <w:rsid w:val="00ED0BE8"/>
    <w:rsid w:val="00ED3882"/>
    <w:rsid w:val="00ED484A"/>
    <w:rsid w:val="00ED5EA6"/>
    <w:rsid w:val="00EE0596"/>
    <w:rsid w:val="00EE24AB"/>
    <w:rsid w:val="00EE4523"/>
    <w:rsid w:val="00EE5F4E"/>
    <w:rsid w:val="00EF6CEB"/>
    <w:rsid w:val="00F02755"/>
    <w:rsid w:val="00F06199"/>
    <w:rsid w:val="00F14BEE"/>
    <w:rsid w:val="00F17020"/>
    <w:rsid w:val="00F2195E"/>
    <w:rsid w:val="00F22241"/>
    <w:rsid w:val="00F32D2F"/>
    <w:rsid w:val="00F33E41"/>
    <w:rsid w:val="00F43F33"/>
    <w:rsid w:val="00F50D4D"/>
    <w:rsid w:val="00F52B9B"/>
    <w:rsid w:val="00F53610"/>
    <w:rsid w:val="00F635CF"/>
    <w:rsid w:val="00F74457"/>
    <w:rsid w:val="00F7483A"/>
    <w:rsid w:val="00F774A8"/>
    <w:rsid w:val="00F836F3"/>
    <w:rsid w:val="00F93332"/>
    <w:rsid w:val="00F946FB"/>
    <w:rsid w:val="00FA370A"/>
    <w:rsid w:val="00FA5EBF"/>
    <w:rsid w:val="00FB2766"/>
    <w:rsid w:val="00FC1CA9"/>
    <w:rsid w:val="00FC2D24"/>
    <w:rsid w:val="00FC2F03"/>
    <w:rsid w:val="00FD02EF"/>
    <w:rsid w:val="00FD2F2D"/>
    <w:rsid w:val="00FD46DC"/>
    <w:rsid w:val="00FD5788"/>
    <w:rsid w:val="00FD7359"/>
    <w:rsid w:val="00FE5E32"/>
    <w:rsid w:val="00FF10D9"/>
    <w:rsid w:val="00FF3CF8"/>
    <w:rsid w:val="00FF4472"/>
    <w:rsid w:val="0A3B3CE6"/>
    <w:rsid w:val="436575B7"/>
    <w:rsid w:val="5559685D"/>
    <w:rsid w:val="6C9739B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7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5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jc w:val="left"/>
    </w:pPr>
    <w:rPr>
      <w:rFonts w:ascii="宋体" w:hAnsi="宋体" w:eastAsia="宋体" w:cs="宋体"/>
      <w:spacing w:val="15"/>
      <w:kern w:val="0"/>
      <w:sz w:val="24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unhideWhenUsed/>
    <w:uiPriority w:val="99"/>
    <w:rPr>
      <w:color w:val="0000FF" w:themeColor="hyperlink"/>
      <w:u w:val="single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脚 Char"/>
    <w:basedOn w:val="9"/>
    <w:link w:val="4"/>
    <w:uiPriority w:val="99"/>
    <w:rPr>
      <w:rFonts w:ascii="Calibri" w:hAnsi="Calibri"/>
      <w:sz w:val="18"/>
      <w:szCs w:val="18"/>
    </w:rPr>
  </w:style>
  <w:style w:type="character" w:customStyle="1" w:styleId="13">
    <w:name w:val="页脚 Char1"/>
    <w:basedOn w:val="9"/>
    <w:semiHidden/>
    <w:qFormat/>
    <w:uiPriority w:val="99"/>
    <w:rPr>
      <w:sz w:val="18"/>
      <w:szCs w:val="18"/>
    </w:rPr>
  </w:style>
  <w:style w:type="paragraph" w:customStyle="1" w:styleId="14">
    <w:name w:val="0"/>
    <w:basedOn w:val="1"/>
    <w:qFormat/>
    <w:uiPriority w:val="0"/>
    <w:pPr>
      <w:widowControl/>
      <w:snapToGrid w:val="0"/>
    </w:pPr>
    <w:rPr>
      <w:rFonts w:ascii="Calibri" w:hAnsi="Calibri" w:eastAsia="仿宋_GB2312" w:cs="Times New Roman"/>
      <w:kern w:val="0"/>
      <w:sz w:val="32"/>
      <w:szCs w:val="21"/>
    </w:rPr>
  </w:style>
  <w:style w:type="character" w:customStyle="1" w:styleId="15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6">
    <w:name w:val="批注框文本 Char"/>
    <w:basedOn w:val="9"/>
    <w:link w:val="3"/>
    <w:semiHidden/>
    <w:uiPriority w:val="99"/>
    <w:rPr>
      <w:kern w:val="2"/>
      <w:sz w:val="18"/>
      <w:szCs w:val="18"/>
    </w:rPr>
  </w:style>
  <w:style w:type="character" w:customStyle="1" w:styleId="17">
    <w:name w:val="日期 Char"/>
    <w:basedOn w:val="9"/>
    <w:link w:val="2"/>
    <w:semiHidden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44219-233E-4D7F-A6DF-CEAEC618804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12</Pages>
  <Words>995</Words>
  <Characters>5673</Characters>
  <Lines>47</Lines>
  <Paragraphs>13</Paragraphs>
  <TotalTime>2</TotalTime>
  <ScaleCrop>false</ScaleCrop>
  <LinksUpToDate>false</LinksUpToDate>
  <CharactersWithSpaces>6655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2018-12-18T00:48:00Z</dcterms:created>
  <dc:creator>PC</dc:creator>
  <cp:lastModifiedBy>轩</cp:lastModifiedBy>
  <cp:lastPrinted>2018-12-17T02:08:00Z</cp:lastPrinted>
  <dcterms:modified xsi:type="dcterms:W3CDTF">2023-08-14T01:47:57Z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3F9FB36127114FBB828EA0E409FB957E</vt:lpwstr>
  </property>
</Properties>
</file>