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exact"/>
        <w:jc w:val="center"/>
        <w:rPr>
          <w:rFonts w:ascii="方正小标宋简体" w:hAnsi="方正小标宋简体" w:eastAsia="方正小标宋简体" w:cs="方正小标宋简体"/>
          <w:color w:val="000000"/>
          <w:kern w:val="0"/>
          <w:sz w:val="44"/>
          <w:szCs w:val="44"/>
          <w:u w:val="none"/>
        </w:rPr>
      </w:pPr>
      <w:bookmarkStart w:id="0" w:name="_GoBack"/>
      <w:bookmarkEnd w:id="0"/>
      <w:r>
        <w:rPr>
          <w:rFonts w:hint="eastAsia" w:ascii="方正小标宋简体" w:hAnsi="方正小标宋简体" w:eastAsia="方正小标宋简体" w:cs="方正小标宋简体"/>
          <w:color w:val="000000"/>
          <w:kern w:val="0"/>
          <w:sz w:val="44"/>
          <w:szCs w:val="44"/>
          <w:u w:val="none"/>
        </w:rPr>
        <w:t>温州市重大涉企案件报告制度</w:t>
      </w:r>
    </w:p>
    <w:p>
      <w:pPr>
        <w:spacing w:line="560" w:lineRule="exact"/>
        <w:jc w:val="center"/>
        <w:rPr>
          <w:rFonts w:hint="eastAsia" w:ascii="仿宋" w:hAnsi="仿宋" w:eastAsia="仿宋" w:cs="仿宋_GB2312"/>
          <w:color w:val="000000"/>
          <w:kern w:val="0"/>
          <w:sz w:val="32"/>
          <w:szCs w:val="32"/>
          <w:u w:val="none"/>
          <w:lang w:eastAsia="zh-CN"/>
        </w:rPr>
      </w:pPr>
      <w:r>
        <w:rPr>
          <w:rFonts w:hint="eastAsia" w:ascii="仿宋" w:hAnsi="仿宋" w:eastAsia="仿宋" w:cs="仿宋_GB2312"/>
          <w:color w:val="000000"/>
          <w:kern w:val="0"/>
          <w:sz w:val="32"/>
          <w:szCs w:val="32"/>
          <w:u w:val="none"/>
          <w:lang w:eastAsia="zh-CN"/>
        </w:rPr>
        <w:t>（征求意见稿）</w:t>
      </w:r>
    </w:p>
    <w:p>
      <w:pPr>
        <w:widowControl/>
        <w:snapToGrid w:val="0"/>
        <w:spacing w:line="540" w:lineRule="exact"/>
        <w:jc w:val="center"/>
        <w:rPr>
          <w:rFonts w:ascii="仿宋_GB2312" w:hAnsi="仿宋_GB2312" w:eastAsia="仿宋_GB2312" w:cs="仿宋_GB2312"/>
          <w:color w:val="000000"/>
          <w:kern w:val="0"/>
          <w:sz w:val="32"/>
          <w:szCs w:val="32"/>
          <w:u w:val="none"/>
        </w:rPr>
      </w:pPr>
    </w:p>
    <w:p>
      <w:pPr>
        <w:widowControl/>
        <w:snapToGrid w:val="0"/>
        <w:spacing w:line="560" w:lineRule="exact"/>
        <w:jc w:val="center"/>
        <w:rPr>
          <w:rFonts w:ascii="黑体" w:hAnsi="黑体" w:eastAsia="黑体" w:cs="仿宋_GB2312"/>
          <w:color w:val="000000"/>
          <w:kern w:val="0"/>
          <w:sz w:val="32"/>
          <w:szCs w:val="32"/>
          <w:u w:val="none"/>
        </w:rPr>
      </w:pPr>
      <w:r>
        <w:rPr>
          <w:rFonts w:hint="eastAsia" w:ascii="黑体" w:hAnsi="黑体" w:eastAsia="黑体" w:cs="仿宋_GB2312"/>
          <w:color w:val="000000"/>
          <w:kern w:val="0"/>
          <w:sz w:val="32"/>
          <w:szCs w:val="32"/>
          <w:u w:val="none"/>
        </w:rPr>
        <w:t>第一章 总则</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第一条 为贯彻落实《关于创建新时代“两个健康”先行区加快民营经济高质量发展的实施意见》（温委发〔2018〕57号），</w:t>
      </w:r>
      <w:r>
        <w:rPr>
          <w:rFonts w:ascii="仿宋" w:hAnsi="仿宋" w:eastAsia="仿宋" w:cs="仿宋_GB2312"/>
          <w:color w:val="000000"/>
          <w:kern w:val="0"/>
          <w:sz w:val="32"/>
          <w:szCs w:val="32"/>
          <w:u w:val="none"/>
        </w:rPr>
        <w:t>确保</w:t>
      </w:r>
      <w:r>
        <w:rPr>
          <w:rFonts w:hint="eastAsia" w:ascii="仿宋" w:hAnsi="仿宋" w:eastAsia="仿宋" w:cs="仿宋_GB2312"/>
          <w:color w:val="000000"/>
          <w:kern w:val="0"/>
          <w:sz w:val="32"/>
          <w:szCs w:val="32"/>
          <w:u w:val="none"/>
        </w:rPr>
        <w:t>市委</w:t>
      </w:r>
      <w:r>
        <w:rPr>
          <w:rFonts w:ascii="仿宋" w:hAnsi="仿宋" w:eastAsia="仿宋" w:cs="仿宋_GB2312"/>
          <w:color w:val="000000"/>
          <w:kern w:val="0"/>
          <w:sz w:val="32"/>
          <w:szCs w:val="32"/>
          <w:u w:val="none"/>
        </w:rPr>
        <w:t>市政府及时准确掌握并快速处置各类</w:t>
      </w:r>
      <w:r>
        <w:rPr>
          <w:rFonts w:hint="eastAsia" w:ascii="仿宋" w:hAnsi="仿宋" w:eastAsia="仿宋" w:cs="仿宋_GB2312"/>
          <w:color w:val="000000"/>
          <w:kern w:val="0"/>
          <w:sz w:val="32"/>
          <w:szCs w:val="32"/>
          <w:u w:val="none"/>
        </w:rPr>
        <w:t>重大涉企案件，特制定本制度。</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sz w:val="32"/>
          <w:szCs w:val="32"/>
          <w:u w:val="none"/>
        </w:rPr>
        <w:t xml:space="preserve">第二条 </w:t>
      </w:r>
      <w:r>
        <w:rPr>
          <w:rFonts w:ascii="仿宋" w:hAnsi="仿宋" w:eastAsia="仿宋"/>
          <w:sz w:val="32"/>
          <w:szCs w:val="32"/>
          <w:u w:val="none"/>
        </w:rPr>
        <w:t>本制度所称“</w:t>
      </w:r>
      <w:r>
        <w:rPr>
          <w:rFonts w:hint="eastAsia" w:ascii="仿宋" w:hAnsi="仿宋" w:eastAsia="仿宋"/>
          <w:sz w:val="32"/>
          <w:szCs w:val="32"/>
          <w:u w:val="none"/>
        </w:rPr>
        <w:t>重大涉企案件</w:t>
      </w:r>
      <w:r>
        <w:rPr>
          <w:rFonts w:ascii="仿宋" w:hAnsi="仿宋" w:eastAsia="仿宋"/>
          <w:sz w:val="32"/>
          <w:szCs w:val="32"/>
          <w:u w:val="none"/>
        </w:rPr>
        <w:t>”是指会对企业</w:t>
      </w:r>
      <w:r>
        <w:rPr>
          <w:rFonts w:hint="eastAsia" w:ascii="仿宋" w:hAnsi="仿宋" w:eastAsia="仿宋"/>
          <w:sz w:val="32"/>
          <w:szCs w:val="32"/>
          <w:u w:val="none"/>
        </w:rPr>
        <w:t>正常生产经营</w:t>
      </w:r>
      <w:r>
        <w:rPr>
          <w:rFonts w:ascii="仿宋" w:hAnsi="仿宋" w:eastAsia="仿宋"/>
          <w:sz w:val="32"/>
          <w:szCs w:val="32"/>
          <w:u w:val="none"/>
        </w:rPr>
        <w:t>产生严重影响，</w:t>
      </w:r>
      <w:r>
        <w:rPr>
          <w:rFonts w:hint="eastAsia" w:ascii="仿宋" w:hAnsi="仿宋" w:eastAsia="仿宋"/>
          <w:sz w:val="32"/>
          <w:szCs w:val="32"/>
          <w:u w:val="none"/>
        </w:rPr>
        <w:t>甚至</w:t>
      </w:r>
      <w:r>
        <w:rPr>
          <w:rFonts w:ascii="仿宋" w:hAnsi="仿宋" w:eastAsia="仿宋"/>
          <w:sz w:val="32"/>
          <w:szCs w:val="32"/>
          <w:u w:val="none"/>
        </w:rPr>
        <w:t>危及</w:t>
      </w:r>
      <w:r>
        <w:rPr>
          <w:rFonts w:hint="eastAsia" w:ascii="仿宋" w:hAnsi="仿宋" w:eastAsia="仿宋"/>
          <w:sz w:val="32"/>
          <w:szCs w:val="32"/>
          <w:u w:val="none"/>
        </w:rPr>
        <w:t>地方经济发展和社会稳定的涉企行政处罚、民事和刑事诉讼案件等</w:t>
      </w:r>
      <w:r>
        <w:rPr>
          <w:rFonts w:ascii="仿宋" w:hAnsi="仿宋" w:eastAsia="仿宋"/>
          <w:sz w:val="32"/>
          <w:szCs w:val="32"/>
          <w:u w:val="none"/>
        </w:rPr>
        <w:t>。</w:t>
      </w:r>
    </w:p>
    <w:p>
      <w:pPr>
        <w:widowControl/>
        <w:snapToGrid w:val="0"/>
        <w:spacing w:line="560" w:lineRule="exact"/>
        <w:ind w:firstLine="640" w:firstLineChars="200"/>
        <w:jc w:val="left"/>
        <w:rPr>
          <w:rFonts w:ascii="仿宋" w:hAnsi="仿宋" w:eastAsia="仿宋" w:cs="仿宋_GB2312"/>
          <w:color w:val="000000"/>
          <w:sz w:val="32"/>
          <w:szCs w:val="32"/>
          <w:u w:val="none"/>
        </w:rPr>
      </w:pPr>
      <w:r>
        <w:rPr>
          <w:rFonts w:hint="eastAsia" w:ascii="仿宋" w:hAnsi="仿宋" w:eastAsia="仿宋" w:cs="仿宋_GB2312"/>
          <w:color w:val="000000"/>
          <w:kern w:val="0"/>
          <w:sz w:val="32"/>
          <w:szCs w:val="32"/>
          <w:u w:val="none"/>
        </w:rPr>
        <w:t>第三条 重大涉企案件报告遵循“实事求是、及时准确、属地为主、逐级上报、严格保密”的原则。</w:t>
      </w:r>
      <w:r>
        <w:rPr>
          <w:rFonts w:hint="eastAsia" w:ascii="仿宋" w:hAnsi="仿宋" w:eastAsia="仿宋" w:cs="仿宋_GB2312"/>
          <w:color w:val="000000"/>
          <w:sz w:val="32"/>
          <w:szCs w:val="32"/>
          <w:u w:val="none"/>
        </w:rPr>
        <w:t>各地各有关单位</w:t>
      </w:r>
      <w:r>
        <w:rPr>
          <w:rFonts w:hint="eastAsia" w:ascii="仿宋" w:hAnsi="仿宋" w:eastAsia="仿宋" w:cs="Times New Roman"/>
          <w:color w:val="000000"/>
          <w:kern w:val="0"/>
          <w:sz w:val="32"/>
          <w:szCs w:val="32"/>
          <w:u w:val="none"/>
        </w:rPr>
        <w:t>报送</w:t>
      </w:r>
      <w:r>
        <w:rPr>
          <w:rFonts w:ascii="仿宋" w:hAnsi="仿宋" w:eastAsia="仿宋" w:cs="Times New Roman"/>
          <w:color w:val="000000"/>
          <w:kern w:val="0"/>
          <w:sz w:val="32"/>
          <w:szCs w:val="32"/>
          <w:u w:val="none"/>
        </w:rPr>
        <w:t>信息必须真实可靠、及时有效，能够准确反映案件情况。相关工作人员对重大</w:t>
      </w:r>
      <w:r>
        <w:rPr>
          <w:rFonts w:hint="eastAsia" w:ascii="仿宋" w:hAnsi="仿宋" w:eastAsia="仿宋" w:cs="Times New Roman"/>
          <w:color w:val="000000"/>
          <w:kern w:val="0"/>
          <w:sz w:val="32"/>
          <w:szCs w:val="32"/>
          <w:u w:val="none"/>
          <w:lang w:eastAsia="zh-CN"/>
        </w:rPr>
        <w:t>涉企</w:t>
      </w:r>
      <w:r>
        <w:rPr>
          <w:rFonts w:ascii="仿宋" w:hAnsi="仿宋" w:eastAsia="仿宋" w:cs="Times New Roman"/>
          <w:color w:val="000000"/>
          <w:kern w:val="0"/>
          <w:sz w:val="32"/>
          <w:szCs w:val="32"/>
          <w:u w:val="none"/>
        </w:rPr>
        <w:t>案件信息务必严格保密。</w:t>
      </w:r>
    </w:p>
    <w:p>
      <w:pPr>
        <w:widowControl/>
        <w:snapToGrid w:val="0"/>
        <w:spacing w:line="560" w:lineRule="exact"/>
        <w:jc w:val="center"/>
        <w:rPr>
          <w:rFonts w:ascii="黑体" w:hAnsi="黑体" w:eastAsia="黑体" w:cs="仿宋_GB2312"/>
          <w:color w:val="000000"/>
          <w:kern w:val="0"/>
          <w:sz w:val="32"/>
          <w:szCs w:val="32"/>
          <w:u w:val="none"/>
        </w:rPr>
      </w:pPr>
      <w:r>
        <w:rPr>
          <w:rFonts w:hint="eastAsia" w:ascii="黑体" w:hAnsi="黑体" w:eastAsia="黑体" w:cs="Times New Roman"/>
          <w:color w:val="000000"/>
          <w:kern w:val="0"/>
          <w:sz w:val="32"/>
          <w:szCs w:val="32"/>
          <w:u w:val="none"/>
        </w:rPr>
        <w:t>第二章 报告主体</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第四条 本制度报告主体为法院、检察院，具有行政处罚权和掌握舆情信息的国家行政机关，以及相关企业。</w:t>
      </w:r>
    </w:p>
    <w:p>
      <w:pPr>
        <w:spacing w:line="560" w:lineRule="exact"/>
        <w:jc w:val="center"/>
        <w:rPr>
          <w:rFonts w:ascii="黑体" w:hAnsi="黑体" w:eastAsia="黑体" w:cs="仿宋_GB2312"/>
          <w:color w:val="000000"/>
          <w:kern w:val="0"/>
          <w:sz w:val="32"/>
          <w:szCs w:val="32"/>
          <w:u w:val="none"/>
        </w:rPr>
      </w:pPr>
      <w:r>
        <w:rPr>
          <w:rFonts w:hint="eastAsia" w:ascii="黑体" w:hAnsi="黑体" w:eastAsia="黑体" w:cs="仿宋_GB2312"/>
          <w:color w:val="000000"/>
          <w:kern w:val="0"/>
          <w:sz w:val="32"/>
          <w:szCs w:val="32"/>
          <w:u w:val="none"/>
        </w:rPr>
        <w:t>第三章 报告范围</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第五条 符合以下条件之一的企业列入本制度报告范围：</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（一）上市公司；</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（二）年产值超5亿元工业企业；</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（三）领军型工业企业；</w:t>
      </w:r>
    </w:p>
    <w:p>
      <w:pPr>
        <w:spacing w:line="560" w:lineRule="exact"/>
        <w:ind w:firstLine="640" w:firstLineChars="200"/>
        <w:jc w:val="left"/>
        <w:rPr>
          <w:rFonts w:hint="eastAsia"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（四）案件重大</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kern w:val="0"/>
          <w:sz w:val="32"/>
          <w:szCs w:val="32"/>
          <w:u w:val="none"/>
        </w:rPr>
        <w:t>牵扯面广的涉案企业。</w:t>
      </w:r>
    </w:p>
    <w:p>
      <w:pPr>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第六条 按照案件影响程度，需报告的重大涉企案件主要包括但不限于以下四个方面：</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（一）重大行政案件：指企业在能源、环保、消防、安全、质量、卫生、税务、劳动用工等方面，被有关行政执法单位责令停产停业、</w:t>
      </w:r>
      <w:r>
        <w:rPr>
          <w:rFonts w:ascii="仿宋" w:hAnsi="仿宋" w:eastAsia="仿宋" w:cs="仿宋_GB2312"/>
          <w:color w:val="000000"/>
          <w:kern w:val="0"/>
          <w:sz w:val="32"/>
          <w:szCs w:val="32"/>
          <w:u w:val="none"/>
        </w:rPr>
        <w:t>吊销许可证或执业证、</w:t>
      </w:r>
      <w:r>
        <w:rPr>
          <w:rFonts w:hint="eastAsia" w:ascii="仿宋" w:hAnsi="仿宋" w:eastAsia="仿宋" w:cs="仿宋_GB2312"/>
          <w:color w:val="000000"/>
          <w:kern w:val="0"/>
          <w:sz w:val="32"/>
          <w:szCs w:val="32"/>
          <w:u w:val="none"/>
        </w:rPr>
        <w:t>查封企业关键设备、被处以150万元以上金额</w:t>
      </w:r>
      <w:r>
        <w:rPr>
          <w:rFonts w:ascii="仿宋" w:hAnsi="仿宋" w:eastAsia="仿宋" w:cs="仿宋_GB2312"/>
          <w:color w:val="000000"/>
          <w:kern w:val="0"/>
          <w:sz w:val="32"/>
          <w:szCs w:val="32"/>
          <w:u w:val="none"/>
        </w:rPr>
        <w:t>罚款</w:t>
      </w:r>
      <w:r>
        <w:rPr>
          <w:rFonts w:hint="eastAsia" w:ascii="仿宋" w:hAnsi="仿宋" w:eastAsia="仿宋" w:cs="仿宋_GB2312"/>
          <w:color w:val="000000"/>
          <w:kern w:val="0"/>
          <w:sz w:val="32"/>
          <w:szCs w:val="32"/>
          <w:u w:val="none"/>
        </w:rPr>
        <w:t>、企业主要负责人被行政拘留等严重影响企业正常生产经营的行政案件。</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二）重大刑事案件：指侵犯商业秘密，损害商业信誉、商品声誉，虚假破产，以及非国家公务人员受贿、非国家公务人员行贿，虚开增值税专用发票、用于骗取出口退税、抵扣税款，逃税，合同诈骗，票据诈骗，职务侵占，挪用资金，非法吸收公众存款，集资诈骗，企业负责人被采取强制措施等严重影响企业正常经营的刑事案件。</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（三）重大民事案件：侵犯知识产权、企业破产、群体性劳资纠纷、金融涉诉、股权纠纷等有关判决会严重影响企业正常经营的民事案件。</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（四）其他重大案件：重大安全事故、网络舆论焦点、员工集体上访等严重影响企业正常经营发展、社会稳定的重大舆情案件。</w:t>
      </w:r>
    </w:p>
    <w:p>
      <w:pPr>
        <w:widowControl/>
        <w:snapToGrid w:val="0"/>
        <w:spacing w:line="560" w:lineRule="exact"/>
        <w:jc w:val="center"/>
        <w:rPr>
          <w:rFonts w:ascii="黑体" w:hAnsi="黑体" w:eastAsia="黑体" w:cs="仿宋_GB2312"/>
          <w:color w:val="000000"/>
          <w:kern w:val="0"/>
          <w:sz w:val="32"/>
          <w:szCs w:val="32"/>
          <w:u w:val="none"/>
        </w:rPr>
      </w:pPr>
      <w:r>
        <w:rPr>
          <w:rFonts w:hint="eastAsia" w:ascii="黑体" w:hAnsi="黑体" w:eastAsia="黑体" w:cs="仿宋_GB2312"/>
          <w:color w:val="000000"/>
          <w:kern w:val="0"/>
          <w:sz w:val="32"/>
          <w:szCs w:val="32"/>
          <w:u w:val="none"/>
        </w:rPr>
        <w:t>第四章 报告程序</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第七条 发生重大涉企案件时，各地、各有关单位和企业遵循以下程序报告信息：</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（一）企业发生或即将发生重大案件时，可</w:t>
      </w:r>
      <w:r>
        <w:rPr>
          <w:rFonts w:ascii="仿宋" w:hAnsi="仿宋" w:eastAsia="仿宋" w:cs="仿宋_GB2312"/>
          <w:color w:val="000000"/>
          <w:kern w:val="0"/>
          <w:sz w:val="32"/>
          <w:szCs w:val="32"/>
          <w:u w:val="none"/>
        </w:rPr>
        <w:t>以口头、电话、传真等方式直接向</w:t>
      </w:r>
      <w:r>
        <w:rPr>
          <w:rFonts w:hint="eastAsia" w:ascii="仿宋" w:hAnsi="仿宋" w:eastAsia="仿宋" w:cs="仿宋_GB2312"/>
          <w:color w:val="000000"/>
          <w:kern w:val="0"/>
          <w:sz w:val="32"/>
          <w:szCs w:val="32"/>
          <w:u w:val="none"/>
        </w:rPr>
        <w:t>属地经信部门报告，并尽快递交准确、真实、完整的书面报告。</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（二）案件发生后，法院、检察院、行政部门要在3天内将有关情况抄告同级经信部门。</w:t>
      </w:r>
    </w:p>
    <w:p>
      <w:pPr>
        <w:widowControl/>
        <w:snapToGrid w:val="0"/>
        <w:spacing w:line="560" w:lineRule="exact"/>
        <w:ind w:firstLine="640" w:firstLineChars="200"/>
        <w:jc w:val="left"/>
        <w:rPr>
          <w:rFonts w:ascii="仿宋" w:hAnsi="仿宋" w:eastAsia="仿宋" w:cs="仿宋_GB2312"/>
          <w:color w:val="000000"/>
          <w:kern w:val="0"/>
          <w:sz w:val="32"/>
          <w:szCs w:val="32"/>
          <w:u w:val="none"/>
        </w:rPr>
      </w:pPr>
      <w:r>
        <w:rPr>
          <w:rFonts w:hint="eastAsia" w:ascii="仿宋" w:hAnsi="仿宋" w:eastAsia="仿宋" w:cs="仿宋_GB2312"/>
          <w:color w:val="000000"/>
          <w:kern w:val="0"/>
          <w:sz w:val="32"/>
          <w:szCs w:val="32"/>
          <w:u w:val="none"/>
        </w:rPr>
        <w:t>（三）县（市、区）经信部门在获悉重大涉企案件信息后，应立即向有关单位、企业核明情况，分析研判案件性质和危害程度，视情向当地党委、政府报告</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kern w:val="0"/>
          <w:sz w:val="32"/>
          <w:szCs w:val="32"/>
          <w:u w:val="none"/>
        </w:rPr>
        <w:t>并同步报送市</w:t>
      </w:r>
      <w:r>
        <w:rPr>
          <w:rFonts w:hint="eastAsia" w:ascii="仿宋" w:hAnsi="仿宋" w:eastAsia="仿宋" w:cs="仿宋_GB2312"/>
          <w:color w:val="000000"/>
          <w:kern w:val="0"/>
          <w:sz w:val="32"/>
          <w:szCs w:val="32"/>
          <w:u w:val="none"/>
          <w:lang w:eastAsia="zh-CN"/>
        </w:rPr>
        <w:t>经济和信息化局（市</w:t>
      </w:r>
      <w:r>
        <w:rPr>
          <w:rFonts w:hint="eastAsia" w:ascii="仿宋" w:hAnsi="仿宋" w:eastAsia="仿宋" w:cs="仿宋_GB2312"/>
          <w:color w:val="000000"/>
          <w:kern w:val="0"/>
          <w:sz w:val="32"/>
          <w:szCs w:val="32"/>
          <w:u w:val="none"/>
        </w:rPr>
        <w:t>民营经济健康发展促进局</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kern w:val="0"/>
          <w:sz w:val="32"/>
          <w:szCs w:val="32"/>
          <w:u w:val="none"/>
        </w:rPr>
        <w:t>。</w:t>
      </w:r>
    </w:p>
    <w:p>
      <w:pPr>
        <w:widowControl/>
        <w:snapToGrid w:val="0"/>
        <w:spacing w:line="560" w:lineRule="exact"/>
        <w:ind w:firstLine="640" w:firstLineChars="200"/>
        <w:jc w:val="left"/>
        <w:rPr>
          <w:rFonts w:ascii="仿宋" w:hAnsi="仿宋" w:eastAsia="仿宋" w:cs="仿宋_GB2312"/>
          <w:color w:val="000000"/>
          <w:sz w:val="32"/>
          <w:szCs w:val="32"/>
          <w:u w:val="none"/>
        </w:rPr>
      </w:pPr>
      <w:r>
        <w:rPr>
          <w:rFonts w:hint="eastAsia" w:ascii="仿宋" w:hAnsi="仿宋" w:eastAsia="仿宋" w:cs="仿宋_GB2312"/>
          <w:color w:val="000000"/>
          <w:kern w:val="0"/>
          <w:sz w:val="32"/>
          <w:szCs w:val="32"/>
          <w:u w:val="none"/>
        </w:rPr>
        <w:t>（四）市</w:t>
      </w:r>
      <w:r>
        <w:rPr>
          <w:rFonts w:hint="eastAsia" w:ascii="仿宋" w:hAnsi="仿宋" w:eastAsia="仿宋" w:cs="仿宋_GB2312"/>
          <w:color w:val="000000"/>
          <w:kern w:val="0"/>
          <w:sz w:val="32"/>
          <w:szCs w:val="32"/>
          <w:u w:val="none"/>
          <w:lang w:eastAsia="zh-CN"/>
        </w:rPr>
        <w:t>经济和信息化局（市</w:t>
      </w:r>
      <w:r>
        <w:rPr>
          <w:rFonts w:hint="eastAsia" w:ascii="仿宋" w:hAnsi="仿宋" w:eastAsia="仿宋" w:cs="仿宋_GB2312"/>
          <w:color w:val="000000"/>
          <w:kern w:val="0"/>
          <w:sz w:val="32"/>
          <w:szCs w:val="32"/>
          <w:u w:val="none"/>
        </w:rPr>
        <w:t>民营经济健康发展促进局</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kern w:val="0"/>
          <w:sz w:val="32"/>
          <w:szCs w:val="32"/>
          <w:u w:val="none"/>
        </w:rPr>
        <w:t>获悉重大涉企案件信息后，应立即向有关单位、企业核明情况，分析研判事件性质和危害程度，视情向市委市政府报告，</w:t>
      </w:r>
      <w:r>
        <w:rPr>
          <w:rFonts w:hint="eastAsia" w:ascii="仿宋" w:hAnsi="仿宋" w:eastAsia="仿宋" w:cs="仿宋_GB2312"/>
          <w:color w:val="000000"/>
          <w:sz w:val="32"/>
          <w:szCs w:val="32"/>
          <w:u w:val="none"/>
        </w:rPr>
        <w:t>并同步通报企业所在地政府。</w:t>
      </w:r>
    </w:p>
    <w:p>
      <w:pPr>
        <w:autoSpaceDE w:val="0"/>
        <w:spacing w:line="560" w:lineRule="exact"/>
        <w:jc w:val="center"/>
        <w:rPr>
          <w:rFonts w:ascii="黑体" w:hAnsi="黑体" w:eastAsia="黑体" w:cs="仿宋_GB2312"/>
          <w:sz w:val="32"/>
          <w:szCs w:val="32"/>
          <w:u w:val="none"/>
        </w:rPr>
      </w:pPr>
      <w:r>
        <w:rPr>
          <w:rFonts w:hint="eastAsia" w:ascii="黑体" w:hAnsi="黑体" w:eastAsia="黑体" w:cs="仿宋_GB2312"/>
          <w:sz w:val="32"/>
          <w:szCs w:val="32"/>
          <w:u w:val="none"/>
        </w:rPr>
        <w:t>第五章 报告内容</w:t>
      </w:r>
    </w:p>
    <w:p>
      <w:pPr>
        <w:autoSpaceDE w:val="0"/>
        <w:snapToGrid w:val="0"/>
        <w:spacing w:line="560" w:lineRule="exact"/>
        <w:ind w:firstLine="640" w:firstLineChars="200"/>
        <w:rPr>
          <w:rFonts w:ascii="仿宋" w:hAnsi="仿宋" w:eastAsia="仿宋" w:cs="仿宋_GB2312"/>
          <w:kern w:val="0"/>
          <w:sz w:val="32"/>
          <w:szCs w:val="32"/>
          <w:u w:val="none"/>
        </w:rPr>
      </w:pPr>
      <w:r>
        <w:rPr>
          <w:rFonts w:hint="eastAsia" w:ascii="仿宋" w:hAnsi="仿宋" w:eastAsia="仿宋" w:cs="仿宋_GB2312"/>
          <w:sz w:val="32"/>
          <w:szCs w:val="32"/>
          <w:u w:val="none"/>
        </w:rPr>
        <w:t>第八条 责任单位</w:t>
      </w:r>
      <w:r>
        <w:rPr>
          <w:rFonts w:hint="eastAsia" w:ascii="仿宋" w:hAnsi="仿宋" w:eastAsia="仿宋" w:cs="仿宋_GB2312"/>
          <w:color w:val="000000"/>
          <w:kern w:val="0"/>
          <w:sz w:val="32"/>
          <w:szCs w:val="32"/>
          <w:u w:val="none"/>
        </w:rPr>
        <w:t>报送的重大涉企案件报告</w:t>
      </w:r>
      <w:r>
        <w:rPr>
          <w:rFonts w:hint="eastAsia" w:ascii="仿宋" w:hAnsi="仿宋" w:eastAsia="仿宋" w:cs="仿宋_GB2312"/>
          <w:sz w:val="32"/>
          <w:szCs w:val="32"/>
          <w:u w:val="none"/>
        </w:rPr>
        <w:t>，应包含以下内容：</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（一）案件发生的时间、地点、起因、信息来源、性质、现状；</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（二）企业名称、法定代表人（负责人）、企业经办人、行政机关案件经办人及联络方式；</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（三）案件可能造成的后果或影响；</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（四）已采取措施和效果；</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（五）上报单位拟处理意见。</w:t>
      </w:r>
    </w:p>
    <w:p>
      <w:pPr>
        <w:autoSpaceDE w:val="0"/>
        <w:snapToGrid w:val="0"/>
        <w:spacing w:line="560" w:lineRule="exact"/>
        <w:jc w:val="center"/>
        <w:rPr>
          <w:rFonts w:ascii="黑体" w:hAnsi="黑体" w:eastAsia="黑体" w:cs="仿宋_GB2312"/>
          <w:sz w:val="32"/>
          <w:szCs w:val="32"/>
          <w:u w:val="none"/>
        </w:rPr>
      </w:pPr>
      <w:r>
        <w:rPr>
          <w:rFonts w:hint="eastAsia" w:ascii="黑体" w:hAnsi="黑体" w:eastAsia="黑体" w:cs="仿宋_GB2312"/>
          <w:sz w:val="32"/>
          <w:szCs w:val="32"/>
          <w:u w:val="none"/>
        </w:rPr>
        <w:t>第六章 职责分工</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第九条 各责任单位要根据职责，采取措施参与或配合做好信息报送工作。</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（一）各县（市、区）负责属地企业重大案件的信息报送。</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（二）市发改委、市公安局、市人力社保局、市生态环境局、市卫健委、市应急管理局、市市场监管局、市医疗保障局、市综合行政执法局、温州市税务局等单位负责本级办理的涉企重大行政案件信息报送。</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（三）</w:t>
      </w:r>
      <w:r>
        <w:rPr>
          <w:rFonts w:hint="eastAsia" w:ascii="仿宋" w:hAnsi="仿宋" w:eastAsia="仿宋" w:cs="仿宋_GB2312"/>
          <w:sz w:val="32"/>
          <w:szCs w:val="32"/>
          <w:u w:val="none"/>
          <w:lang w:eastAsia="zh-CN"/>
        </w:rPr>
        <w:t>市法院</w:t>
      </w:r>
      <w:r>
        <w:rPr>
          <w:rFonts w:hint="eastAsia" w:ascii="仿宋" w:hAnsi="仿宋" w:eastAsia="仿宋" w:cs="仿宋_GB2312"/>
          <w:sz w:val="32"/>
          <w:szCs w:val="32"/>
          <w:u w:val="none"/>
        </w:rPr>
        <w:t>、市检察院、市公安局、市司法局等单位负责重大涉企民事、刑事案件的信息报送。</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（四）市网信办、市信访局等单位负责其他重大涉企案件信息报送。</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color w:val="000000"/>
          <w:kern w:val="0"/>
          <w:sz w:val="32"/>
          <w:szCs w:val="32"/>
          <w:u w:val="none"/>
        </w:rPr>
        <w:t>（五）市</w:t>
      </w:r>
      <w:r>
        <w:rPr>
          <w:rFonts w:hint="eastAsia" w:ascii="仿宋" w:hAnsi="仿宋" w:eastAsia="仿宋" w:cs="仿宋_GB2312"/>
          <w:color w:val="000000"/>
          <w:kern w:val="0"/>
          <w:sz w:val="32"/>
          <w:szCs w:val="32"/>
          <w:u w:val="none"/>
          <w:lang w:eastAsia="zh-CN"/>
        </w:rPr>
        <w:t>经济和信息化局（市</w:t>
      </w:r>
      <w:r>
        <w:rPr>
          <w:rFonts w:hint="eastAsia" w:ascii="仿宋" w:hAnsi="仿宋" w:eastAsia="仿宋" w:cs="仿宋_GB2312"/>
          <w:color w:val="000000"/>
          <w:kern w:val="0"/>
          <w:sz w:val="32"/>
          <w:szCs w:val="32"/>
          <w:u w:val="none"/>
        </w:rPr>
        <w:t>民营经济健康发展促进局</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kern w:val="0"/>
          <w:sz w:val="32"/>
          <w:szCs w:val="32"/>
          <w:u w:val="none"/>
        </w:rPr>
        <w:t>负责</w:t>
      </w:r>
      <w:r>
        <w:rPr>
          <w:rFonts w:hint="eastAsia" w:ascii="仿宋" w:hAnsi="仿宋" w:eastAsia="仿宋" w:cs="仿宋_GB2312"/>
          <w:sz w:val="32"/>
          <w:szCs w:val="32"/>
          <w:u w:val="none"/>
        </w:rPr>
        <w:t>各地、各责任单位报送信息的分析研判和报告。</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（六）</w:t>
      </w:r>
      <w:r>
        <w:rPr>
          <w:rFonts w:hint="eastAsia" w:ascii="仿宋" w:hAnsi="仿宋" w:eastAsia="仿宋" w:cs="仿宋_GB2312"/>
          <w:color w:val="000000"/>
          <w:kern w:val="0"/>
          <w:sz w:val="32"/>
          <w:szCs w:val="32"/>
          <w:u w:val="none"/>
        </w:rPr>
        <w:t>市</w:t>
      </w:r>
      <w:r>
        <w:rPr>
          <w:rFonts w:hint="eastAsia" w:ascii="仿宋" w:hAnsi="仿宋" w:eastAsia="仿宋" w:cs="仿宋_GB2312"/>
          <w:color w:val="000000"/>
          <w:kern w:val="0"/>
          <w:sz w:val="32"/>
          <w:szCs w:val="32"/>
          <w:u w:val="none"/>
          <w:lang w:eastAsia="zh-CN"/>
        </w:rPr>
        <w:t>经济和信息化局（市</w:t>
      </w:r>
      <w:r>
        <w:rPr>
          <w:rFonts w:hint="eastAsia" w:ascii="仿宋" w:hAnsi="仿宋" w:eastAsia="仿宋" w:cs="仿宋_GB2312"/>
          <w:color w:val="000000"/>
          <w:kern w:val="0"/>
          <w:sz w:val="32"/>
          <w:szCs w:val="32"/>
          <w:u w:val="none"/>
        </w:rPr>
        <w:t>民营经济健康发展促进局</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sz w:val="32"/>
          <w:szCs w:val="32"/>
          <w:u w:val="none"/>
        </w:rPr>
        <w:t>牵头汇总三类报告范围企业名单，并提供</w:t>
      </w:r>
      <w:r>
        <w:rPr>
          <w:rFonts w:hint="eastAsia" w:ascii="仿宋" w:hAnsi="仿宋" w:eastAsia="仿宋" w:cs="仿宋_GB2312"/>
          <w:color w:val="000000"/>
          <w:sz w:val="32"/>
          <w:szCs w:val="32"/>
          <w:u w:val="none"/>
          <w:lang w:eastAsia="zh-CN"/>
        </w:rPr>
        <w:t>给</w:t>
      </w:r>
      <w:r>
        <w:rPr>
          <w:rFonts w:hint="eastAsia" w:ascii="仿宋" w:hAnsi="仿宋" w:eastAsia="仿宋" w:cs="仿宋_GB2312"/>
          <w:color w:val="000000"/>
          <w:sz w:val="32"/>
          <w:szCs w:val="32"/>
          <w:u w:val="none"/>
        </w:rPr>
        <w:t>各有关单位。其中，</w:t>
      </w:r>
      <w:r>
        <w:rPr>
          <w:rFonts w:hint="eastAsia" w:ascii="仿宋" w:hAnsi="仿宋" w:eastAsia="仿宋" w:cs="仿宋_GB2312"/>
          <w:sz w:val="32"/>
          <w:szCs w:val="32"/>
          <w:u w:val="none"/>
        </w:rPr>
        <w:t>市金融办负责及时更新报送上市企业名单，市统计局负责及时更新报送上年度产值超5亿元工业企业名单，市经信局负责及时更新报送领军型工业企业名单。</w:t>
      </w:r>
    </w:p>
    <w:p>
      <w:pPr>
        <w:autoSpaceDE w:val="0"/>
        <w:snapToGrid w:val="0"/>
        <w:spacing w:line="560" w:lineRule="exact"/>
        <w:ind w:firstLine="640" w:firstLineChars="200"/>
        <w:rPr>
          <w:rFonts w:ascii="仿宋" w:hAnsi="仿宋" w:eastAsia="仿宋" w:cs="仿宋_GB2312"/>
          <w:sz w:val="32"/>
          <w:szCs w:val="32"/>
          <w:u w:val="none"/>
        </w:rPr>
      </w:pPr>
      <w:r>
        <w:rPr>
          <w:rFonts w:hint="eastAsia" w:ascii="仿宋" w:hAnsi="仿宋" w:eastAsia="仿宋" w:cs="仿宋_GB2312"/>
          <w:color w:val="000000"/>
          <w:sz w:val="32"/>
          <w:szCs w:val="32"/>
          <w:u w:val="none"/>
        </w:rPr>
        <w:t>（七）本制度未规定职责的其他有关单位必须服从</w:t>
      </w:r>
      <w:r>
        <w:rPr>
          <w:rFonts w:hint="eastAsia" w:ascii="仿宋" w:hAnsi="仿宋" w:eastAsia="仿宋" w:cs="仿宋_GB2312"/>
          <w:color w:val="000000"/>
          <w:kern w:val="0"/>
          <w:sz w:val="32"/>
          <w:szCs w:val="32"/>
          <w:u w:val="none"/>
        </w:rPr>
        <w:t>市</w:t>
      </w:r>
      <w:r>
        <w:rPr>
          <w:rFonts w:hint="eastAsia" w:ascii="仿宋" w:hAnsi="仿宋" w:eastAsia="仿宋" w:cs="仿宋_GB2312"/>
          <w:color w:val="000000"/>
          <w:kern w:val="0"/>
          <w:sz w:val="32"/>
          <w:szCs w:val="32"/>
          <w:u w:val="none"/>
          <w:lang w:eastAsia="zh-CN"/>
        </w:rPr>
        <w:t>经济和信息化局（市</w:t>
      </w:r>
      <w:r>
        <w:rPr>
          <w:rFonts w:hint="eastAsia" w:ascii="仿宋" w:hAnsi="仿宋" w:eastAsia="仿宋" w:cs="仿宋_GB2312"/>
          <w:color w:val="000000"/>
          <w:kern w:val="0"/>
          <w:sz w:val="32"/>
          <w:szCs w:val="32"/>
          <w:u w:val="none"/>
        </w:rPr>
        <w:t>民营经济健康发展促进局</w:t>
      </w:r>
      <w:r>
        <w:rPr>
          <w:rFonts w:hint="eastAsia" w:ascii="仿宋" w:hAnsi="仿宋" w:eastAsia="仿宋" w:cs="仿宋_GB2312"/>
          <w:color w:val="000000"/>
          <w:kern w:val="0"/>
          <w:sz w:val="32"/>
          <w:szCs w:val="32"/>
          <w:u w:val="none"/>
          <w:lang w:eastAsia="zh-CN"/>
        </w:rPr>
        <w:t>）</w:t>
      </w:r>
      <w:r>
        <w:rPr>
          <w:rFonts w:hint="eastAsia" w:ascii="仿宋" w:hAnsi="仿宋" w:eastAsia="仿宋" w:cs="仿宋_GB2312"/>
          <w:color w:val="000000"/>
          <w:sz w:val="32"/>
          <w:szCs w:val="32"/>
          <w:u w:val="none"/>
        </w:rPr>
        <w:t>的协调指挥，根据重大涉企案件报告工作需要，开展相应工作。</w:t>
      </w:r>
    </w:p>
    <w:p>
      <w:pPr>
        <w:snapToGrid w:val="0"/>
        <w:spacing w:line="560" w:lineRule="exact"/>
        <w:ind w:firstLine="640" w:firstLineChars="200"/>
        <w:rPr>
          <w:rFonts w:ascii="仿宋" w:hAnsi="仿宋" w:eastAsia="仿宋" w:cs="仿宋_GB2312"/>
          <w:color w:val="000000"/>
          <w:sz w:val="32"/>
          <w:szCs w:val="32"/>
          <w:u w:val="none"/>
        </w:rPr>
      </w:pPr>
      <w:r>
        <w:rPr>
          <w:rFonts w:hint="eastAsia" w:ascii="仿宋" w:hAnsi="仿宋" w:eastAsia="仿宋" w:cs="仿宋_GB2312"/>
          <w:color w:val="000000"/>
          <w:sz w:val="32"/>
          <w:szCs w:val="32"/>
          <w:u w:val="none"/>
        </w:rPr>
        <w:t>第十条 各单位应根据职责分工，做好重大涉企案件报告的各项工作，加强沟通，做好相关信息的交流与共享。</w:t>
      </w:r>
      <w:r>
        <w:rPr>
          <w:rFonts w:ascii="仿宋" w:hAnsi="仿宋" w:eastAsia="仿宋" w:cs="仿宋_GB2312"/>
          <w:sz w:val="32"/>
          <w:szCs w:val="32"/>
          <w:u w:val="none"/>
        </w:rPr>
        <w:t>有关单位和人员报送、报告企业</w:t>
      </w:r>
      <w:r>
        <w:rPr>
          <w:rFonts w:hint="eastAsia" w:ascii="仿宋" w:hAnsi="仿宋" w:eastAsia="仿宋" w:cs="仿宋_GB2312"/>
          <w:sz w:val="32"/>
          <w:szCs w:val="32"/>
          <w:u w:val="none"/>
        </w:rPr>
        <w:t>重大涉企案件信息</w:t>
      </w:r>
      <w:r>
        <w:rPr>
          <w:rFonts w:ascii="仿宋" w:hAnsi="仿宋" w:eastAsia="仿宋" w:cs="仿宋_GB2312"/>
          <w:sz w:val="32"/>
          <w:szCs w:val="32"/>
          <w:u w:val="none"/>
        </w:rPr>
        <w:t>，应做到及时、客观、真实。</w:t>
      </w:r>
      <w:r>
        <w:rPr>
          <w:rFonts w:hint="eastAsia" w:ascii="仿宋" w:hAnsi="仿宋" w:eastAsia="仿宋" w:cs="仿宋_GB2312"/>
          <w:sz w:val="32"/>
          <w:szCs w:val="32"/>
          <w:u w:val="none"/>
        </w:rPr>
        <w:t>对在工作中存在迟报、谎报、瞒报案</w:t>
      </w:r>
      <w:r>
        <w:rPr>
          <w:rFonts w:hint="eastAsia" w:ascii="仿宋" w:hAnsi="仿宋" w:eastAsia="仿宋" w:cs="仿宋_GB2312"/>
          <w:color w:val="000000"/>
          <w:sz w:val="32"/>
          <w:szCs w:val="32"/>
          <w:u w:val="none"/>
        </w:rPr>
        <w:t>件的，依照有关规定对责任人给予追究相关责任。</w:t>
      </w:r>
    </w:p>
    <w:p>
      <w:pPr>
        <w:autoSpaceDE w:val="0"/>
        <w:snapToGrid w:val="0"/>
        <w:spacing w:line="560" w:lineRule="exact"/>
        <w:jc w:val="center"/>
        <w:rPr>
          <w:rFonts w:ascii="黑体" w:hAnsi="黑体" w:eastAsia="黑体" w:cs="仿宋_GB2312"/>
          <w:sz w:val="32"/>
          <w:szCs w:val="32"/>
          <w:u w:val="none"/>
        </w:rPr>
      </w:pPr>
      <w:r>
        <w:rPr>
          <w:rFonts w:hint="eastAsia" w:ascii="黑体" w:hAnsi="黑体" w:eastAsia="黑体" w:cs="仿宋_GB2312"/>
          <w:sz w:val="32"/>
          <w:szCs w:val="32"/>
          <w:u w:val="none"/>
        </w:rPr>
        <w:t>第七章 附则</w:t>
      </w:r>
    </w:p>
    <w:p>
      <w:pPr>
        <w:autoSpaceDE w:val="0"/>
        <w:snapToGrid w:val="0"/>
        <w:spacing w:line="560" w:lineRule="exact"/>
        <w:ind w:firstLine="640" w:firstLineChars="200"/>
        <w:rPr>
          <w:rFonts w:ascii="仿宋" w:hAnsi="仿宋" w:eastAsia="仿宋" w:cs="仿宋_GB2312"/>
          <w:sz w:val="32"/>
          <w:szCs w:val="32"/>
          <w:u w:val="none"/>
        </w:rPr>
      </w:pPr>
      <w:r>
        <w:rPr>
          <w:rStyle w:val="15"/>
          <w:rFonts w:hint="eastAsia" w:ascii="仿宋" w:hAnsi="仿宋" w:eastAsia="仿宋"/>
          <w:sz w:val="32"/>
          <w:szCs w:val="32"/>
          <w:u w:val="none"/>
        </w:rPr>
        <w:t>第十一条 重大涉企案件报送时</w:t>
      </w:r>
      <w:r>
        <w:rPr>
          <w:rFonts w:ascii="仿宋" w:hAnsi="仿宋" w:eastAsia="仿宋"/>
          <w:sz w:val="32"/>
          <w:szCs w:val="32"/>
          <w:u w:val="none"/>
        </w:rPr>
        <w:t>，必须严格遵守保密规定和保护个人隐私原则。凡涉及国家机密、商业秘密或者个人隐私的</w:t>
      </w:r>
      <w:r>
        <w:rPr>
          <w:rFonts w:hint="eastAsia" w:ascii="仿宋" w:hAnsi="仿宋" w:eastAsia="仿宋"/>
          <w:sz w:val="32"/>
          <w:szCs w:val="32"/>
          <w:u w:val="none"/>
        </w:rPr>
        <w:t>，不得对外</w:t>
      </w:r>
      <w:r>
        <w:rPr>
          <w:rFonts w:ascii="仿宋" w:hAnsi="仿宋" w:eastAsia="仿宋"/>
          <w:sz w:val="32"/>
          <w:szCs w:val="32"/>
          <w:u w:val="none"/>
        </w:rPr>
        <w:t>公布。</w:t>
      </w:r>
    </w:p>
    <w:p>
      <w:pPr>
        <w:autoSpaceDE w:val="0"/>
        <w:snapToGrid w:val="0"/>
        <w:spacing w:line="560" w:lineRule="exact"/>
        <w:ind w:firstLine="640" w:firstLineChars="200"/>
        <w:rPr>
          <w:rFonts w:ascii="仿宋" w:hAnsi="仿宋" w:eastAsia="仿宋"/>
          <w:sz w:val="32"/>
          <w:szCs w:val="32"/>
          <w:u w:val="none"/>
        </w:rPr>
      </w:pPr>
      <w:r>
        <w:rPr>
          <w:rFonts w:ascii="仿宋" w:hAnsi="仿宋" w:eastAsia="仿宋"/>
          <w:sz w:val="32"/>
          <w:szCs w:val="32"/>
          <w:u w:val="none"/>
        </w:rPr>
        <w:t>第十</w:t>
      </w:r>
      <w:r>
        <w:rPr>
          <w:rFonts w:hint="eastAsia" w:ascii="仿宋" w:hAnsi="仿宋" w:eastAsia="仿宋"/>
          <w:sz w:val="32"/>
          <w:szCs w:val="32"/>
          <w:u w:val="none"/>
        </w:rPr>
        <w:t>二</w:t>
      </w:r>
      <w:r>
        <w:rPr>
          <w:rFonts w:ascii="仿宋" w:hAnsi="仿宋" w:eastAsia="仿宋"/>
          <w:sz w:val="32"/>
          <w:szCs w:val="32"/>
          <w:u w:val="none"/>
        </w:rPr>
        <w:t>条</w:t>
      </w:r>
      <w:r>
        <w:rPr>
          <w:rFonts w:hint="eastAsia" w:ascii="仿宋" w:hAnsi="仿宋" w:eastAsia="仿宋" w:cs="仿宋_GB2312"/>
          <w:sz w:val="32"/>
          <w:szCs w:val="32"/>
          <w:u w:val="none"/>
        </w:rPr>
        <w:t xml:space="preserve"> </w:t>
      </w:r>
      <w:r>
        <w:rPr>
          <w:rFonts w:ascii="仿宋" w:hAnsi="仿宋" w:eastAsia="仿宋"/>
          <w:sz w:val="32"/>
          <w:szCs w:val="32"/>
          <w:u w:val="none"/>
        </w:rPr>
        <w:t>本制度由</w:t>
      </w:r>
      <w:r>
        <w:rPr>
          <w:rFonts w:hint="eastAsia" w:ascii="仿宋" w:hAnsi="仿宋" w:eastAsia="仿宋" w:cs="仿宋_GB2312"/>
          <w:color w:val="000000"/>
          <w:kern w:val="0"/>
          <w:sz w:val="32"/>
          <w:szCs w:val="32"/>
          <w:u w:val="none"/>
        </w:rPr>
        <w:t>市</w:t>
      </w:r>
      <w:r>
        <w:rPr>
          <w:rFonts w:hint="eastAsia" w:ascii="仿宋" w:hAnsi="仿宋" w:eastAsia="仿宋" w:cs="仿宋_GB2312"/>
          <w:color w:val="000000"/>
          <w:kern w:val="0"/>
          <w:sz w:val="32"/>
          <w:szCs w:val="32"/>
          <w:u w:val="none"/>
          <w:lang w:eastAsia="zh-CN"/>
        </w:rPr>
        <w:t>经济和信息化局（市</w:t>
      </w:r>
      <w:r>
        <w:rPr>
          <w:rFonts w:hint="eastAsia" w:ascii="仿宋" w:hAnsi="仿宋" w:eastAsia="仿宋" w:cs="仿宋_GB2312"/>
          <w:color w:val="000000"/>
          <w:kern w:val="0"/>
          <w:sz w:val="32"/>
          <w:szCs w:val="32"/>
          <w:u w:val="none"/>
        </w:rPr>
        <w:t>民营经济健康发展促进局</w:t>
      </w:r>
      <w:r>
        <w:rPr>
          <w:rFonts w:hint="eastAsia" w:ascii="仿宋" w:hAnsi="仿宋" w:eastAsia="仿宋" w:cs="仿宋_GB2312"/>
          <w:color w:val="000000"/>
          <w:kern w:val="0"/>
          <w:sz w:val="32"/>
          <w:szCs w:val="32"/>
          <w:u w:val="none"/>
          <w:lang w:eastAsia="zh-CN"/>
        </w:rPr>
        <w:t>）</w:t>
      </w:r>
      <w:r>
        <w:rPr>
          <w:rFonts w:ascii="仿宋" w:hAnsi="仿宋" w:eastAsia="仿宋"/>
          <w:sz w:val="32"/>
          <w:szCs w:val="32"/>
          <w:u w:val="none"/>
        </w:rPr>
        <w:t>负责修订和解释。</w:t>
      </w:r>
    </w:p>
    <w:p>
      <w:pPr>
        <w:autoSpaceDE w:val="0"/>
        <w:snapToGrid w:val="0"/>
        <w:spacing w:line="560" w:lineRule="exact"/>
        <w:ind w:firstLine="640" w:firstLineChars="200"/>
        <w:rPr>
          <w:rFonts w:ascii="仿宋" w:hAnsi="仿宋" w:eastAsia="仿宋"/>
          <w:sz w:val="32"/>
          <w:szCs w:val="32"/>
          <w:u w:val="none"/>
        </w:rPr>
      </w:pPr>
      <w:r>
        <w:rPr>
          <w:rFonts w:hint="eastAsia" w:ascii="仿宋" w:hAnsi="仿宋" w:eastAsia="仿宋"/>
          <w:sz w:val="32"/>
          <w:szCs w:val="32"/>
          <w:u w:val="none"/>
        </w:rPr>
        <w:t>第十三条 本制度自印发之日起施行。</w:t>
      </w:r>
    </w:p>
    <w:p>
      <w:pPr>
        <w:autoSpaceDE w:val="0"/>
        <w:snapToGrid w:val="0"/>
        <w:spacing w:line="540" w:lineRule="exact"/>
        <w:ind w:firstLine="640" w:firstLineChars="200"/>
        <w:rPr>
          <w:sz w:val="32"/>
          <w:szCs w:val="32"/>
          <w:u w:val="none"/>
        </w:rPr>
      </w:pPr>
    </w:p>
    <w:p>
      <w:pPr>
        <w:widowControl/>
        <w:jc w:val="left"/>
        <w:rPr>
          <w:rFonts w:ascii="仿宋" w:hAnsi="仿宋" w:eastAsia="仿宋" w:cs="仿宋_GB2312"/>
          <w:color w:val="000000"/>
          <w:kern w:val="0"/>
          <w:sz w:val="32"/>
          <w:szCs w:val="32"/>
          <w:u w:val="none"/>
        </w:rPr>
      </w:pPr>
    </w:p>
    <w:sectPr>
      <w:footerReference r:id="rId3" w:type="default"/>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D6FC0"/>
    <w:rsid w:val="00001183"/>
    <w:rsid w:val="00027AA9"/>
    <w:rsid w:val="0005151D"/>
    <w:rsid w:val="00061D94"/>
    <w:rsid w:val="000665A2"/>
    <w:rsid w:val="000C37BD"/>
    <w:rsid w:val="000E02EB"/>
    <w:rsid w:val="00193244"/>
    <w:rsid w:val="001A16C3"/>
    <w:rsid w:val="001B771B"/>
    <w:rsid w:val="001E62EA"/>
    <w:rsid w:val="001F28E1"/>
    <w:rsid w:val="001F46D3"/>
    <w:rsid w:val="00202AC3"/>
    <w:rsid w:val="00204209"/>
    <w:rsid w:val="00243CDC"/>
    <w:rsid w:val="00250627"/>
    <w:rsid w:val="00255BB4"/>
    <w:rsid w:val="0027444F"/>
    <w:rsid w:val="00280872"/>
    <w:rsid w:val="00303192"/>
    <w:rsid w:val="0039002E"/>
    <w:rsid w:val="003B31AC"/>
    <w:rsid w:val="003E2422"/>
    <w:rsid w:val="00427918"/>
    <w:rsid w:val="004C024E"/>
    <w:rsid w:val="004F1B2D"/>
    <w:rsid w:val="0050184E"/>
    <w:rsid w:val="005050FB"/>
    <w:rsid w:val="00514B9F"/>
    <w:rsid w:val="0052373F"/>
    <w:rsid w:val="005517C4"/>
    <w:rsid w:val="005D2F3E"/>
    <w:rsid w:val="005D7EBD"/>
    <w:rsid w:val="005E5522"/>
    <w:rsid w:val="005E59A3"/>
    <w:rsid w:val="00603E16"/>
    <w:rsid w:val="006340D5"/>
    <w:rsid w:val="006819DB"/>
    <w:rsid w:val="006A4985"/>
    <w:rsid w:val="006C3FB2"/>
    <w:rsid w:val="006E251D"/>
    <w:rsid w:val="00756299"/>
    <w:rsid w:val="00760045"/>
    <w:rsid w:val="007A6D6C"/>
    <w:rsid w:val="007E7233"/>
    <w:rsid w:val="007F1339"/>
    <w:rsid w:val="007F7400"/>
    <w:rsid w:val="00801736"/>
    <w:rsid w:val="008141BC"/>
    <w:rsid w:val="0082098D"/>
    <w:rsid w:val="00861EE3"/>
    <w:rsid w:val="00866874"/>
    <w:rsid w:val="00874FE8"/>
    <w:rsid w:val="0089094F"/>
    <w:rsid w:val="00894D7B"/>
    <w:rsid w:val="00904275"/>
    <w:rsid w:val="00936E29"/>
    <w:rsid w:val="009464E4"/>
    <w:rsid w:val="00977881"/>
    <w:rsid w:val="00977B18"/>
    <w:rsid w:val="0099626D"/>
    <w:rsid w:val="009E1859"/>
    <w:rsid w:val="009F6FB4"/>
    <w:rsid w:val="00A04D8A"/>
    <w:rsid w:val="00A05C51"/>
    <w:rsid w:val="00A0638F"/>
    <w:rsid w:val="00A318AE"/>
    <w:rsid w:val="00A60C4B"/>
    <w:rsid w:val="00A93B3E"/>
    <w:rsid w:val="00AA0192"/>
    <w:rsid w:val="00B02671"/>
    <w:rsid w:val="00B1444D"/>
    <w:rsid w:val="00B14CEE"/>
    <w:rsid w:val="00B330B3"/>
    <w:rsid w:val="00B34512"/>
    <w:rsid w:val="00B34978"/>
    <w:rsid w:val="00B42D37"/>
    <w:rsid w:val="00B42F5E"/>
    <w:rsid w:val="00B47AD8"/>
    <w:rsid w:val="00B808B8"/>
    <w:rsid w:val="00B945AF"/>
    <w:rsid w:val="00BA62C1"/>
    <w:rsid w:val="00BA70CB"/>
    <w:rsid w:val="00BB0BE2"/>
    <w:rsid w:val="00BD6DE4"/>
    <w:rsid w:val="00C0261A"/>
    <w:rsid w:val="00C2064D"/>
    <w:rsid w:val="00C2254E"/>
    <w:rsid w:val="00C93C3B"/>
    <w:rsid w:val="00CA4CBB"/>
    <w:rsid w:val="00CC012A"/>
    <w:rsid w:val="00CD4680"/>
    <w:rsid w:val="00CE3CDF"/>
    <w:rsid w:val="00CE526B"/>
    <w:rsid w:val="00CF7722"/>
    <w:rsid w:val="00D166F9"/>
    <w:rsid w:val="00D530F9"/>
    <w:rsid w:val="00D61A79"/>
    <w:rsid w:val="00D72921"/>
    <w:rsid w:val="00D906B9"/>
    <w:rsid w:val="00DB22F5"/>
    <w:rsid w:val="00DC2B1B"/>
    <w:rsid w:val="00E603BF"/>
    <w:rsid w:val="00E62796"/>
    <w:rsid w:val="00E869C9"/>
    <w:rsid w:val="00E86BB5"/>
    <w:rsid w:val="00E86E13"/>
    <w:rsid w:val="00EF6B3E"/>
    <w:rsid w:val="00F20B65"/>
    <w:rsid w:val="00F4770F"/>
    <w:rsid w:val="00F86CED"/>
    <w:rsid w:val="00F92EC9"/>
    <w:rsid w:val="00FA5240"/>
    <w:rsid w:val="00FC3319"/>
    <w:rsid w:val="00FC419E"/>
    <w:rsid w:val="03A1185A"/>
    <w:rsid w:val="04BB1A6B"/>
    <w:rsid w:val="05194206"/>
    <w:rsid w:val="05F443E4"/>
    <w:rsid w:val="088C14A9"/>
    <w:rsid w:val="09EC511D"/>
    <w:rsid w:val="0B3A7DEE"/>
    <w:rsid w:val="0BEC4B20"/>
    <w:rsid w:val="0D6F00A9"/>
    <w:rsid w:val="12674E0D"/>
    <w:rsid w:val="14D3699C"/>
    <w:rsid w:val="177E17C1"/>
    <w:rsid w:val="1A354EEE"/>
    <w:rsid w:val="1CB803B0"/>
    <w:rsid w:val="20617BE4"/>
    <w:rsid w:val="22A1480E"/>
    <w:rsid w:val="244D2273"/>
    <w:rsid w:val="251B4896"/>
    <w:rsid w:val="25B460C8"/>
    <w:rsid w:val="2D45129A"/>
    <w:rsid w:val="2F2F1BCC"/>
    <w:rsid w:val="302E70A2"/>
    <w:rsid w:val="31DD6FC0"/>
    <w:rsid w:val="367A6D66"/>
    <w:rsid w:val="38781113"/>
    <w:rsid w:val="3FD35B01"/>
    <w:rsid w:val="424E77A0"/>
    <w:rsid w:val="437119A5"/>
    <w:rsid w:val="4B875CE9"/>
    <w:rsid w:val="4D1C476B"/>
    <w:rsid w:val="4E1F5A4C"/>
    <w:rsid w:val="4F5151EF"/>
    <w:rsid w:val="515D7FEB"/>
    <w:rsid w:val="520E0F72"/>
    <w:rsid w:val="52D60C3C"/>
    <w:rsid w:val="53EA7F06"/>
    <w:rsid w:val="58B807FE"/>
    <w:rsid w:val="622370AA"/>
    <w:rsid w:val="64D24854"/>
    <w:rsid w:val="66561873"/>
    <w:rsid w:val="66CE0852"/>
    <w:rsid w:val="680C3C5A"/>
    <w:rsid w:val="686716F9"/>
    <w:rsid w:val="68FD10B3"/>
    <w:rsid w:val="6B831E9D"/>
    <w:rsid w:val="6B9D4C9B"/>
    <w:rsid w:val="6C30665C"/>
    <w:rsid w:val="6C500FA4"/>
    <w:rsid w:val="6E3D2634"/>
    <w:rsid w:val="6FAF6F6D"/>
    <w:rsid w:val="751C6BC2"/>
    <w:rsid w:val="77127E20"/>
    <w:rsid w:val="77F359FF"/>
    <w:rsid w:val="7A41735E"/>
    <w:rsid w:val="7B5A5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highlight"/>
    <w:basedOn w:val="6"/>
    <w:qFormat/>
    <w:uiPriority w:val="0"/>
  </w:style>
  <w:style w:type="table" w:customStyle="1" w:styleId="16">
    <w:name w:val="网格型1"/>
    <w:basedOn w:val="8"/>
    <w:qFormat/>
    <w:uiPriority w:val="0"/>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2A5F4-92C4-4C9F-8DC3-1C277F12FE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342</Words>
  <Characters>1950</Characters>
  <Lines>16</Lines>
  <Paragraphs>4</Paragraphs>
  <TotalTime>28</TotalTime>
  <ScaleCrop>false</ScaleCrop>
  <LinksUpToDate>false</LinksUpToDate>
  <CharactersWithSpaces>2288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2018-12-24T03:06:00Z</dcterms:created>
  <dc:creator>OO</dc:creator>
  <cp:lastModifiedBy>OO</cp:lastModifiedBy>
  <cp:lastPrinted>2019-01-15T08:52:00Z</cp:lastPrinted>
  <dcterms:modified xsi:type="dcterms:W3CDTF">2019-01-16T10:31:20Z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