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03F" w:rsidRDefault="008C503F"/>
    <w:p w:rsidR="008C503F" w:rsidRDefault="008C503F" w:rsidP="008C503F">
      <w:pPr>
        <w:pStyle w:val="1"/>
        <w:spacing w:line="600" w:lineRule="exact"/>
        <w:ind w:firstLineChars="0" w:firstLine="0"/>
        <w:jc w:val="center"/>
        <w:rPr>
          <w:rFonts w:ascii="方正小标宋简体" w:eastAsia="方正小标宋简体"/>
          <w:color w:val="000000"/>
          <w:sz w:val="44"/>
          <w:szCs w:val="44"/>
        </w:rPr>
      </w:pPr>
      <w:r>
        <w:rPr>
          <w:rFonts w:ascii="方正小标宋简体" w:eastAsia="方正小标宋简体" w:hint="eastAsia"/>
          <w:color w:val="000000"/>
          <w:sz w:val="44"/>
          <w:szCs w:val="44"/>
        </w:rPr>
        <w:t>温栀子鲜果目标价格保险试点方案</w:t>
      </w:r>
    </w:p>
    <w:p w:rsidR="005A5576" w:rsidRDefault="005A5576" w:rsidP="005A5576">
      <w:pPr>
        <w:spacing w:line="560" w:lineRule="exact"/>
        <w:jc w:val="center"/>
        <w:rPr>
          <w:rFonts w:ascii="仿宋" w:eastAsia="仿宋" w:hAnsi="仿宋" w:hint="eastAsia"/>
          <w:sz w:val="30"/>
          <w:szCs w:val="30"/>
        </w:rPr>
      </w:pPr>
      <w:r>
        <w:rPr>
          <w:rFonts w:ascii="仿宋" w:eastAsia="仿宋" w:hAnsi="仿宋"/>
          <w:sz w:val="30"/>
          <w:szCs w:val="30"/>
        </w:rPr>
        <w:tab/>
      </w:r>
    </w:p>
    <w:p w:rsidR="005A5576" w:rsidRDefault="005A5576" w:rsidP="005A5576">
      <w:pPr>
        <w:spacing w:line="560" w:lineRule="exact"/>
        <w:jc w:val="center"/>
        <w:rPr>
          <w:rFonts w:ascii="宋体" w:hAnsi="宋体"/>
          <w:sz w:val="36"/>
          <w:szCs w:val="36"/>
        </w:rPr>
      </w:pPr>
      <w:r>
        <w:rPr>
          <w:rFonts w:ascii="宋体" w:hAnsi="宋体" w:hint="eastAsia"/>
          <w:sz w:val="36"/>
          <w:szCs w:val="36"/>
        </w:rPr>
        <w:t>(征求意见稿)</w:t>
      </w:r>
    </w:p>
    <w:p w:rsidR="005A5576" w:rsidRDefault="005A5576" w:rsidP="008C503F">
      <w:pPr>
        <w:autoSpaceDE w:val="0"/>
        <w:spacing w:line="600" w:lineRule="exact"/>
        <w:ind w:firstLineChars="200" w:firstLine="640"/>
        <w:textAlignment w:val="baseline"/>
        <w:rPr>
          <w:rFonts w:ascii="仿宋_GB2312" w:eastAsia="仿宋_GB2312" w:hAnsi="仿宋_GB2312" w:cs="仿宋_GB2312" w:hint="eastAsia"/>
          <w:sz w:val="32"/>
          <w:szCs w:val="32"/>
        </w:rPr>
      </w:pP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中共中央国务院关于实施乡村振兴战略的意见》（2018年中央1号）文件精神，践行《浙江省委省人民政府关于印发&lt;全面实施乡村振兴战略高水平推进农业农村现代化行动计划（2018-2022年）&gt;的通知》（浙委发〔2018〕16号）等文件要求</w:t>
      </w:r>
      <w:r>
        <w:rPr>
          <w:rFonts w:ascii="仿宋_GB2312" w:eastAsia="仿宋_GB2312" w:hAnsi="仿宋_GB2312" w:cs="仿宋_GB2312" w:hint="eastAsia"/>
          <w:color w:val="000000"/>
          <w:sz w:val="32"/>
          <w:szCs w:val="32"/>
        </w:rPr>
        <w:t>，基于温栀子产业实际并经大量调研，</w:t>
      </w:r>
      <w:r>
        <w:rPr>
          <w:rFonts w:ascii="仿宋_GB2312" w:eastAsia="仿宋_GB2312" w:hAnsi="仿宋_GB2312" w:cs="仿宋_GB2312" w:hint="eastAsia"/>
          <w:sz w:val="32"/>
          <w:szCs w:val="32"/>
        </w:rPr>
        <w:t>创新开发了温栀子</w:t>
      </w:r>
      <w:r>
        <w:rPr>
          <w:rFonts w:ascii="仿宋_GB2312" w:eastAsia="仿宋_GB2312" w:hAnsi="仿宋_GB2312" w:cs="仿宋_GB2312" w:hint="eastAsia"/>
          <w:bCs/>
          <w:sz w:val="32"/>
          <w:szCs w:val="32"/>
        </w:rPr>
        <w:t>鲜果目标价格</w:t>
      </w:r>
      <w:r>
        <w:rPr>
          <w:rFonts w:ascii="仿宋_GB2312" w:eastAsia="仿宋_GB2312" w:hAnsi="仿宋_GB2312" w:cs="仿宋_GB2312" w:hint="eastAsia"/>
          <w:sz w:val="32"/>
          <w:szCs w:val="32"/>
        </w:rPr>
        <w:t>保险，特制定本试点方案。</w:t>
      </w:r>
    </w:p>
    <w:p w:rsidR="008C503F" w:rsidRDefault="008C503F" w:rsidP="008C503F">
      <w:pPr>
        <w:autoSpaceDE w:val="0"/>
        <w:spacing w:line="600" w:lineRule="exact"/>
        <w:ind w:firstLineChars="200" w:firstLine="640"/>
        <w:textAlignment w:val="baseline"/>
        <w:rPr>
          <w:rFonts w:ascii="黑体" w:eastAsia="黑体" w:hAnsi="黑体" w:cs="仿宋_GB2312"/>
          <w:color w:val="000000"/>
          <w:sz w:val="32"/>
          <w:szCs w:val="32"/>
        </w:rPr>
      </w:pPr>
      <w:r>
        <w:rPr>
          <w:rFonts w:ascii="黑体" w:eastAsia="黑体" w:hAnsi="黑体" w:hint="eastAsia"/>
          <w:sz w:val="32"/>
          <w:szCs w:val="32"/>
        </w:rPr>
        <w:t>一</w:t>
      </w:r>
      <w:r>
        <w:rPr>
          <w:rFonts w:ascii="黑体" w:eastAsia="黑体" w:hAnsi="黑体"/>
          <w:sz w:val="32"/>
          <w:szCs w:val="32"/>
        </w:rPr>
        <w:t>、</w:t>
      </w:r>
      <w:r>
        <w:rPr>
          <w:rFonts w:ascii="黑体" w:eastAsia="黑体" w:hAnsi="黑体" w:hint="eastAsia"/>
          <w:sz w:val="32"/>
          <w:szCs w:val="32"/>
        </w:rPr>
        <w:t>指导思想</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充分发挥农业保险服务支持乡村振兴战略实施的功能作用，实行政策扶持与商业化运作相结合，积极探索温栀子鲜果目标价格保险创新模式，保护温栀子生产者的积极性，增强其抵御市场价格暴跌风险的能力，促进温栀子种植产业的可持续发展。</w:t>
      </w:r>
    </w:p>
    <w:p w:rsidR="008C503F" w:rsidRDefault="008C503F" w:rsidP="008C503F">
      <w:pPr>
        <w:autoSpaceDE w:val="0"/>
        <w:spacing w:line="600" w:lineRule="exact"/>
        <w:ind w:firstLineChars="200" w:firstLine="640"/>
        <w:textAlignment w:val="baseline"/>
        <w:rPr>
          <w:rFonts w:ascii="黑体" w:eastAsia="黑体" w:hAnsi="黑体" w:cs="仿宋_GB2312"/>
          <w:color w:val="000000"/>
          <w:sz w:val="32"/>
          <w:szCs w:val="32"/>
        </w:rPr>
      </w:pPr>
      <w:r>
        <w:rPr>
          <w:rFonts w:ascii="黑体" w:eastAsia="黑体" w:hAnsi="黑体" w:hint="eastAsia"/>
          <w:sz w:val="32"/>
          <w:szCs w:val="32"/>
        </w:rPr>
        <w:t>二</w:t>
      </w:r>
      <w:r>
        <w:rPr>
          <w:rFonts w:ascii="黑体" w:eastAsia="黑体" w:hAnsi="黑体"/>
          <w:sz w:val="32"/>
          <w:szCs w:val="32"/>
        </w:rPr>
        <w:t>、</w:t>
      </w:r>
      <w:r>
        <w:rPr>
          <w:rFonts w:ascii="黑体" w:eastAsia="黑体" w:hAnsi="黑体" w:hint="eastAsia"/>
          <w:sz w:val="32"/>
          <w:szCs w:val="32"/>
        </w:rPr>
        <w:t>基本原则</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以《农业保险条例》为指引，遵循下列基本原则：</w:t>
      </w:r>
    </w:p>
    <w:p w:rsidR="008C503F" w:rsidRDefault="008C503F" w:rsidP="008C503F">
      <w:pPr>
        <w:numPr>
          <w:ilvl w:val="0"/>
          <w:numId w:val="1"/>
        </w:numPr>
        <w:autoSpaceDE w:val="0"/>
        <w:spacing w:line="600" w:lineRule="exact"/>
        <w:ind w:firstLineChars="200" w:firstLine="640"/>
        <w:textAlignment w:val="baseline"/>
        <w:rPr>
          <w:rFonts w:ascii="仿宋_GB2312" w:eastAsia="仿宋_GB2312" w:hAnsi="仿宋_GB2312" w:cs="仿宋_GB2312"/>
          <w:sz w:val="32"/>
          <w:szCs w:val="32"/>
        </w:rPr>
      </w:pPr>
      <w:r>
        <w:rPr>
          <w:rFonts w:ascii="楷体_GB2312" w:eastAsia="楷体_GB2312" w:hAnsi="楷体_GB2312" w:cs="楷体_GB2312" w:hint="eastAsia"/>
          <w:sz w:val="32"/>
          <w:szCs w:val="32"/>
        </w:rPr>
        <w:t>政府引导</w:t>
      </w:r>
      <w:r>
        <w:rPr>
          <w:rFonts w:ascii="仿宋_GB2312" w:eastAsia="仿宋_GB2312" w:hAnsi="仿宋_GB2312" w:cs="仿宋_GB2312" w:hint="eastAsia"/>
          <w:sz w:val="32"/>
          <w:szCs w:val="32"/>
        </w:rPr>
        <w:t>。通过制定政策发挥财政资金引导作用，推动和鼓励温栀子种植户参加温栀子鲜果目标价格保险，推进特色农业保险的开展。</w:t>
      </w:r>
    </w:p>
    <w:p w:rsidR="008C503F" w:rsidRDefault="008C503F" w:rsidP="008C503F">
      <w:pPr>
        <w:numPr>
          <w:ilvl w:val="0"/>
          <w:numId w:val="1"/>
        </w:numPr>
        <w:autoSpaceDE w:val="0"/>
        <w:spacing w:line="600" w:lineRule="exact"/>
        <w:ind w:firstLineChars="200" w:firstLine="640"/>
        <w:textAlignment w:val="baseline"/>
        <w:rPr>
          <w:rFonts w:ascii="仿宋_GB2312" w:eastAsia="仿宋_GB2312" w:hAnsi="仿宋_GB2312" w:cs="仿宋_GB2312"/>
          <w:sz w:val="32"/>
          <w:szCs w:val="32"/>
        </w:rPr>
      </w:pPr>
      <w:r>
        <w:rPr>
          <w:rFonts w:ascii="楷体_GB2312" w:eastAsia="楷体_GB2312" w:hAnsi="楷体_GB2312" w:cs="楷体_GB2312" w:hint="eastAsia"/>
          <w:sz w:val="32"/>
          <w:szCs w:val="32"/>
        </w:rPr>
        <w:t>协会参与。</w:t>
      </w:r>
      <w:r>
        <w:rPr>
          <w:rFonts w:ascii="仿宋_GB2312" w:eastAsia="仿宋_GB2312" w:hAnsi="仿宋_GB2312" w:cs="仿宋_GB2312" w:hint="eastAsia"/>
          <w:sz w:val="32"/>
          <w:szCs w:val="32"/>
        </w:rPr>
        <w:t>发挥温州市中药材行业协会的作用，</w:t>
      </w:r>
      <w:r>
        <w:rPr>
          <w:rFonts w:ascii="仿宋_GB2312" w:eastAsia="仿宋_GB2312" w:hAnsi="仿宋_GB2312" w:cs="仿宋_GB2312" w:hint="eastAsia"/>
          <w:sz w:val="32"/>
          <w:szCs w:val="32"/>
        </w:rPr>
        <w:lastRenderedPageBreak/>
        <w:t>承担行业的中介服务。收集温栀子的市场信息资料，向种植户和保险公司提供产销服务和咨询。</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楷体_GB2312" w:eastAsia="楷体_GB2312" w:hAnsi="楷体_GB2312" w:cs="楷体_GB2312" w:hint="eastAsia"/>
          <w:sz w:val="32"/>
          <w:szCs w:val="32"/>
        </w:rPr>
        <w:t>（三）市场运作</w:t>
      </w:r>
      <w:r>
        <w:rPr>
          <w:rFonts w:ascii="仿宋_GB2312" w:eastAsia="仿宋_GB2312" w:hAnsi="仿宋_GB2312" w:cs="仿宋_GB2312" w:hint="eastAsia"/>
          <w:sz w:val="32"/>
          <w:szCs w:val="32"/>
        </w:rPr>
        <w:t>。遵循市场经济规律，运用市场化手段，发挥保险机构专业化风险防控优势，防范和化解温栀子鲜果价格下跌风险，一定程度上保障农户生产性收入。</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楷体_GB2312" w:eastAsia="楷体_GB2312" w:hAnsi="楷体_GB2312" w:cs="楷体_GB2312" w:hint="eastAsia"/>
          <w:sz w:val="32"/>
          <w:szCs w:val="32"/>
        </w:rPr>
        <w:t>（四）自主自愿</w:t>
      </w:r>
      <w:r>
        <w:rPr>
          <w:rFonts w:ascii="仿宋_GB2312" w:eastAsia="仿宋_GB2312" w:hAnsi="仿宋_GB2312" w:cs="仿宋_GB2312" w:hint="eastAsia"/>
          <w:sz w:val="32"/>
          <w:szCs w:val="32"/>
        </w:rPr>
        <w:t>。种植面积100亩以上的农业生产经营主体自愿参加温栀子鲜果目标价格保险。</w:t>
      </w:r>
    </w:p>
    <w:p w:rsidR="008C503F" w:rsidRDefault="008C503F" w:rsidP="008C503F">
      <w:pPr>
        <w:autoSpaceDE w:val="0"/>
        <w:spacing w:line="600" w:lineRule="exact"/>
        <w:ind w:firstLineChars="200" w:firstLine="640"/>
        <w:textAlignment w:val="baseline"/>
        <w:rPr>
          <w:rFonts w:ascii="仿宋" w:eastAsia="仿宋" w:hAnsi="仿宋" w:cs="仿宋_GB2312"/>
          <w:color w:val="000000"/>
          <w:sz w:val="32"/>
          <w:szCs w:val="32"/>
        </w:rPr>
      </w:pPr>
      <w:r>
        <w:rPr>
          <w:rFonts w:ascii="楷体_GB2312" w:eastAsia="楷体_GB2312" w:hAnsi="楷体_GB2312" w:cs="楷体_GB2312" w:hint="eastAsia"/>
          <w:sz w:val="32"/>
          <w:szCs w:val="32"/>
        </w:rPr>
        <w:t>（五）协同推进</w:t>
      </w:r>
      <w:r>
        <w:rPr>
          <w:rFonts w:ascii="仿宋_GB2312" w:eastAsia="仿宋_GB2312" w:hAnsi="仿宋_GB2312" w:cs="仿宋_GB2312" w:hint="eastAsia"/>
          <w:sz w:val="32"/>
          <w:szCs w:val="32"/>
        </w:rPr>
        <w:t>。地方政府主管部门、行业协会等组织共同推进保险试点工作，并给予保险公司积极支持。</w:t>
      </w:r>
    </w:p>
    <w:p w:rsidR="008C503F" w:rsidRDefault="008C503F" w:rsidP="008C503F">
      <w:pPr>
        <w:autoSpaceDE w:val="0"/>
        <w:spacing w:line="600" w:lineRule="exact"/>
        <w:ind w:firstLineChars="200" w:firstLine="640"/>
        <w:textAlignment w:val="baseline"/>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w:t>
      </w:r>
      <w:r>
        <w:rPr>
          <w:rFonts w:ascii="黑体" w:eastAsia="黑体" w:hAnsi="黑体" w:hint="eastAsia"/>
          <w:sz w:val="32"/>
          <w:szCs w:val="32"/>
        </w:rPr>
        <w:t>保险</w:t>
      </w:r>
      <w:r>
        <w:rPr>
          <w:rFonts w:ascii="黑体" w:eastAsia="黑体" w:hAnsi="黑体"/>
          <w:sz w:val="32"/>
          <w:szCs w:val="32"/>
        </w:rPr>
        <w:t>内容</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温栀子是传统中药材，内含京尼苷、栀子苷等，具有泻火除烦、清热利尿、凉血解毒、散瘀血等功效，由栀子提炼而成的天然色素广泛应用于食品、医药、日用化工等行业，是制作中成药、提炼植物精油或色素的重要初级农产品。温栀子价格受市场供求关系、产地地理资源、特殊气候条件影响较大。温栀子鲜果目标价格保险是依据保险经营原理为广大温栀子种植户提供采摘期价格下跌风险保障的创新保险机制，能够有效地促进农户的生产积极性和平抑市场价格波动风险。</w:t>
      </w:r>
    </w:p>
    <w:p w:rsidR="008C503F" w:rsidRDefault="008C503F" w:rsidP="008C503F">
      <w:pPr>
        <w:autoSpaceDE w:val="0"/>
        <w:spacing w:line="600" w:lineRule="exact"/>
        <w:ind w:firstLineChars="200" w:firstLine="640"/>
        <w:jc w:val="left"/>
        <w:textAlignment w:val="baseline"/>
        <w:rPr>
          <w:rFonts w:ascii="仿宋_GB2312" w:eastAsia="仿宋_GB2312" w:hAnsi="仿宋_GB2312" w:cs="仿宋_GB2312"/>
          <w:sz w:val="32"/>
          <w:szCs w:val="32"/>
        </w:rPr>
      </w:pPr>
      <w:r>
        <w:rPr>
          <w:rFonts w:ascii="楷体_GB2312" w:eastAsia="楷体_GB2312" w:hAnsi="楷体_GB2312" w:cs="楷体_GB2312" w:hint="eastAsia"/>
          <w:sz w:val="32"/>
          <w:szCs w:val="32"/>
        </w:rPr>
        <w:t>（一）保险对象。</w:t>
      </w:r>
    </w:p>
    <w:p w:rsidR="008C503F" w:rsidRDefault="008C503F" w:rsidP="008C503F">
      <w:pPr>
        <w:autoSpaceDE w:val="0"/>
        <w:spacing w:line="600" w:lineRule="exact"/>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首年试点选择有代表性的平阳（以大规模种植户为主）和泰顺（大中小规模兼具）2县种植面积100亩以上的种植大户、家庭农场、专业合作社、企业为投保对象,面积不足</w:t>
      </w:r>
      <w:r>
        <w:rPr>
          <w:rFonts w:ascii="仿宋_GB2312" w:eastAsia="仿宋_GB2312" w:hAnsi="仿宋_GB2312" w:cs="仿宋_GB2312" w:hint="eastAsia"/>
          <w:sz w:val="32"/>
          <w:szCs w:val="32"/>
        </w:rPr>
        <w:lastRenderedPageBreak/>
        <w:t>100亩的可以通过村级组织联合投保，试点合计面积约为10000亩，其中平阳6000亩，泰顺4000亩。</w:t>
      </w:r>
    </w:p>
    <w:p w:rsidR="008C503F" w:rsidRDefault="008C503F" w:rsidP="008C503F">
      <w:pPr>
        <w:autoSpaceDE w:val="0"/>
        <w:spacing w:line="600" w:lineRule="exact"/>
        <w:ind w:firstLineChars="200" w:firstLine="640"/>
        <w:jc w:val="left"/>
        <w:textAlignment w:val="baseline"/>
        <w:rPr>
          <w:rFonts w:ascii="仿宋_GB2312" w:eastAsia="仿宋_GB2312" w:hAnsi="仿宋_GB2312" w:cs="仿宋_GB2312"/>
          <w:sz w:val="32"/>
          <w:szCs w:val="32"/>
        </w:rPr>
      </w:pPr>
      <w:r>
        <w:rPr>
          <w:rFonts w:ascii="楷体_GB2312" w:eastAsia="楷体_GB2312" w:hAnsi="楷体_GB2312" w:cs="楷体_GB2312" w:hint="eastAsia"/>
          <w:sz w:val="32"/>
          <w:szCs w:val="32"/>
        </w:rPr>
        <w:t>（二）保险标的。</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温栀子。</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投保条件如下：</w:t>
      </w:r>
    </w:p>
    <w:p w:rsidR="008C503F" w:rsidRDefault="008C503F" w:rsidP="008C503F">
      <w:pPr>
        <w:widowControl/>
        <w:wordWrap w:val="0"/>
        <w:autoSpaceDE w:val="0"/>
        <w:spacing w:line="600" w:lineRule="exact"/>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1.符合当地普遍采用的种植规范和技术管理要求，种植密度不低于200株/亩；</w:t>
      </w:r>
    </w:p>
    <w:p w:rsidR="008C503F" w:rsidRDefault="008C503F" w:rsidP="008C503F">
      <w:pPr>
        <w:autoSpaceDE w:val="0"/>
        <w:spacing w:line="600" w:lineRule="exact"/>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2.符合《中华人民共和国药典》规定的品种，生长、管理正常，且在当地已投产；</w:t>
      </w:r>
    </w:p>
    <w:p w:rsidR="008C503F" w:rsidRDefault="008C503F" w:rsidP="008C503F">
      <w:pPr>
        <w:autoSpaceDE w:val="0"/>
        <w:spacing w:line="600" w:lineRule="exact"/>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3.种植场所在当地洪水水位线以上的非蓄洪区、行洪区。</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楷体_GB2312" w:eastAsia="楷体_GB2312" w:hAnsi="楷体_GB2312" w:cs="楷体_GB2312" w:hint="eastAsia"/>
          <w:sz w:val="32"/>
          <w:szCs w:val="32"/>
        </w:rPr>
        <w:t>（三）保险期间。</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本保险应在10月25日至11月25日，共计32日。此期间为栀子采收产量最高，且采收品质经济价值最高的阶段。</w:t>
      </w:r>
    </w:p>
    <w:p w:rsidR="008C503F" w:rsidRDefault="008C503F" w:rsidP="008C503F">
      <w:pPr>
        <w:autoSpaceDE w:val="0"/>
        <w:spacing w:line="600" w:lineRule="exact"/>
        <w:ind w:firstLineChars="200" w:firstLine="640"/>
        <w:textAlignment w:val="baseline"/>
        <w:rPr>
          <w:rFonts w:ascii="楷体_GB2312" w:eastAsia="楷体_GB2312" w:hAnsi="楷体_GB2312" w:cs="楷体_GB2312"/>
          <w:sz w:val="32"/>
          <w:szCs w:val="32"/>
        </w:rPr>
      </w:pPr>
      <w:r>
        <w:rPr>
          <w:rFonts w:ascii="楷体_GB2312" w:eastAsia="楷体_GB2312" w:hAnsi="楷体_GB2312" w:cs="楷体_GB2312" w:hint="eastAsia"/>
          <w:sz w:val="32"/>
          <w:szCs w:val="32"/>
        </w:rPr>
        <w:t>（四）保险责任。</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在保险期间内，当保险温栀子鲜果的实际价格低于目标价格时，视为保险事故发生，保险人按本保险合同的约定负责赔偿。</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实际价格=保险期间内价格采集部门发布的日平均收购价之和/发布次数</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目标价格参照前三年平均价格或平均每亩生产全成本与前三年平均亩产量的比值确定，并在保险单中载明。</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平均价格、平均每亩生产全成本和平均亩产量按照政府相关部门官方发布或行业协会历史数据载明的保险温栀子</w:t>
      </w:r>
      <w:r>
        <w:rPr>
          <w:rFonts w:ascii="仿宋_GB2312" w:eastAsia="仿宋_GB2312" w:hAnsi="仿宋_GB2312" w:cs="仿宋_GB2312" w:hint="eastAsia"/>
          <w:sz w:val="32"/>
          <w:szCs w:val="32"/>
        </w:rPr>
        <w:lastRenderedPageBreak/>
        <w:t>鲜果前三年平均价格、平均每亩生产全成本和亩产量确定。根据调研结果，温栀子价格达到1.5元时，种植户实现保本。</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2019年保险温栀子鲜果目标价格暂确定为1.2、1.3、1.4元/500g三档。</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楷体_GB2312" w:eastAsia="楷体_GB2312" w:hAnsi="楷体_GB2312" w:cs="楷体_GB2312" w:hint="eastAsia"/>
          <w:sz w:val="32"/>
          <w:szCs w:val="32"/>
        </w:rPr>
        <w:t>（五）责任免除。</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除保险责任以外的任何原因造成的损失、费用，保险公司均不负责赔偿。</w:t>
      </w:r>
    </w:p>
    <w:p w:rsidR="008C503F" w:rsidRDefault="008C503F" w:rsidP="008C503F">
      <w:pPr>
        <w:autoSpaceDE w:val="0"/>
        <w:spacing w:line="600" w:lineRule="exact"/>
        <w:ind w:firstLineChars="200" w:firstLine="640"/>
        <w:textAlignment w:val="baseline"/>
        <w:rPr>
          <w:rFonts w:ascii="楷体_GB2312" w:eastAsia="楷体_GB2312" w:hAnsi="楷体_GB2312" w:cs="楷体_GB2312"/>
          <w:sz w:val="32"/>
          <w:szCs w:val="32"/>
        </w:rPr>
      </w:pPr>
      <w:r>
        <w:rPr>
          <w:rFonts w:ascii="楷体_GB2312" w:eastAsia="楷体_GB2312" w:hAnsi="楷体_GB2312" w:cs="楷体_GB2312" w:hint="eastAsia"/>
          <w:sz w:val="32"/>
          <w:szCs w:val="32"/>
        </w:rPr>
        <w:t>（六）保险金额。</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保险温栀子鲜果每亩保险金额1500元（测算过程：按每亩产量约定为1200斤，约定价格1.3元计算为1560元，取整为1500元）。</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保险金额=每亩保险金额（元/亩）*保险面积（亩）</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保险面积以保险单载明为准。</w:t>
      </w:r>
    </w:p>
    <w:p w:rsidR="008C503F" w:rsidRDefault="008C503F" w:rsidP="008C503F">
      <w:pPr>
        <w:autoSpaceDE w:val="0"/>
        <w:spacing w:line="600" w:lineRule="exact"/>
        <w:ind w:firstLineChars="200" w:firstLine="640"/>
        <w:textAlignment w:val="baseline"/>
        <w:rPr>
          <w:rFonts w:ascii="楷体_GB2312" w:eastAsia="楷体_GB2312" w:hAnsi="楷体_GB2312" w:cs="楷体_GB2312"/>
          <w:sz w:val="32"/>
          <w:szCs w:val="32"/>
        </w:rPr>
      </w:pPr>
      <w:r>
        <w:rPr>
          <w:rFonts w:ascii="楷体_GB2312" w:eastAsia="楷体_GB2312" w:hAnsi="楷体_GB2312" w:cs="楷体_GB2312" w:hint="eastAsia"/>
          <w:sz w:val="32"/>
          <w:szCs w:val="32"/>
        </w:rPr>
        <w:t>（七）赔偿处理。</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保险温栀子鲜果的保险价格发生保险责任范围内的损失，保险人按以下公式计算赔偿金额：</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赔偿金额=每亩赔付金额*保险面积</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每亩赔付金额=∑【(保险约定价-保险理赔周期平均价格)/保险约定价×采价区间保险金额】</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采价区间保险金额按下表分配：</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704"/>
        <w:gridCol w:w="1704"/>
        <w:gridCol w:w="1705"/>
        <w:gridCol w:w="1705"/>
      </w:tblGrid>
      <w:tr w:rsidR="008C503F" w:rsidTr="002B1571">
        <w:tc>
          <w:tcPr>
            <w:tcW w:w="1704" w:type="dxa"/>
          </w:tcPr>
          <w:p w:rsidR="008C503F" w:rsidRDefault="008C503F" w:rsidP="002B1571">
            <w:pPr>
              <w:spacing w:line="600" w:lineRule="exact"/>
              <w:jc w:val="center"/>
              <w:rPr>
                <w:rFonts w:ascii="宋体" w:hAnsi="宋体" w:cs="宋体"/>
                <w:sz w:val="24"/>
                <w:szCs w:val="24"/>
              </w:rPr>
            </w:pPr>
            <w:r>
              <w:rPr>
                <w:rFonts w:ascii="宋体" w:hAnsi="宋体" w:cs="宋体" w:hint="eastAsia"/>
                <w:sz w:val="24"/>
                <w:szCs w:val="24"/>
              </w:rPr>
              <w:t>保险期间</w:t>
            </w:r>
          </w:p>
        </w:tc>
        <w:tc>
          <w:tcPr>
            <w:tcW w:w="1704" w:type="dxa"/>
          </w:tcPr>
          <w:p w:rsidR="008C503F" w:rsidRDefault="008C503F" w:rsidP="002B1571">
            <w:pPr>
              <w:spacing w:line="600" w:lineRule="exact"/>
              <w:jc w:val="center"/>
              <w:rPr>
                <w:rFonts w:ascii="宋体" w:hAnsi="宋体" w:cs="宋体"/>
                <w:sz w:val="24"/>
                <w:szCs w:val="24"/>
              </w:rPr>
            </w:pPr>
            <w:r>
              <w:rPr>
                <w:rFonts w:ascii="宋体" w:hAnsi="宋体" w:cs="宋体" w:hint="eastAsia"/>
                <w:sz w:val="24"/>
                <w:szCs w:val="24"/>
              </w:rPr>
              <w:t>10.25-11.01</w:t>
            </w:r>
          </w:p>
        </w:tc>
        <w:tc>
          <w:tcPr>
            <w:tcW w:w="1704" w:type="dxa"/>
          </w:tcPr>
          <w:p w:rsidR="008C503F" w:rsidRDefault="008C503F" w:rsidP="002B1571">
            <w:pPr>
              <w:spacing w:line="600" w:lineRule="exact"/>
              <w:jc w:val="center"/>
              <w:rPr>
                <w:rFonts w:ascii="宋体" w:hAnsi="宋体" w:cs="宋体"/>
                <w:sz w:val="24"/>
                <w:szCs w:val="24"/>
              </w:rPr>
            </w:pPr>
            <w:r>
              <w:rPr>
                <w:rFonts w:ascii="宋体" w:hAnsi="宋体" w:cs="宋体" w:hint="eastAsia"/>
                <w:sz w:val="24"/>
                <w:szCs w:val="24"/>
              </w:rPr>
              <w:t>11.02-11.09</w:t>
            </w:r>
          </w:p>
        </w:tc>
        <w:tc>
          <w:tcPr>
            <w:tcW w:w="1705" w:type="dxa"/>
          </w:tcPr>
          <w:p w:rsidR="008C503F" w:rsidRDefault="008C503F" w:rsidP="002B1571">
            <w:pPr>
              <w:spacing w:line="600" w:lineRule="exact"/>
              <w:jc w:val="center"/>
              <w:rPr>
                <w:rFonts w:ascii="宋体" w:hAnsi="宋体" w:cs="宋体"/>
                <w:sz w:val="24"/>
                <w:szCs w:val="24"/>
              </w:rPr>
            </w:pPr>
            <w:r>
              <w:rPr>
                <w:rFonts w:ascii="宋体" w:hAnsi="宋体" w:cs="宋体" w:hint="eastAsia"/>
                <w:sz w:val="24"/>
                <w:szCs w:val="24"/>
              </w:rPr>
              <w:t>11.10-11.17</w:t>
            </w:r>
          </w:p>
        </w:tc>
        <w:tc>
          <w:tcPr>
            <w:tcW w:w="1705" w:type="dxa"/>
          </w:tcPr>
          <w:p w:rsidR="008C503F" w:rsidRDefault="008C503F" w:rsidP="002B1571">
            <w:pPr>
              <w:spacing w:line="600" w:lineRule="exact"/>
              <w:jc w:val="center"/>
              <w:rPr>
                <w:rFonts w:ascii="宋体" w:hAnsi="宋体" w:cs="宋体"/>
                <w:sz w:val="24"/>
                <w:szCs w:val="24"/>
              </w:rPr>
            </w:pPr>
            <w:r>
              <w:rPr>
                <w:rFonts w:ascii="宋体" w:hAnsi="宋体" w:cs="宋体" w:hint="eastAsia"/>
                <w:sz w:val="24"/>
                <w:szCs w:val="24"/>
              </w:rPr>
              <w:t>11.18-11.25</w:t>
            </w:r>
          </w:p>
        </w:tc>
      </w:tr>
      <w:tr w:rsidR="008C503F" w:rsidTr="002B1571">
        <w:tc>
          <w:tcPr>
            <w:tcW w:w="1704" w:type="dxa"/>
          </w:tcPr>
          <w:p w:rsidR="008C503F" w:rsidRDefault="008C503F" w:rsidP="002B1571">
            <w:pPr>
              <w:spacing w:line="600" w:lineRule="exact"/>
              <w:jc w:val="center"/>
              <w:rPr>
                <w:rFonts w:ascii="宋体" w:hAnsi="宋体" w:cs="宋体"/>
                <w:sz w:val="24"/>
                <w:szCs w:val="24"/>
              </w:rPr>
            </w:pPr>
            <w:r>
              <w:rPr>
                <w:rFonts w:ascii="宋体" w:hAnsi="宋体" w:cs="宋体" w:hint="eastAsia"/>
                <w:sz w:val="24"/>
                <w:szCs w:val="24"/>
              </w:rPr>
              <w:t>区间保险金额</w:t>
            </w:r>
          </w:p>
        </w:tc>
        <w:tc>
          <w:tcPr>
            <w:tcW w:w="1704" w:type="dxa"/>
          </w:tcPr>
          <w:p w:rsidR="008C503F" w:rsidRDefault="008C503F" w:rsidP="002B1571">
            <w:pPr>
              <w:spacing w:line="600" w:lineRule="exact"/>
              <w:jc w:val="center"/>
              <w:rPr>
                <w:rFonts w:ascii="宋体" w:hAnsi="宋体" w:cs="宋体"/>
                <w:sz w:val="24"/>
                <w:szCs w:val="24"/>
              </w:rPr>
            </w:pPr>
            <w:r>
              <w:rPr>
                <w:rFonts w:ascii="宋体" w:hAnsi="宋体" w:cs="宋体" w:hint="eastAsia"/>
                <w:sz w:val="24"/>
                <w:szCs w:val="24"/>
              </w:rPr>
              <w:t>300元</w:t>
            </w:r>
          </w:p>
        </w:tc>
        <w:tc>
          <w:tcPr>
            <w:tcW w:w="1704" w:type="dxa"/>
          </w:tcPr>
          <w:p w:rsidR="008C503F" w:rsidRDefault="008C503F" w:rsidP="002B1571">
            <w:pPr>
              <w:spacing w:line="600" w:lineRule="exact"/>
              <w:jc w:val="center"/>
              <w:rPr>
                <w:rFonts w:ascii="宋体" w:hAnsi="宋体" w:cs="宋体"/>
                <w:sz w:val="24"/>
                <w:szCs w:val="24"/>
              </w:rPr>
            </w:pPr>
            <w:r>
              <w:rPr>
                <w:rFonts w:ascii="宋体" w:hAnsi="宋体" w:cs="宋体" w:hint="eastAsia"/>
                <w:sz w:val="24"/>
                <w:szCs w:val="24"/>
              </w:rPr>
              <w:t>450元</w:t>
            </w:r>
          </w:p>
        </w:tc>
        <w:tc>
          <w:tcPr>
            <w:tcW w:w="1705" w:type="dxa"/>
          </w:tcPr>
          <w:p w:rsidR="008C503F" w:rsidRDefault="008C503F" w:rsidP="002B1571">
            <w:pPr>
              <w:spacing w:line="600" w:lineRule="exact"/>
              <w:jc w:val="center"/>
              <w:rPr>
                <w:rFonts w:ascii="宋体" w:hAnsi="宋体" w:cs="宋体"/>
                <w:sz w:val="24"/>
                <w:szCs w:val="24"/>
              </w:rPr>
            </w:pPr>
            <w:r>
              <w:rPr>
                <w:rFonts w:ascii="宋体" w:hAnsi="宋体" w:cs="宋体" w:hint="eastAsia"/>
                <w:sz w:val="24"/>
                <w:szCs w:val="24"/>
              </w:rPr>
              <w:t>450元</w:t>
            </w:r>
          </w:p>
        </w:tc>
        <w:tc>
          <w:tcPr>
            <w:tcW w:w="1705" w:type="dxa"/>
          </w:tcPr>
          <w:p w:rsidR="008C503F" w:rsidRDefault="008C503F" w:rsidP="002B1571">
            <w:pPr>
              <w:spacing w:line="600" w:lineRule="exact"/>
              <w:jc w:val="center"/>
              <w:rPr>
                <w:rFonts w:ascii="宋体" w:hAnsi="宋体" w:cs="宋体"/>
                <w:sz w:val="24"/>
                <w:szCs w:val="24"/>
              </w:rPr>
            </w:pPr>
            <w:r>
              <w:rPr>
                <w:rFonts w:ascii="宋体" w:hAnsi="宋体" w:cs="宋体" w:hint="eastAsia"/>
                <w:sz w:val="24"/>
                <w:szCs w:val="24"/>
              </w:rPr>
              <w:t>300元</w:t>
            </w:r>
          </w:p>
        </w:tc>
      </w:tr>
    </w:tbl>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分配原因：由于栀子鲜果价格在采收期内仍有一定波动，</w:t>
      </w:r>
      <w:r>
        <w:rPr>
          <w:rFonts w:ascii="仿宋_GB2312" w:eastAsia="仿宋_GB2312" w:hAnsi="仿宋_GB2312" w:cs="仿宋_GB2312" w:hint="eastAsia"/>
          <w:sz w:val="32"/>
          <w:szCs w:val="32"/>
        </w:rPr>
        <w:lastRenderedPageBreak/>
        <w:t>且自然存放一般不超过8天，因此设计每8天为一个周期进行理赔。一旦当日价格触发赔付线，即低于目标价格时，随后的8天（含当日）视为一个理赔周期。在一个理赔周期内，栀子鲜果平均价格低于目标价格时，则启动保险赔付。考虑到近10年内尚未出现保险温栀子鲜果平均价格低于0.8元/500g的情况，且市场价格低于0.8元/500g时,每亩产值尚不足以支付采摘期人员工资，农户往往放弃采摘。若周期内平均价格低于0.8元，则按照0.8元/500g计算。</w:t>
      </w:r>
    </w:p>
    <w:p w:rsidR="008C503F" w:rsidRDefault="008C503F" w:rsidP="008C503F">
      <w:pPr>
        <w:autoSpaceDE w:val="0"/>
        <w:spacing w:line="600" w:lineRule="exact"/>
        <w:ind w:firstLineChars="200" w:firstLine="640"/>
        <w:textAlignment w:val="baseline"/>
        <w:rPr>
          <w:rFonts w:ascii="楷体_GB2312" w:eastAsia="楷体_GB2312" w:hAnsi="楷体_GB2312" w:cs="楷体_GB2312"/>
          <w:sz w:val="32"/>
          <w:szCs w:val="32"/>
        </w:rPr>
      </w:pPr>
      <w:r>
        <w:rPr>
          <w:rFonts w:ascii="楷体_GB2312" w:eastAsia="楷体_GB2312" w:hAnsi="楷体_GB2312" w:cs="楷体_GB2312" w:hint="eastAsia"/>
          <w:sz w:val="32"/>
          <w:szCs w:val="32"/>
        </w:rPr>
        <w:t>（八）保险费率。</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根据历史数据，计算保险费率如下：</w:t>
      </w:r>
    </w:p>
    <w:tbl>
      <w:tblPr>
        <w:tblW w:w="8852" w:type="dxa"/>
        <w:jc w:val="center"/>
        <w:tblInd w:w="93" w:type="dxa"/>
        <w:tblLayout w:type="fixed"/>
        <w:tblLook w:val="04A0"/>
      </w:tblPr>
      <w:tblGrid>
        <w:gridCol w:w="2213"/>
        <w:gridCol w:w="2213"/>
        <w:gridCol w:w="2213"/>
        <w:gridCol w:w="2213"/>
      </w:tblGrid>
      <w:tr w:rsidR="008C503F" w:rsidTr="002B1571">
        <w:trPr>
          <w:trHeight w:val="540"/>
          <w:jc w:val="center"/>
        </w:trPr>
        <w:tc>
          <w:tcPr>
            <w:tcW w:w="2213" w:type="dxa"/>
            <w:tcBorders>
              <w:top w:val="single" w:sz="4" w:space="0" w:color="auto"/>
              <w:left w:val="single" w:sz="4" w:space="0" w:color="auto"/>
              <w:bottom w:val="single" w:sz="4" w:space="0" w:color="auto"/>
              <w:right w:val="single" w:sz="4" w:space="0" w:color="auto"/>
            </w:tcBorders>
            <w:vAlign w:val="bottom"/>
          </w:tcPr>
          <w:p w:rsidR="008C503F" w:rsidRDefault="008C503F" w:rsidP="002B1571">
            <w:pPr>
              <w:spacing w:line="600" w:lineRule="exact"/>
              <w:jc w:val="center"/>
              <w:rPr>
                <w:rFonts w:ascii="宋体" w:hAnsi="宋体" w:cs="宋体"/>
                <w:sz w:val="24"/>
                <w:szCs w:val="24"/>
              </w:rPr>
            </w:pPr>
            <w:r>
              <w:rPr>
                <w:rFonts w:ascii="宋体" w:hAnsi="宋体" w:cs="宋体" w:hint="eastAsia"/>
                <w:sz w:val="24"/>
                <w:szCs w:val="24"/>
              </w:rPr>
              <w:t>目标价格</w:t>
            </w:r>
          </w:p>
        </w:tc>
        <w:tc>
          <w:tcPr>
            <w:tcW w:w="2213" w:type="dxa"/>
            <w:tcBorders>
              <w:top w:val="single" w:sz="4" w:space="0" w:color="auto"/>
              <w:left w:val="nil"/>
              <w:bottom w:val="single" w:sz="4" w:space="0" w:color="auto"/>
              <w:right w:val="single" w:sz="4" w:space="0" w:color="auto"/>
            </w:tcBorders>
            <w:vAlign w:val="bottom"/>
          </w:tcPr>
          <w:p w:rsidR="008C503F" w:rsidRDefault="008C503F" w:rsidP="002B1571">
            <w:pPr>
              <w:spacing w:line="600" w:lineRule="exact"/>
              <w:jc w:val="center"/>
              <w:rPr>
                <w:rFonts w:ascii="宋体" w:hAnsi="宋体" w:cs="宋体"/>
                <w:sz w:val="24"/>
                <w:szCs w:val="24"/>
              </w:rPr>
            </w:pPr>
            <w:r>
              <w:rPr>
                <w:rFonts w:ascii="宋体" w:hAnsi="宋体" w:cs="宋体" w:hint="eastAsia"/>
                <w:sz w:val="24"/>
                <w:szCs w:val="24"/>
              </w:rPr>
              <w:t>费率</w:t>
            </w:r>
          </w:p>
        </w:tc>
        <w:tc>
          <w:tcPr>
            <w:tcW w:w="2213" w:type="dxa"/>
            <w:tcBorders>
              <w:top w:val="single" w:sz="4" w:space="0" w:color="auto"/>
              <w:left w:val="nil"/>
              <w:bottom w:val="single" w:sz="4" w:space="0" w:color="auto"/>
              <w:right w:val="single" w:sz="4" w:space="0" w:color="auto"/>
            </w:tcBorders>
            <w:vAlign w:val="bottom"/>
          </w:tcPr>
          <w:p w:rsidR="008C503F" w:rsidRDefault="008C503F" w:rsidP="002B1571">
            <w:pPr>
              <w:spacing w:line="600" w:lineRule="exact"/>
              <w:jc w:val="center"/>
              <w:rPr>
                <w:rFonts w:ascii="宋体" w:hAnsi="宋体" w:cs="宋体"/>
                <w:sz w:val="24"/>
                <w:szCs w:val="24"/>
              </w:rPr>
            </w:pPr>
            <w:r>
              <w:rPr>
                <w:rFonts w:ascii="宋体" w:hAnsi="宋体" w:cs="宋体" w:hint="eastAsia"/>
                <w:sz w:val="24"/>
                <w:szCs w:val="24"/>
              </w:rPr>
              <w:t>保险金额</w:t>
            </w:r>
          </w:p>
        </w:tc>
        <w:tc>
          <w:tcPr>
            <w:tcW w:w="2213" w:type="dxa"/>
            <w:tcBorders>
              <w:top w:val="single" w:sz="4" w:space="0" w:color="auto"/>
              <w:left w:val="nil"/>
              <w:bottom w:val="single" w:sz="4" w:space="0" w:color="auto"/>
              <w:right w:val="single" w:sz="4" w:space="0" w:color="auto"/>
            </w:tcBorders>
            <w:vAlign w:val="bottom"/>
          </w:tcPr>
          <w:p w:rsidR="008C503F" w:rsidRDefault="008C503F" w:rsidP="002B1571">
            <w:pPr>
              <w:spacing w:line="600" w:lineRule="exact"/>
              <w:jc w:val="center"/>
              <w:rPr>
                <w:rFonts w:ascii="宋体" w:hAnsi="宋体" w:cs="宋体"/>
                <w:sz w:val="24"/>
                <w:szCs w:val="24"/>
              </w:rPr>
            </w:pPr>
            <w:r>
              <w:rPr>
                <w:rFonts w:ascii="宋体" w:hAnsi="宋体" w:cs="宋体" w:hint="eastAsia"/>
                <w:sz w:val="24"/>
                <w:szCs w:val="24"/>
              </w:rPr>
              <w:t>保费</w:t>
            </w:r>
          </w:p>
        </w:tc>
      </w:tr>
      <w:tr w:rsidR="008C503F" w:rsidTr="002B1571">
        <w:trPr>
          <w:trHeight w:val="540"/>
          <w:jc w:val="center"/>
        </w:trPr>
        <w:tc>
          <w:tcPr>
            <w:tcW w:w="2213" w:type="dxa"/>
            <w:tcBorders>
              <w:top w:val="nil"/>
              <w:left w:val="single" w:sz="4" w:space="0" w:color="auto"/>
              <w:bottom w:val="single" w:sz="4" w:space="0" w:color="auto"/>
              <w:right w:val="single" w:sz="4" w:space="0" w:color="auto"/>
            </w:tcBorders>
            <w:vAlign w:val="bottom"/>
          </w:tcPr>
          <w:p w:rsidR="008C503F" w:rsidRDefault="008C503F" w:rsidP="002B1571">
            <w:pPr>
              <w:spacing w:line="600" w:lineRule="exact"/>
              <w:jc w:val="center"/>
              <w:rPr>
                <w:rFonts w:ascii="宋体" w:hAnsi="宋体" w:cs="宋体"/>
                <w:sz w:val="24"/>
                <w:szCs w:val="24"/>
              </w:rPr>
            </w:pPr>
            <w:r>
              <w:rPr>
                <w:rFonts w:ascii="宋体" w:hAnsi="宋体" w:cs="宋体" w:hint="eastAsia"/>
                <w:sz w:val="24"/>
                <w:szCs w:val="24"/>
              </w:rPr>
              <w:t>1.2/500g</w:t>
            </w:r>
          </w:p>
        </w:tc>
        <w:tc>
          <w:tcPr>
            <w:tcW w:w="2213" w:type="dxa"/>
            <w:tcBorders>
              <w:top w:val="nil"/>
              <w:left w:val="nil"/>
              <w:bottom w:val="single" w:sz="4" w:space="0" w:color="auto"/>
              <w:right w:val="single" w:sz="4" w:space="0" w:color="auto"/>
            </w:tcBorders>
            <w:vAlign w:val="bottom"/>
          </w:tcPr>
          <w:p w:rsidR="008C503F" w:rsidRDefault="008C503F" w:rsidP="002B1571">
            <w:pPr>
              <w:spacing w:line="600" w:lineRule="exact"/>
              <w:jc w:val="center"/>
              <w:rPr>
                <w:rFonts w:ascii="宋体" w:hAnsi="宋体" w:cs="宋体"/>
                <w:sz w:val="24"/>
                <w:szCs w:val="24"/>
              </w:rPr>
            </w:pPr>
            <w:r>
              <w:rPr>
                <w:rFonts w:ascii="宋体" w:hAnsi="宋体" w:cs="宋体" w:hint="eastAsia"/>
                <w:sz w:val="24"/>
                <w:szCs w:val="24"/>
              </w:rPr>
              <w:t>6.6%</w:t>
            </w:r>
          </w:p>
        </w:tc>
        <w:tc>
          <w:tcPr>
            <w:tcW w:w="2213" w:type="dxa"/>
            <w:tcBorders>
              <w:top w:val="nil"/>
              <w:left w:val="nil"/>
              <w:bottom w:val="single" w:sz="4" w:space="0" w:color="auto"/>
              <w:right w:val="single" w:sz="4" w:space="0" w:color="auto"/>
            </w:tcBorders>
            <w:vAlign w:val="bottom"/>
          </w:tcPr>
          <w:p w:rsidR="008C503F" w:rsidRDefault="008C503F" w:rsidP="002B1571">
            <w:pPr>
              <w:spacing w:line="600" w:lineRule="exact"/>
              <w:jc w:val="center"/>
              <w:rPr>
                <w:rFonts w:ascii="宋体" w:hAnsi="宋体" w:cs="宋体"/>
                <w:sz w:val="24"/>
                <w:szCs w:val="24"/>
              </w:rPr>
            </w:pPr>
            <w:r>
              <w:rPr>
                <w:rFonts w:ascii="宋体" w:hAnsi="宋体" w:cs="宋体" w:hint="eastAsia"/>
                <w:sz w:val="24"/>
                <w:szCs w:val="24"/>
              </w:rPr>
              <w:t>1500</w:t>
            </w:r>
          </w:p>
        </w:tc>
        <w:tc>
          <w:tcPr>
            <w:tcW w:w="2213" w:type="dxa"/>
            <w:tcBorders>
              <w:top w:val="nil"/>
              <w:left w:val="nil"/>
              <w:bottom w:val="single" w:sz="4" w:space="0" w:color="auto"/>
              <w:right w:val="single" w:sz="4" w:space="0" w:color="auto"/>
            </w:tcBorders>
            <w:vAlign w:val="bottom"/>
          </w:tcPr>
          <w:p w:rsidR="008C503F" w:rsidRDefault="008C503F" w:rsidP="002B1571">
            <w:pPr>
              <w:spacing w:line="600" w:lineRule="exact"/>
              <w:jc w:val="center"/>
              <w:rPr>
                <w:rFonts w:ascii="宋体" w:hAnsi="宋体" w:cs="宋体"/>
                <w:sz w:val="24"/>
                <w:szCs w:val="24"/>
              </w:rPr>
            </w:pPr>
            <w:r>
              <w:rPr>
                <w:rFonts w:ascii="宋体" w:hAnsi="宋体" w:cs="宋体" w:hint="eastAsia"/>
                <w:sz w:val="24"/>
                <w:szCs w:val="24"/>
              </w:rPr>
              <w:t>99元/亩</w:t>
            </w:r>
          </w:p>
        </w:tc>
      </w:tr>
      <w:tr w:rsidR="008C503F" w:rsidTr="002B1571">
        <w:trPr>
          <w:trHeight w:val="540"/>
          <w:jc w:val="center"/>
        </w:trPr>
        <w:tc>
          <w:tcPr>
            <w:tcW w:w="2213" w:type="dxa"/>
            <w:tcBorders>
              <w:top w:val="nil"/>
              <w:left w:val="single" w:sz="4" w:space="0" w:color="auto"/>
              <w:bottom w:val="single" w:sz="4" w:space="0" w:color="auto"/>
              <w:right w:val="single" w:sz="4" w:space="0" w:color="auto"/>
            </w:tcBorders>
            <w:vAlign w:val="bottom"/>
          </w:tcPr>
          <w:p w:rsidR="008C503F" w:rsidRDefault="008C503F" w:rsidP="002B1571">
            <w:pPr>
              <w:spacing w:line="600" w:lineRule="exact"/>
              <w:jc w:val="center"/>
              <w:rPr>
                <w:rFonts w:ascii="宋体" w:hAnsi="宋体" w:cs="宋体"/>
                <w:sz w:val="24"/>
                <w:szCs w:val="24"/>
              </w:rPr>
            </w:pPr>
            <w:r>
              <w:rPr>
                <w:rFonts w:ascii="宋体" w:hAnsi="宋体" w:cs="宋体" w:hint="eastAsia"/>
                <w:sz w:val="24"/>
                <w:szCs w:val="24"/>
              </w:rPr>
              <w:t>1.3/500g</w:t>
            </w:r>
          </w:p>
        </w:tc>
        <w:tc>
          <w:tcPr>
            <w:tcW w:w="2213" w:type="dxa"/>
            <w:tcBorders>
              <w:top w:val="nil"/>
              <w:left w:val="nil"/>
              <w:bottom w:val="single" w:sz="4" w:space="0" w:color="auto"/>
              <w:right w:val="single" w:sz="4" w:space="0" w:color="auto"/>
            </w:tcBorders>
            <w:vAlign w:val="bottom"/>
          </w:tcPr>
          <w:p w:rsidR="008C503F" w:rsidRDefault="008C503F" w:rsidP="002B1571">
            <w:pPr>
              <w:spacing w:line="600" w:lineRule="exact"/>
              <w:jc w:val="center"/>
              <w:rPr>
                <w:rFonts w:ascii="宋体" w:hAnsi="宋体" w:cs="宋体"/>
                <w:sz w:val="24"/>
                <w:szCs w:val="24"/>
              </w:rPr>
            </w:pPr>
            <w:r>
              <w:rPr>
                <w:rFonts w:ascii="宋体" w:hAnsi="宋体" w:cs="宋体" w:hint="eastAsia"/>
                <w:sz w:val="24"/>
                <w:szCs w:val="24"/>
              </w:rPr>
              <w:t>8.6%</w:t>
            </w:r>
          </w:p>
        </w:tc>
        <w:tc>
          <w:tcPr>
            <w:tcW w:w="2213" w:type="dxa"/>
            <w:tcBorders>
              <w:top w:val="nil"/>
              <w:left w:val="nil"/>
              <w:bottom w:val="single" w:sz="4" w:space="0" w:color="auto"/>
              <w:right w:val="single" w:sz="4" w:space="0" w:color="auto"/>
            </w:tcBorders>
            <w:vAlign w:val="bottom"/>
          </w:tcPr>
          <w:p w:rsidR="008C503F" w:rsidRDefault="008C503F" w:rsidP="002B1571">
            <w:pPr>
              <w:spacing w:line="600" w:lineRule="exact"/>
              <w:jc w:val="center"/>
              <w:rPr>
                <w:rFonts w:ascii="宋体" w:hAnsi="宋体" w:cs="宋体"/>
                <w:sz w:val="24"/>
                <w:szCs w:val="24"/>
              </w:rPr>
            </w:pPr>
            <w:r>
              <w:rPr>
                <w:rFonts w:ascii="宋体" w:hAnsi="宋体" w:cs="宋体" w:hint="eastAsia"/>
                <w:sz w:val="24"/>
                <w:szCs w:val="24"/>
              </w:rPr>
              <w:t>1500</w:t>
            </w:r>
          </w:p>
        </w:tc>
        <w:tc>
          <w:tcPr>
            <w:tcW w:w="2213" w:type="dxa"/>
            <w:tcBorders>
              <w:top w:val="nil"/>
              <w:left w:val="nil"/>
              <w:bottom w:val="single" w:sz="4" w:space="0" w:color="auto"/>
              <w:right w:val="single" w:sz="4" w:space="0" w:color="auto"/>
            </w:tcBorders>
            <w:vAlign w:val="bottom"/>
          </w:tcPr>
          <w:p w:rsidR="008C503F" w:rsidRDefault="008C503F" w:rsidP="002B1571">
            <w:pPr>
              <w:spacing w:line="600" w:lineRule="exact"/>
              <w:jc w:val="center"/>
              <w:rPr>
                <w:rFonts w:ascii="宋体" w:hAnsi="宋体" w:cs="宋体"/>
                <w:sz w:val="24"/>
                <w:szCs w:val="24"/>
              </w:rPr>
            </w:pPr>
            <w:r>
              <w:rPr>
                <w:rFonts w:ascii="宋体" w:hAnsi="宋体" w:cs="宋体" w:hint="eastAsia"/>
                <w:sz w:val="24"/>
                <w:szCs w:val="24"/>
              </w:rPr>
              <w:t>129元/亩</w:t>
            </w:r>
          </w:p>
        </w:tc>
      </w:tr>
      <w:tr w:rsidR="008C503F" w:rsidTr="002B1571">
        <w:trPr>
          <w:trHeight w:val="540"/>
          <w:jc w:val="center"/>
        </w:trPr>
        <w:tc>
          <w:tcPr>
            <w:tcW w:w="2213" w:type="dxa"/>
            <w:tcBorders>
              <w:top w:val="nil"/>
              <w:left w:val="single" w:sz="4" w:space="0" w:color="auto"/>
              <w:bottom w:val="single" w:sz="4" w:space="0" w:color="auto"/>
              <w:right w:val="single" w:sz="4" w:space="0" w:color="auto"/>
            </w:tcBorders>
            <w:vAlign w:val="bottom"/>
          </w:tcPr>
          <w:p w:rsidR="008C503F" w:rsidRDefault="008C503F" w:rsidP="002B1571">
            <w:pPr>
              <w:spacing w:line="600" w:lineRule="exact"/>
              <w:jc w:val="center"/>
              <w:rPr>
                <w:rFonts w:ascii="宋体" w:hAnsi="宋体" w:cs="宋体"/>
                <w:sz w:val="24"/>
                <w:szCs w:val="24"/>
              </w:rPr>
            </w:pPr>
            <w:r>
              <w:rPr>
                <w:rFonts w:ascii="宋体" w:hAnsi="宋体" w:cs="宋体" w:hint="eastAsia"/>
                <w:sz w:val="24"/>
                <w:szCs w:val="24"/>
              </w:rPr>
              <w:t>1.4/500g</w:t>
            </w:r>
          </w:p>
        </w:tc>
        <w:tc>
          <w:tcPr>
            <w:tcW w:w="2213" w:type="dxa"/>
            <w:tcBorders>
              <w:top w:val="nil"/>
              <w:left w:val="nil"/>
              <w:bottom w:val="single" w:sz="4" w:space="0" w:color="auto"/>
              <w:right w:val="single" w:sz="4" w:space="0" w:color="auto"/>
            </w:tcBorders>
            <w:vAlign w:val="bottom"/>
          </w:tcPr>
          <w:p w:rsidR="008C503F" w:rsidRDefault="008C503F" w:rsidP="002B1571">
            <w:pPr>
              <w:spacing w:line="600" w:lineRule="exact"/>
              <w:jc w:val="center"/>
              <w:rPr>
                <w:rFonts w:ascii="宋体" w:hAnsi="宋体" w:cs="宋体"/>
                <w:sz w:val="24"/>
                <w:szCs w:val="24"/>
              </w:rPr>
            </w:pPr>
            <w:r>
              <w:rPr>
                <w:rFonts w:ascii="宋体" w:hAnsi="宋体" w:cs="宋体" w:hint="eastAsia"/>
                <w:sz w:val="24"/>
                <w:szCs w:val="24"/>
              </w:rPr>
              <w:t>11.4%</w:t>
            </w:r>
          </w:p>
        </w:tc>
        <w:tc>
          <w:tcPr>
            <w:tcW w:w="2213" w:type="dxa"/>
            <w:tcBorders>
              <w:top w:val="nil"/>
              <w:left w:val="nil"/>
              <w:bottom w:val="single" w:sz="4" w:space="0" w:color="auto"/>
              <w:right w:val="single" w:sz="4" w:space="0" w:color="auto"/>
            </w:tcBorders>
            <w:vAlign w:val="bottom"/>
          </w:tcPr>
          <w:p w:rsidR="008C503F" w:rsidRDefault="008C503F" w:rsidP="002B1571">
            <w:pPr>
              <w:spacing w:line="600" w:lineRule="exact"/>
              <w:jc w:val="center"/>
              <w:rPr>
                <w:rFonts w:ascii="宋体" w:hAnsi="宋体" w:cs="宋体"/>
                <w:sz w:val="24"/>
                <w:szCs w:val="24"/>
              </w:rPr>
            </w:pPr>
            <w:r>
              <w:rPr>
                <w:rFonts w:ascii="宋体" w:hAnsi="宋体" w:cs="宋体" w:hint="eastAsia"/>
                <w:sz w:val="24"/>
                <w:szCs w:val="24"/>
              </w:rPr>
              <w:t>1500</w:t>
            </w:r>
          </w:p>
        </w:tc>
        <w:tc>
          <w:tcPr>
            <w:tcW w:w="2213" w:type="dxa"/>
            <w:tcBorders>
              <w:top w:val="nil"/>
              <w:left w:val="nil"/>
              <w:bottom w:val="single" w:sz="4" w:space="0" w:color="auto"/>
              <w:right w:val="single" w:sz="4" w:space="0" w:color="auto"/>
            </w:tcBorders>
            <w:vAlign w:val="bottom"/>
          </w:tcPr>
          <w:p w:rsidR="008C503F" w:rsidRDefault="008C503F" w:rsidP="002B1571">
            <w:pPr>
              <w:spacing w:line="600" w:lineRule="exact"/>
              <w:jc w:val="center"/>
              <w:rPr>
                <w:rFonts w:ascii="宋体" w:hAnsi="宋体" w:cs="宋体"/>
                <w:sz w:val="24"/>
                <w:szCs w:val="24"/>
              </w:rPr>
            </w:pPr>
            <w:r>
              <w:rPr>
                <w:rFonts w:ascii="宋体" w:hAnsi="宋体" w:cs="宋体" w:hint="eastAsia"/>
                <w:sz w:val="24"/>
                <w:szCs w:val="24"/>
              </w:rPr>
              <w:t>171元/亩</w:t>
            </w:r>
          </w:p>
        </w:tc>
      </w:tr>
    </w:tbl>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为体现公平性，设置投保费率浮动系数，当年赔付率低于30%，次年费率系数为0.9；连续两年赔付率低于30%，费率系数为0.8；当年赔付率大于100%，费率系数1.2；连续两年赔付率大于100%，费率系数为1.3。</w:t>
      </w:r>
    </w:p>
    <w:p w:rsidR="008C503F" w:rsidRDefault="008C503F" w:rsidP="008C503F">
      <w:pPr>
        <w:pStyle w:val="a3"/>
        <w:autoSpaceDE w:val="0"/>
        <w:spacing w:line="600" w:lineRule="exact"/>
        <w:rPr>
          <w:rFonts w:ascii="仿宋_GB2312" w:eastAsia="仿宋_GB2312" w:hAnsi="仿宋_GB2312" w:cs="仿宋_GB2312"/>
          <w:sz w:val="32"/>
          <w:szCs w:val="32"/>
        </w:rPr>
      </w:pPr>
      <w:r>
        <w:rPr>
          <w:rFonts w:ascii="仿宋_GB2312" w:eastAsia="仿宋_GB2312" w:hAnsi="仿宋_GB2312" w:cs="仿宋_GB2312" w:hint="eastAsia"/>
          <w:bCs w:val="0"/>
          <w:sz w:val="28"/>
          <w:szCs w:val="28"/>
        </w:rPr>
        <w:t xml:space="preserve">    </w:t>
      </w:r>
      <w:r>
        <w:rPr>
          <w:rFonts w:ascii="仿宋_GB2312" w:eastAsia="仿宋_GB2312" w:hAnsi="仿宋_GB2312" w:cs="仿宋_GB2312" w:hint="eastAsia"/>
          <w:bCs w:val="0"/>
          <w:sz w:val="32"/>
          <w:szCs w:val="32"/>
        </w:rPr>
        <w:t>保险费支出按财政与农户7</w:t>
      </w:r>
      <w:r>
        <w:rPr>
          <w:rFonts w:ascii="微软雅黑" w:eastAsia="微软雅黑" w:hAnsi="微软雅黑" w:cs="微软雅黑" w:hint="eastAsia"/>
          <w:bCs w:val="0"/>
          <w:sz w:val="32"/>
          <w:szCs w:val="32"/>
        </w:rPr>
        <w:t>︰</w:t>
      </w:r>
      <w:r>
        <w:rPr>
          <w:rFonts w:ascii="仿宋_GB2312" w:eastAsia="仿宋_GB2312" w:hAnsi="仿宋_GB2312" w:cs="仿宋_GB2312" w:hint="eastAsia"/>
          <w:bCs w:val="0"/>
          <w:sz w:val="32"/>
          <w:szCs w:val="32"/>
        </w:rPr>
        <w:t>3比例承担，其中市级以产业扶持形式对试点县按总保险费30%给予补助。</w:t>
      </w:r>
      <w:bookmarkStart w:id="0" w:name="_GoBack"/>
      <w:bookmarkEnd w:id="0"/>
    </w:p>
    <w:p w:rsidR="008C503F" w:rsidRDefault="008C503F" w:rsidP="008C503F">
      <w:pPr>
        <w:autoSpaceDE w:val="0"/>
        <w:spacing w:line="600" w:lineRule="exact"/>
        <w:ind w:firstLineChars="200" w:firstLine="640"/>
        <w:textAlignment w:val="baseline"/>
        <w:rPr>
          <w:rFonts w:ascii="楷体_GB2312" w:eastAsia="楷体_GB2312" w:hAnsi="楷体_GB2312" w:cs="楷体_GB2312"/>
          <w:sz w:val="32"/>
          <w:szCs w:val="32"/>
        </w:rPr>
      </w:pPr>
      <w:r>
        <w:rPr>
          <w:rFonts w:ascii="楷体_GB2312" w:eastAsia="楷体_GB2312" w:hAnsi="楷体_GB2312" w:cs="楷体_GB2312" w:hint="eastAsia"/>
          <w:sz w:val="32"/>
          <w:szCs w:val="32"/>
        </w:rPr>
        <w:t>（九）采价方式。</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由于栀子鲜果价格目前缺少官方价格公布体系，因此无法依据官方渠道进行公布。然而由于栀子采收期较短，且在</w:t>
      </w:r>
      <w:r>
        <w:rPr>
          <w:rFonts w:ascii="仿宋_GB2312" w:eastAsia="仿宋_GB2312" w:hAnsi="仿宋_GB2312" w:cs="仿宋_GB2312" w:hint="eastAsia"/>
          <w:sz w:val="32"/>
          <w:szCs w:val="32"/>
        </w:rPr>
        <w:lastRenderedPageBreak/>
        <w:t>区域内不同农户的当日收购价格差异极微，因此可采取监测点收集与抽样验证的方式对价格进行确认，并由温州市中药材行业协会作为中立机构对当日价格进行证明，若出现价格争议也可由农业部门调解协商。</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价格采集的具体机制如下：</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保险期限内，由温州中药材行业协会上报10月25日至11月25日每日的栀子鲜果收购价格（农户送达交易点的交易价格）。同时由保险公司在温州范围内对农户进行抽样验证，保险清单内抽样不少于5户，保险公司也可在清单外抽样。</w:t>
      </w:r>
    </w:p>
    <w:p w:rsidR="008C503F" w:rsidRDefault="008C503F" w:rsidP="008C503F">
      <w:pPr>
        <w:autoSpaceDE w:val="0"/>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上报平均价格与抽样平均价格偏差率在5%（含）之内，以上报价格为准；偏差率超过在5（不含）-10%（含）以内，按照上报价格*50%+抽样价格*50%确定；偏差率超过10%，按照上报价格*20%+抽样价格*80%确定。</w:t>
      </w:r>
    </w:p>
    <w:p w:rsidR="008C503F" w:rsidRDefault="008C503F" w:rsidP="008C503F">
      <w:pPr>
        <w:autoSpaceDE w:val="0"/>
        <w:spacing w:line="600" w:lineRule="exact"/>
        <w:ind w:firstLineChars="200" w:firstLine="640"/>
        <w:textAlignment w:val="baseline"/>
        <w:rPr>
          <w:rFonts w:ascii="楷体_GB2312" w:eastAsia="楷体_GB2312" w:hAnsi="楷体_GB2312" w:cs="楷体_GB2312"/>
          <w:sz w:val="32"/>
          <w:szCs w:val="32"/>
        </w:rPr>
      </w:pPr>
      <w:r>
        <w:rPr>
          <w:rFonts w:ascii="楷体_GB2312" w:eastAsia="楷体_GB2312" w:hAnsi="楷体_GB2312" w:cs="楷体_GB2312" w:hint="eastAsia"/>
          <w:sz w:val="32"/>
          <w:szCs w:val="32"/>
        </w:rPr>
        <w:t>（十）投保流程。</w:t>
      </w:r>
    </w:p>
    <w:p w:rsidR="008C503F" w:rsidRDefault="008C503F" w:rsidP="008C503F">
      <w:pPr>
        <w:widowControl/>
        <w:autoSpaceDE w:val="0"/>
        <w:spacing w:line="600" w:lineRule="exact"/>
        <w:ind w:firstLineChars="200" w:firstLine="643"/>
        <w:textAlignment w:val="baseline"/>
        <w:rPr>
          <w:rFonts w:ascii="仿宋_GB2312" w:eastAsia="仿宋_GB2312" w:hAnsi="仿宋_GB2312" w:cs="仿宋_GB2312"/>
          <w:sz w:val="32"/>
          <w:szCs w:val="32"/>
        </w:rPr>
      </w:pPr>
      <w:r>
        <w:rPr>
          <w:rFonts w:ascii="仿宋_GB2312" w:eastAsia="仿宋_GB2312" w:hAnsi="仿宋_GB2312" w:cs="仿宋_GB2312" w:hint="eastAsia"/>
          <w:b/>
          <w:bCs/>
          <w:sz w:val="32"/>
          <w:szCs w:val="32"/>
        </w:rPr>
        <w:t>1.组织宣导。</w:t>
      </w:r>
      <w:r>
        <w:rPr>
          <w:rFonts w:ascii="仿宋_GB2312" w:eastAsia="仿宋_GB2312" w:hAnsi="仿宋_GB2312" w:cs="仿宋_GB2312" w:hint="eastAsia"/>
          <w:sz w:val="32"/>
          <w:szCs w:val="32"/>
        </w:rPr>
        <w:t>由县农业农村局、行业协会等部门组织农户参加宣导会，保险公司负责保险方案、保险条款宣导告知等工作；</w:t>
      </w:r>
    </w:p>
    <w:p w:rsidR="008C503F" w:rsidRDefault="008C503F" w:rsidP="008C503F">
      <w:pPr>
        <w:widowControl/>
        <w:autoSpaceDE w:val="0"/>
        <w:spacing w:line="600" w:lineRule="exact"/>
        <w:ind w:firstLineChars="200" w:firstLine="643"/>
        <w:textAlignment w:val="baseline"/>
        <w:rPr>
          <w:rFonts w:ascii="仿宋_GB2312" w:eastAsia="仿宋_GB2312" w:hAnsi="仿宋_GB2312" w:cs="仿宋_GB2312"/>
          <w:sz w:val="32"/>
          <w:szCs w:val="32"/>
        </w:rPr>
      </w:pPr>
      <w:r>
        <w:rPr>
          <w:rFonts w:ascii="仿宋_GB2312" w:eastAsia="仿宋_GB2312" w:hAnsi="仿宋_GB2312" w:cs="仿宋_GB2312" w:hint="eastAsia"/>
          <w:b/>
          <w:bCs/>
          <w:sz w:val="32"/>
          <w:szCs w:val="32"/>
        </w:rPr>
        <w:t>2.现场验标。</w:t>
      </w:r>
      <w:r>
        <w:rPr>
          <w:rFonts w:ascii="仿宋_GB2312" w:eastAsia="仿宋_GB2312" w:hAnsi="仿宋_GB2312" w:cs="仿宋_GB2312" w:hint="eastAsia"/>
          <w:sz w:val="32"/>
          <w:szCs w:val="32"/>
        </w:rPr>
        <w:t>对符合投保条件且有意向投保的，保险公司进行种植地址、种植数量等现场验标工作；</w:t>
      </w:r>
    </w:p>
    <w:p w:rsidR="008C503F" w:rsidRDefault="008C503F" w:rsidP="008C503F">
      <w:pPr>
        <w:widowControl/>
        <w:autoSpaceDE w:val="0"/>
        <w:spacing w:line="600" w:lineRule="exact"/>
        <w:ind w:firstLineChars="200" w:firstLine="643"/>
        <w:textAlignment w:val="baseline"/>
        <w:rPr>
          <w:rFonts w:ascii="仿宋_GB2312" w:eastAsia="仿宋_GB2312" w:hAnsi="仿宋_GB2312" w:cs="仿宋_GB2312"/>
          <w:sz w:val="32"/>
          <w:szCs w:val="32"/>
        </w:rPr>
      </w:pPr>
      <w:r>
        <w:rPr>
          <w:rFonts w:ascii="仿宋_GB2312" w:eastAsia="仿宋_GB2312" w:hAnsi="仿宋_GB2312" w:cs="仿宋_GB2312" w:hint="eastAsia"/>
          <w:b/>
          <w:bCs/>
          <w:sz w:val="32"/>
          <w:szCs w:val="32"/>
        </w:rPr>
        <w:t>3.填写投保单。</w:t>
      </w:r>
      <w:r>
        <w:rPr>
          <w:rFonts w:ascii="仿宋_GB2312" w:eastAsia="仿宋_GB2312" w:hAnsi="仿宋_GB2312" w:cs="仿宋_GB2312" w:hint="eastAsia"/>
          <w:sz w:val="32"/>
          <w:szCs w:val="32"/>
        </w:rPr>
        <w:t>投保人按保险公司要求填写投保单，并与保险公司约定保险数量、保险金额、保险期间内、分时段温栀子鲜果计划上市数量，保险公司计算保险费；</w:t>
      </w:r>
    </w:p>
    <w:p w:rsidR="008C503F" w:rsidRDefault="008C503F" w:rsidP="008C503F">
      <w:pPr>
        <w:widowControl/>
        <w:autoSpaceDE w:val="0"/>
        <w:spacing w:line="600" w:lineRule="exact"/>
        <w:ind w:firstLineChars="200" w:firstLine="643"/>
        <w:textAlignment w:val="baseline"/>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4.缴纳保费。</w:t>
      </w:r>
      <w:r>
        <w:rPr>
          <w:rFonts w:ascii="仿宋_GB2312" w:eastAsia="仿宋_GB2312" w:hAnsi="仿宋_GB2312" w:cs="仿宋_GB2312" w:hint="eastAsia"/>
          <w:sz w:val="32"/>
          <w:szCs w:val="32"/>
        </w:rPr>
        <w:t>保险公司向投保人收取自缴部分保险费，并向投保人出具保险单和保费发票，保单生效。</w:t>
      </w:r>
    </w:p>
    <w:p w:rsidR="008C503F" w:rsidRDefault="008C503F" w:rsidP="008C503F">
      <w:pPr>
        <w:autoSpaceDE w:val="0"/>
        <w:spacing w:line="600" w:lineRule="exact"/>
        <w:ind w:firstLineChars="200" w:firstLine="640"/>
        <w:textAlignment w:val="baseline"/>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保险模式</w:t>
      </w:r>
    </w:p>
    <w:p w:rsidR="008C503F" w:rsidRDefault="008C503F" w:rsidP="008C503F">
      <w:pPr>
        <w:spacing w:line="600" w:lineRule="exact"/>
        <w:ind w:firstLineChars="200" w:firstLine="640"/>
        <w:rPr>
          <w:rFonts w:ascii="仿宋_GB2312" w:eastAsia="仿宋_GB2312" w:hAnsi="仿宋_GB2312" w:cs="仿宋_GB2312"/>
          <w:color w:val="000000"/>
          <w:w w:val="90"/>
          <w:sz w:val="32"/>
          <w:szCs w:val="32"/>
        </w:rPr>
      </w:pPr>
      <w:r>
        <w:rPr>
          <w:rFonts w:ascii="仿宋_GB2312" w:eastAsia="仿宋_GB2312" w:hAnsi="仿宋_GB2312" w:cs="仿宋_GB2312" w:hint="eastAsia"/>
          <w:sz w:val="32"/>
          <w:szCs w:val="32"/>
        </w:rPr>
        <w:t>本试点工作由市、县农业农村局负责统筹规划、组织协调及项目实施监督和跟踪调度；由保险公司统筹保险服务并承办，负责保险产品研发设计、市场信息数据采集等，为参保农户提供承保、理赔服务。</w:t>
      </w:r>
    </w:p>
    <w:p w:rsidR="006E1F87" w:rsidRPr="008C503F" w:rsidRDefault="006E1F87" w:rsidP="008C503F"/>
    <w:sectPr w:rsidR="006E1F87" w:rsidRPr="008C503F" w:rsidSect="006E1F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576" w:rsidRPr="00BB4E31" w:rsidRDefault="005A5576" w:rsidP="005A5576">
      <w:pPr>
        <w:rPr>
          <w:rFonts w:ascii="Arial" w:eastAsia="Times New Roman" w:hAnsi="Arial" w:cs="Verdana"/>
          <w:b/>
          <w:kern w:val="0"/>
          <w:sz w:val="24"/>
          <w:lang w:eastAsia="en-US"/>
        </w:rPr>
      </w:pPr>
      <w:r>
        <w:separator/>
      </w:r>
    </w:p>
  </w:endnote>
  <w:endnote w:type="continuationSeparator" w:id="0">
    <w:p w:rsidR="005A5576" w:rsidRPr="00BB4E31" w:rsidRDefault="005A5576" w:rsidP="005A5576">
      <w:pPr>
        <w:rPr>
          <w:rFonts w:ascii="Arial" w:eastAsia="Times New Roman" w:hAnsi="Arial" w:cs="Verdana"/>
          <w:b/>
          <w:kern w:val="0"/>
          <w:sz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576" w:rsidRPr="00BB4E31" w:rsidRDefault="005A5576" w:rsidP="005A5576">
      <w:pPr>
        <w:rPr>
          <w:rFonts w:ascii="Arial" w:eastAsia="Times New Roman" w:hAnsi="Arial" w:cs="Verdana"/>
          <w:b/>
          <w:kern w:val="0"/>
          <w:sz w:val="24"/>
          <w:lang w:eastAsia="en-US"/>
        </w:rPr>
      </w:pPr>
      <w:r>
        <w:separator/>
      </w:r>
    </w:p>
  </w:footnote>
  <w:footnote w:type="continuationSeparator" w:id="0">
    <w:p w:rsidR="005A5576" w:rsidRPr="00BB4E31" w:rsidRDefault="005A5576" w:rsidP="005A5576">
      <w:pPr>
        <w:rPr>
          <w:rFonts w:ascii="Arial" w:eastAsia="Times New Roman" w:hAnsi="Arial" w:cs="Verdana"/>
          <w:b/>
          <w:kern w:val="0"/>
          <w:sz w:val="24"/>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503F"/>
    <w:rsid w:val="00323055"/>
    <w:rsid w:val="005A5576"/>
    <w:rsid w:val="006E1F87"/>
    <w:rsid w:val="008C50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50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C503F"/>
    <w:rPr>
      <w:rFonts w:ascii="Arial" w:hAnsi="Arial"/>
      <w:bCs/>
      <w:sz w:val="24"/>
    </w:rPr>
  </w:style>
  <w:style w:type="character" w:customStyle="1" w:styleId="Char">
    <w:name w:val="正文文本 Char"/>
    <w:basedOn w:val="a0"/>
    <w:link w:val="a3"/>
    <w:rsid w:val="008C503F"/>
    <w:rPr>
      <w:rFonts w:ascii="Arial" w:eastAsia="宋体" w:hAnsi="Arial" w:cs="Times New Roman"/>
      <w:bCs/>
      <w:sz w:val="24"/>
    </w:rPr>
  </w:style>
  <w:style w:type="paragraph" w:customStyle="1" w:styleId="1">
    <w:name w:val="列出段落1"/>
    <w:rsid w:val="008C503F"/>
    <w:pPr>
      <w:ind w:firstLineChars="200" w:firstLine="420"/>
    </w:pPr>
    <w:rPr>
      <w:rFonts w:ascii="Times New Roman" w:eastAsia="宋体" w:hAnsi="Times New Roman" w:cs="Times New Roman"/>
      <w:kern w:val="0"/>
      <w:sz w:val="20"/>
      <w:szCs w:val="20"/>
    </w:rPr>
  </w:style>
  <w:style w:type="paragraph" w:styleId="a4">
    <w:name w:val="header"/>
    <w:basedOn w:val="a"/>
    <w:link w:val="Char0"/>
    <w:uiPriority w:val="99"/>
    <w:semiHidden/>
    <w:unhideWhenUsed/>
    <w:rsid w:val="005A55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A5576"/>
    <w:rPr>
      <w:rFonts w:ascii="Calibri" w:eastAsia="宋体" w:hAnsi="Calibri" w:cs="Times New Roman"/>
      <w:sz w:val="18"/>
      <w:szCs w:val="18"/>
    </w:rPr>
  </w:style>
  <w:style w:type="paragraph" w:styleId="a5">
    <w:name w:val="footer"/>
    <w:basedOn w:val="a"/>
    <w:link w:val="Char1"/>
    <w:uiPriority w:val="99"/>
    <w:semiHidden/>
    <w:unhideWhenUsed/>
    <w:rsid w:val="005A5576"/>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5A557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2019-07-25T01:59:00Z</dcterms:created>
  <dcterms:modified xsi:type="dcterms:W3CDTF">2019-07-25T02:06:00Z</dcterms:modified>
</cp:coreProperties>
</file>