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温州市退役军人事务局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2021年度信息公开工作年度报告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</w:rPr>
        <w:t>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sz w:val="32"/>
          <w:szCs w:val="32"/>
        </w:rPr>
        <w:t>年1月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28</w:t>
      </w:r>
      <w:r>
        <w:rPr>
          <w:rFonts w:hint="eastAsia" w:ascii="楷体_GB2312" w:eastAsia="楷体_GB2312"/>
          <w:sz w:val="32"/>
          <w:szCs w:val="32"/>
        </w:rPr>
        <w:t>日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28"/>
          <w:szCs w:val="28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年度</w:t>
      </w:r>
      <w:r>
        <w:rPr>
          <w:rFonts w:hint="eastAsia" w:ascii="仿宋_GB2312" w:eastAsia="仿宋_GB2312"/>
          <w:sz w:val="32"/>
          <w:szCs w:val="32"/>
        </w:rPr>
        <w:t>报告根据《中华人民共和国政府信息公开条例》（以下简称《政府信息公开条例》）《中华人民共和国政府信息公开工作年度报告格式》</w:t>
      </w:r>
      <w:r>
        <w:rPr>
          <w:rFonts w:hint="eastAsia" w:ascii="仿宋_GB2312" w:eastAsia="仿宋_GB2312"/>
          <w:sz w:val="32"/>
          <w:szCs w:val="32"/>
          <w:lang w:eastAsia="zh-CN"/>
        </w:rPr>
        <w:t>和《</w:t>
      </w:r>
      <w:r>
        <w:rPr>
          <w:rFonts w:hint="eastAsia" w:ascii="仿宋_GB2312" w:eastAsia="仿宋_GB2312"/>
          <w:sz w:val="32"/>
          <w:szCs w:val="32"/>
        </w:rPr>
        <w:t>温州市人民政府办公室关于做好2021年度政务公开情况统计和政府信息公开工作年度报告的通知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》要求</w:t>
      </w:r>
      <w:r>
        <w:rPr>
          <w:rFonts w:hint="eastAsia" w:ascii="仿宋_GB2312" w:eastAsia="仿宋_GB2312"/>
          <w:sz w:val="32"/>
          <w:szCs w:val="32"/>
        </w:rPr>
        <w:t>编制。本报告中所列数据统计期限为20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年1月1日至12月31日。本报告的电子版可通过市政府门户网站（www.wenzhou.gov.cn）和我局门户网站（wztyjr.wenzhou.gov.cn）首页的政府信息公开专栏下载。如对本报告有任何疑问，请联系温州市</w:t>
      </w:r>
      <w:r>
        <w:rPr>
          <w:rFonts w:hint="eastAsia" w:ascii="仿宋_GB2312" w:eastAsia="仿宋_GB2312"/>
          <w:sz w:val="32"/>
          <w:szCs w:val="32"/>
          <w:lang w:eastAsia="zh-CN"/>
        </w:rPr>
        <w:t>退役军人事务局</w:t>
      </w:r>
      <w:r>
        <w:rPr>
          <w:rFonts w:hint="eastAsia" w:ascii="仿宋_GB2312" w:eastAsia="仿宋_GB2312"/>
          <w:sz w:val="32"/>
          <w:szCs w:val="32"/>
        </w:rPr>
        <w:t>办公室（地址：温州市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温州大道2299号，</w:t>
      </w:r>
      <w:r>
        <w:rPr>
          <w:rFonts w:hint="eastAsia" w:ascii="仿宋_GB2312" w:eastAsia="仿宋_GB2312"/>
          <w:sz w:val="32"/>
          <w:szCs w:val="32"/>
        </w:rPr>
        <w:t>电话：0577-8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8051066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一、总体情况。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温州市退役军人事务局</w:t>
      </w: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坚持以习近平新时代中国特色社会主义思想为指导，全面贯彻党的十九大和十九届二中、三中、四中、五中</w:t>
      </w:r>
      <w:r>
        <w:rPr>
          <w:rFonts w:hint="eastAsia" w:ascii="仿宋_GB2312" w:eastAsia="仿宋_GB2312"/>
          <w:sz w:val="32"/>
          <w:szCs w:val="32"/>
          <w:lang w:eastAsia="zh-CN"/>
        </w:rPr>
        <w:t>、六中</w:t>
      </w:r>
      <w:r>
        <w:rPr>
          <w:rFonts w:hint="eastAsia" w:ascii="仿宋_GB2312" w:eastAsia="仿宋_GB2312"/>
          <w:sz w:val="32"/>
          <w:szCs w:val="32"/>
        </w:rPr>
        <w:t>全会精神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认真贯彻落实《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中华人民共和国政府信息公开条例》、《202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年政务公开工作要点》等相关文件精神，</w:t>
      </w:r>
      <w:r>
        <w:rPr>
          <w:rFonts w:hint="eastAsia" w:ascii="仿宋_GB2312" w:eastAsia="仿宋_GB2312"/>
          <w:sz w:val="32"/>
          <w:szCs w:val="32"/>
        </w:rPr>
        <w:t>坚持以公开为常态、不公开为例外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不断加大公开力度，进一步提升政府信息公开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水平，充分保障公众合法的知情权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（一）强化建设信息平台，进一步提升公开范围广度。为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增强政府信息公开的时效性、广泛性，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  <w:lang w:eastAsia="zh-CN"/>
        </w:rPr>
        <w:t>我局以扩大信息传播范围、及时回应社会关切为目标，坚守信息公开的主阵地，持续加强“温州市退役军人事务局”官方网站和官方微信公众号建设运营，着力打造政务新媒体矩阵，新开通“崇军温州”抖音号，充分运用温州日报等公开平台和载体，坚持多渠道、多方式开展政府信息公开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2021年，我局门户网站总访问量达2661882次，微信订阅数13713，人数较去年增加20%,今年累计阅读量186259次。抖音粉丝4098人，累计点击量破百万，获赞3.3万次。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u w:val="none"/>
          <w:lang w:val="en-US" w:eastAsia="zh-CN"/>
        </w:rPr>
        <w:t>（二）落实信息公开举措，进一步提升公开质量厚度。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按照《2021年温州市政务公开工作要点》文件精神，结合工作重点和人民群众关切，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对政府信息公开的范围、内容、形式等作了明确，</w:t>
      </w:r>
      <w:r>
        <w:rPr>
          <w:rFonts w:hint="eastAsia" w:ascii="仿宋_GB2312" w:eastAsia="仿宋_GB2312"/>
          <w:sz w:val="32"/>
          <w:szCs w:val="32"/>
          <w:lang w:eastAsia="zh-CN"/>
        </w:rPr>
        <w:t>编制《温州市退役军人事务局信息公开指南》，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多措并举推进政府信息公开规范化、制度化、常态化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  <w:lang w:eastAsia="zh-CN"/>
        </w:rPr>
        <w:t>一是常态化主动公开</w:t>
      </w:r>
      <w:r>
        <w:rPr>
          <w:rFonts w:hint="eastAsia" w:ascii="仿宋_GB2312" w:eastAsia="仿宋_GB2312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包括机构概况、工作新闻、区县动态、重大决策、重要事项等内容，2021年我局官方网站主动发布信息931条，其中信息公开目录发布35条；微信公众号发布信息909条，抖音共发布74期视频，在温州日报发表文章4篇。</w:t>
      </w:r>
      <w:r>
        <w:rPr>
          <w:rFonts w:hint="eastAsia" w:ascii="仿宋_GB2312" w:eastAsia="仿宋_GB2312"/>
          <w:sz w:val="32"/>
          <w:szCs w:val="32"/>
          <w:lang w:eastAsia="zh-CN"/>
        </w:rPr>
        <w:t>市局主要领导撰写《贯彻落实&lt;退役军人保障法&gt;、奋力开启退役军人事务新征程》在《温州日报》发表。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二是规范化依申请公开，</w:t>
      </w:r>
      <w:r>
        <w:rPr>
          <w:rFonts w:hint="eastAsia" w:ascii="仿宋_GB2312" w:eastAsia="仿宋_GB2312"/>
          <w:sz w:val="32"/>
          <w:szCs w:val="32"/>
          <w:lang w:eastAsia="zh-CN"/>
        </w:rPr>
        <w:t>我局按照《指南》申请方式、答复程序、答复时限等规定，对政府信息依申请公开做出正式答复，推动政府信息依申请公开工作规范有序开展。2021年，我局共收到依申请公开政府信息1件，申请人类别为自然人，在规定时间内按照依申请公开人的要求进行答复，依申请公开人对答复无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（三）规范管理政府信息，进一步提升权威发布高度。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我局严格落实信息审核发布制度，</w:t>
      </w:r>
      <w:r>
        <w:rPr>
          <w:rFonts w:hint="eastAsia" w:ascii="仿宋_GB2312" w:eastAsia="仿宋_GB2312"/>
          <w:sz w:val="32"/>
          <w:szCs w:val="32"/>
          <w:lang w:eastAsia="zh-CN"/>
        </w:rPr>
        <w:t>信息由撰稿人起草、信息工作人员校对并经办公室主任审核无误后发布，重大信息、敏感信息需经主要领导审定后才能发布，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确保信息公开的准确性、权威性</w:t>
      </w:r>
      <w:r>
        <w:rPr>
          <w:rFonts w:hint="eastAsia" w:ascii="仿宋_GB2312" w:eastAsia="仿宋_GB2312"/>
          <w:sz w:val="32"/>
          <w:szCs w:val="32"/>
          <w:lang w:eastAsia="zh-CN"/>
        </w:rPr>
        <w:t>。利用全省政务新媒体审核平台审核信息内容，指定专人负责修改网站、公众号等媒体平台的错误信息。官方网站设置专栏发布国家、省、市的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政策文件和政策解读，发布我局的政策和行政规范性文件。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  <w:lang w:eastAsia="zh-CN"/>
        </w:rPr>
        <w:t>机构成立以来，我局共发布行政规范性文件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2件，现行有效1件。今年我局</w:t>
      </w:r>
      <w:r>
        <w:rPr>
          <w:rFonts w:hint="eastAsia" w:ascii="仿宋_GB2312" w:eastAsia="仿宋_GB2312"/>
          <w:sz w:val="32"/>
          <w:szCs w:val="32"/>
          <w:lang w:eastAsia="zh-CN"/>
        </w:rPr>
        <w:t>与市人力社保局等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7部门出台</w:t>
      </w:r>
      <w:r>
        <w:rPr>
          <w:rFonts w:hint="eastAsia" w:ascii="仿宋_GB2312" w:eastAsia="仿宋_GB2312"/>
          <w:sz w:val="32"/>
          <w:szCs w:val="32"/>
          <w:lang w:eastAsia="zh-CN"/>
        </w:rPr>
        <w:t>《关于加强困难退役军人帮扶援助工作的实施办法》，兜底困难退役军人基本生活，提升我市困难退役军人帮扶援助水平。在制定文件过程中，充分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利用官网向社会公开征求意见，并发布行政规范性文件原文和政策解读，</w:t>
      </w:r>
      <w:r>
        <w:rPr>
          <w:rFonts w:hint="eastAsia" w:ascii="仿宋_GB2312" w:eastAsia="仿宋_GB2312"/>
          <w:sz w:val="32"/>
          <w:szCs w:val="32"/>
          <w:lang w:eastAsia="zh-CN"/>
        </w:rPr>
        <w:t>做好重点领域政府信息主动公开工作。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（四）突出公开重要事项，进一步提升公众监督力度。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高度重视重要事项的公开工作，让权力在“阳光”下行使，切实提高公众的知情权、监督权。我局每年定期公布本年度预算、上年度决算，严格落实财政纪律。2021年我局部门总预算4418.08万元，本年支出合计4362.05万元，其中基本支出2209.73万元、项目支出2152.32万元。2020年度我局本年收入合计5687.15万元，本年支出合计4921.91万元，其中基本支出1930.83万元、项目支出2991.08万元。坚持公开发布招投标公告、人员招聘通知、人事任免通知等社会公众关切的重要事项，主动接受社会公众的监督，切实增强我局工作的透明性，增进政府在公众心中的信任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二、行政机关主动公开政府信息情况。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ind w:firstLine="48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240" w:lineRule="auto"/>
        <w:ind w:firstLine="48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行政机关收到和处理政府信息公开申请情况。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因政府信息公开工作被申请行政复议、提起行政诉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讼情况。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宋体" w:cs="Times New Roman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五、政府信息公开工作存在的主要问题及改进情况。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，我局政府信息公开工作取得了一定的成效，但还存在一些问题和薄弱环节，主要表现在信息公开的时效性还不够强，公开的范围和内容还不够全面，信息公开的深度和广度不够，公开的方式较为单一。2022年，我局将以公众需求为导向，以群众满意为目标，在以下三个方面下功夫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一是统筹谋划，增强信息公开时效。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加强与业务处室的对接，统筹信息公开内容，做到应公开速公开，应公开尽公开，保持信息生成与发布同步，定期督查通报，提高信息公开的时效性。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二是加强学习，提升信息公开水平。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组织开展全系统信息工作人员培训，学习相关业务知识，全面把握《中华人民共和国政府信息公开条例》精神，提高干部职工信息公开的意识，进一步提升信息收集、信息整理、信息完善与更新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等方面的能力素养。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三是丰富载体，强化信息公开监督。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利用广播、电视、报刊等传统媒体推送社会公众关注度较高的重大事项。利用官方网站、微信公众号、抖音号等新媒体矩阵，同步推送日常工作动态、任免决定、招聘通知等政务信息，实现线上线下融合互补，扩大社会公众的知晓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本年度本机关未收取政府信息公开处理费，无其他需要报告的事项。</w:t>
      </w:r>
    </w:p>
    <w:sectPr>
      <w:footerReference r:id="rId5" w:type="default"/>
      <w:pgSz w:w="11906" w:h="16838"/>
      <w:pgMar w:top="2098" w:right="1474" w:bottom="1984" w:left="1587" w:header="567" w:footer="1871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MWY0NTcxY2JhYjBlYWNlODkyOTI2YTdjZTk2MjgifQ=="/>
  </w:docVars>
  <w:rsids>
    <w:rsidRoot w:val="00000000"/>
    <w:rsid w:val="0771053E"/>
    <w:rsid w:val="0831382A"/>
    <w:rsid w:val="0A21545E"/>
    <w:rsid w:val="0C3C2C7E"/>
    <w:rsid w:val="0C943640"/>
    <w:rsid w:val="0E4C478E"/>
    <w:rsid w:val="14229C52"/>
    <w:rsid w:val="1443513D"/>
    <w:rsid w:val="15FE2A80"/>
    <w:rsid w:val="17A7351D"/>
    <w:rsid w:val="1E3F101D"/>
    <w:rsid w:val="210A08FE"/>
    <w:rsid w:val="27685B90"/>
    <w:rsid w:val="296E1F16"/>
    <w:rsid w:val="297F5B3B"/>
    <w:rsid w:val="2A2E2FA6"/>
    <w:rsid w:val="2D5B0F7F"/>
    <w:rsid w:val="328A693D"/>
    <w:rsid w:val="3ABE63C1"/>
    <w:rsid w:val="3BCE3FE2"/>
    <w:rsid w:val="3BFE23A0"/>
    <w:rsid w:val="3BFFDF6E"/>
    <w:rsid w:val="3DE02FB4"/>
    <w:rsid w:val="3F5FBA60"/>
    <w:rsid w:val="3F7611D2"/>
    <w:rsid w:val="3F7DF18A"/>
    <w:rsid w:val="3F875703"/>
    <w:rsid w:val="3F9B12F0"/>
    <w:rsid w:val="3FB74A4A"/>
    <w:rsid w:val="3FDF1258"/>
    <w:rsid w:val="3FF666AF"/>
    <w:rsid w:val="4599412B"/>
    <w:rsid w:val="469B7138"/>
    <w:rsid w:val="4AA12D8D"/>
    <w:rsid w:val="4BA4105A"/>
    <w:rsid w:val="4FF7AE50"/>
    <w:rsid w:val="553063A2"/>
    <w:rsid w:val="574701AF"/>
    <w:rsid w:val="57BF5C28"/>
    <w:rsid w:val="57DC742D"/>
    <w:rsid w:val="57FB1001"/>
    <w:rsid w:val="5B307E9D"/>
    <w:rsid w:val="5BA5496D"/>
    <w:rsid w:val="5BFE6074"/>
    <w:rsid w:val="5D7F734E"/>
    <w:rsid w:val="5E4B7F92"/>
    <w:rsid w:val="5E76196D"/>
    <w:rsid w:val="657D3556"/>
    <w:rsid w:val="675E5A11"/>
    <w:rsid w:val="687FE049"/>
    <w:rsid w:val="6AAFA8FF"/>
    <w:rsid w:val="6B0216FD"/>
    <w:rsid w:val="6BD07A89"/>
    <w:rsid w:val="6C052F04"/>
    <w:rsid w:val="6E7F473E"/>
    <w:rsid w:val="6F1CE5BD"/>
    <w:rsid w:val="6FC71429"/>
    <w:rsid w:val="71FD5617"/>
    <w:rsid w:val="74C73AFE"/>
    <w:rsid w:val="75DAE47B"/>
    <w:rsid w:val="75DFFFBE"/>
    <w:rsid w:val="79FF7262"/>
    <w:rsid w:val="7AFFEB1F"/>
    <w:rsid w:val="7BBC0D48"/>
    <w:rsid w:val="7BD3F775"/>
    <w:rsid w:val="7BF5ED31"/>
    <w:rsid w:val="7BFD7D0F"/>
    <w:rsid w:val="7D9F1CC6"/>
    <w:rsid w:val="7DCB6A34"/>
    <w:rsid w:val="7EDD53F3"/>
    <w:rsid w:val="7EF3D603"/>
    <w:rsid w:val="7EF7041F"/>
    <w:rsid w:val="7F7FC844"/>
    <w:rsid w:val="7FA968EB"/>
    <w:rsid w:val="7FAD146F"/>
    <w:rsid w:val="7FEC4D64"/>
    <w:rsid w:val="7FF7815A"/>
    <w:rsid w:val="7FFD9809"/>
    <w:rsid w:val="7FFECB40"/>
    <w:rsid w:val="7FFED5E4"/>
    <w:rsid w:val="7FFF3D2A"/>
    <w:rsid w:val="7FFF5AB6"/>
    <w:rsid w:val="9BFFDB59"/>
    <w:rsid w:val="9EF90785"/>
    <w:rsid w:val="9FCB38AE"/>
    <w:rsid w:val="B7AFD42B"/>
    <w:rsid w:val="B96AB396"/>
    <w:rsid w:val="BDFDEF9D"/>
    <w:rsid w:val="BE2D670C"/>
    <w:rsid w:val="C9FB471B"/>
    <w:rsid w:val="CEEF9EAF"/>
    <w:rsid w:val="CFFB7610"/>
    <w:rsid w:val="D8FEA197"/>
    <w:rsid w:val="D9FF9024"/>
    <w:rsid w:val="DBD6DD90"/>
    <w:rsid w:val="DDDE5E81"/>
    <w:rsid w:val="DF3784CC"/>
    <w:rsid w:val="DFBB4D06"/>
    <w:rsid w:val="DFCF703A"/>
    <w:rsid w:val="DFDAD29D"/>
    <w:rsid w:val="DFFE6163"/>
    <w:rsid w:val="E56BB34C"/>
    <w:rsid w:val="EADFA4E1"/>
    <w:rsid w:val="ED75DE96"/>
    <w:rsid w:val="EDEDACAC"/>
    <w:rsid w:val="EF5F067F"/>
    <w:rsid w:val="F38FFD90"/>
    <w:rsid w:val="F3F1B977"/>
    <w:rsid w:val="F6DC69A4"/>
    <w:rsid w:val="F7FF4411"/>
    <w:rsid w:val="FB755DEC"/>
    <w:rsid w:val="FBC40C5A"/>
    <w:rsid w:val="FBDFD3C5"/>
    <w:rsid w:val="FD757C9E"/>
    <w:rsid w:val="FDBF7D91"/>
    <w:rsid w:val="FE5C6A9A"/>
    <w:rsid w:val="FFB389CA"/>
    <w:rsid w:val="FFEDA6E3"/>
    <w:rsid w:val="FFFF4FF4"/>
    <w:rsid w:val="FFFFD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autoRedefine/>
    <w:qFormat/>
    <w:uiPriority w:val="0"/>
    <w:rPr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FollowedHyperlink"/>
    <w:basedOn w:val="7"/>
    <w:qFormat/>
    <w:uiPriority w:val="0"/>
    <w:rPr>
      <w:color w:val="535252"/>
      <w:u w:val="none"/>
    </w:rPr>
  </w:style>
  <w:style w:type="character" w:styleId="11">
    <w:name w:val="Hyperlink"/>
    <w:basedOn w:val="7"/>
    <w:autoRedefine/>
    <w:qFormat/>
    <w:uiPriority w:val="0"/>
    <w:rPr>
      <w:color w:val="535252"/>
      <w:u w:val="none"/>
    </w:rPr>
  </w:style>
  <w:style w:type="character" w:customStyle="1" w:styleId="12">
    <w:name w:val="curr"/>
    <w:basedOn w:val="7"/>
    <w:autoRedefine/>
    <w:qFormat/>
    <w:uiPriority w:val="0"/>
    <w:rPr>
      <w:shd w:val="clear" w:fill="1A8EE8"/>
    </w:rPr>
  </w:style>
  <w:style w:type="character" w:customStyle="1" w:styleId="13">
    <w:name w:val="hover12"/>
    <w:basedOn w:val="7"/>
    <w:autoRedefine/>
    <w:qFormat/>
    <w:uiPriority w:val="0"/>
    <w:rPr>
      <w:shd w:val="clear" w:fill="1A8EE8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7"/>
    <w:autoRedefine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Administrator</cp:lastModifiedBy>
  <dcterms:modified xsi:type="dcterms:W3CDTF">2024-04-02T09:00:13Z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03806EE7C38C48EFAABD58AD4B0D5280_12</vt:lpwstr>
  </property>
</Properties>
</file>