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overflowPunct w:val="0"/>
        <w:adjustRightInd w:val="0"/>
        <w:snapToGrid w:val="0"/>
        <w:spacing w:after="0" w:line="570" w:lineRule="exact"/>
        <w:ind w:left="0" w:leftChars="0" w:firstLine="0" w:firstLineChars="0"/>
        <w:rPr>
          <w:rFonts w:ascii="黑体" w:hAnsi="黑体" w:eastAsia="黑体" w:cs="黑体"/>
          <w:snapToGrid w:val="0"/>
          <w:kern w:val="0"/>
          <w:sz w:val="32"/>
          <w:szCs w:val="32"/>
        </w:rPr>
      </w:pPr>
      <w:r>
        <w:rPr>
          <w:rFonts w:hint="eastAsia" w:ascii="黑体" w:hAnsi="黑体" w:eastAsia="黑体" w:cs="黑体"/>
          <w:snapToGrid w:val="0"/>
          <w:kern w:val="0"/>
          <w:sz w:val="32"/>
          <w:szCs w:val="32"/>
        </w:rPr>
        <w:t>附件</w:t>
      </w:r>
      <w:r>
        <w:rPr>
          <w:rFonts w:hint="eastAsia" w:ascii="Times New Roman" w:hAnsi="Times New Roman" w:eastAsia="黑体" w:cs="黑体"/>
          <w:snapToGrid w:val="0"/>
          <w:kern w:val="0"/>
          <w:sz w:val="32"/>
          <w:szCs w:val="32"/>
        </w:rPr>
        <w:t>3</w:t>
      </w:r>
    </w:p>
    <w:p>
      <w:pPr>
        <w:overflowPunct w:val="0"/>
        <w:adjustRightInd w:val="0"/>
        <w:snapToGrid w:val="0"/>
        <w:spacing w:line="570" w:lineRule="exact"/>
        <w:rPr>
          <w:rFonts w:hint="eastAsia" w:ascii="方正大标宋_GBK" w:hAnsi="方正大标宋_GBK" w:eastAsia="方正大标宋_GBK" w:cs="方正大标宋_GBK"/>
          <w:snapToGrid w:val="0"/>
          <w:kern w:val="0"/>
          <w:sz w:val="44"/>
          <w:szCs w:val="44"/>
          <w:lang w:val="en"/>
        </w:rPr>
      </w:pPr>
    </w:p>
    <w:p>
      <w:pPr>
        <w:overflowPunct w:val="0"/>
        <w:adjustRightInd w:val="0"/>
        <w:snapToGrid w:val="0"/>
        <w:spacing w:line="570" w:lineRule="exact"/>
        <w:jc w:val="center"/>
        <w:rPr>
          <w:rFonts w:ascii="方正大标宋_GBK" w:hAnsi="方正大标宋_GBK" w:eastAsia="方正大标宋_GBK" w:cs="方正大标宋_GBK"/>
          <w:snapToGrid w:val="0"/>
          <w:kern w:val="0"/>
          <w:sz w:val="44"/>
          <w:szCs w:val="44"/>
          <w:lang w:val="en"/>
        </w:rPr>
      </w:pPr>
      <w:bookmarkStart w:id="0" w:name="_GoBack"/>
      <w:r>
        <w:rPr>
          <w:rFonts w:hint="eastAsia" w:ascii="方正大标宋_GBK" w:hAnsi="方正大标宋_GBK" w:eastAsia="方正大标宋_GBK" w:cs="方正大标宋_GBK"/>
          <w:snapToGrid w:val="0"/>
          <w:kern w:val="0"/>
          <w:sz w:val="44"/>
          <w:szCs w:val="44"/>
          <w:lang w:val="en"/>
        </w:rPr>
        <w:t>温州市中医药传承创新发展专项行动措施</w:t>
      </w:r>
      <w:bookmarkEnd w:id="0"/>
    </w:p>
    <w:p>
      <w:pPr>
        <w:overflowPunct w:val="0"/>
        <w:adjustRightInd w:val="0"/>
        <w:snapToGrid w:val="0"/>
        <w:spacing w:line="570" w:lineRule="exact"/>
        <w:ind w:firstLine="640" w:firstLineChars="200"/>
        <w:rPr>
          <w:rFonts w:ascii="仿宋_GB2312" w:hAnsi="仿宋_GB2312"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为贯彻落实党中央、国务院关于促进中医药发展的系列重大决策部署，进一步加大“十四五”期间对中医药发展的支持和促进力度，根据《中共中央 国务院关于促进中医药传承创新发展的意见》《国家中医药传承创新发展试验区建设管理办法》（国中医药综函〔</w:t>
      </w:r>
      <w:r>
        <w:rPr>
          <w:rFonts w:hint="eastAsia" w:eastAsia="仿宋_GB2312" w:cs="仿宋_GB2312"/>
          <w:snapToGrid w:val="0"/>
          <w:kern w:val="0"/>
          <w:sz w:val="32"/>
          <w:szCs w:val="32"/>
        </w:rPr>
        <w:t>2022</w:t>
      </w:r>
      <w:r>
        <w:rPr>
          <w:rFonts w:hint="eastAsia" w:ascii="仿宋_GB2312" w:hAnsi="宋体" w:eastAsia="仿宋_GB2312" w:cs="仿宋_GB2312"/>
          <w:snapToGrid w:val="0"/>
          <w:kern w:val="0"/>
          <w:sz w:val="32"/>
          <w:szCs w:val="32"/>
        </w:rPr>
        <w:t>〕</w:t>
      </w:r>
      <w:r>
        <w:rPr>
          <w:rFonts w:hint="eastAsia" w:eastAsia="仿宋_GB2312" w:cs="仿宋_GB2312"/>
          <w:snapToGrid w:val="0"/>
          <w:kern w:val="0"/>
          <w:sz w:val="32"/>
          <w:szCs w:val="32"/>
        </w:rPr>
        <w:t>227</w:t>
      </w:r>
      <w:r>
        <w:rPr>
          <w:rFonts w:hint="eastAsia" w:ascii="仿宋_GB2312" w:hAnsi="宋体" w:eastAsia="仿宋_GB2312" w:cs="仿宋_GB2312"/>
          <w:snapToGrid w:val="0"/>
          <w:kern w:val="0"/>
          <w:sz w:val="32"/>
          <w:szCs w:val="32"/>
        </w:rPr>
        <w:t>号）、《关于组织申报中央财政支持中医药传承创新发展示范试点项目的通知》（财办社〔</w:t>
      </w:r>
      <w:r>
        <w:rPr>
          <w:rFonts w:hint="eastAsia" w:eastAsia="仿宋_GB2312" w:cs="仿宋_GB2312"/>
          <w:snapToGrid w:val="0"/>
          <w:kern w:val="0"/>
          <w:sz w:val="32"/>
          <w:szCs w:val="32"/>
        </w:rPr>
        <w:t>2023</w:t>
      </w:r>
      <w:r>
        <w:rPr>
          <w:rFonts w:hint="eastAsia" w:ascii="仿宋_GB2312" w:hAnsi="宋体" w:eastAsia="仿宋_GB2312" w:cs="仿宋_GB2312"/>
          <w:snapToGrid w:val="0"/>
          <w:kern w:val="0"/>
          <w:sz w:val="32"/>
          <w:szCs w:val="32"/>
        </w:rPr>
        <w:t>〕</w:t>
      </w:r>
      <w:r>
        <w:rPr>
          <w:rFonts w:hint="eastAsia" w:eastAsia="仿宋_GB2312" w:cs="仿宋_GB2312"/>
          <w:snapToGrid w:val="0"/>
          <w:kern w:val="0"/>
          <w:sz w:val="32"/>
          <w:szCs w:val="32"/>
        </w:rPr>
        <w:t>14</w:t>
      </w:r>
      <w:r>
        <w:rPr>
          <w:rFonts w:hint="eastAsia" w:ascii="仿宋_GB2312" w:hAnsi="宋体" w:eastAsia="仿宋_GB2312" w:cs="仿宋_GB2312"/>
          <w:snapToGrid w:val="0"/>
          <w:kern w:val="0"/>
          <w:sz w:val="32"/>
          <w:szCs w:val="32"/>
        </w:rPr>
        <w:t>号）、《浙江省国家中医药综合改革示范区建设方案》（浙政办发〔</w:t>
      </w:r>
      <w:r>
        <w:rPr>
          <w:rFonts w:hint="eastAsia" w:eastAsia="仿宋_GB2312" w:cs="仿宋_GB2312"/>
          <w:snapToGrid w:val="0"/>
          <w:kern w:val="0"/>
          <w:sz w:val="32"/>
          <w:szCs w:val="32"/>
        </w:rPr>
        <w:t>2022</w:t>
      </w:r>
      <w:r>
        <w:rPr>
          <w:rFonts w:hint="eastAsia" w:ascii="仿宋_GB2312" w:hAnsi="宋体" w:eastAsia="仿宋_GB2312" w:cs="仿宋_GB2312"/>
          <w:snapToGrid w:val="0"/>
          <w:kern w:val="0"/>
          <w:sz w:val="32"/>
          <w:szCs w:val="32"/>
        </w:rPr>
        <w:t>〕</w:t>
      </w:r>
      <w:r>
        <w:rPr>
          <w:rFonts w:hint="eastAsia" w:eastAsia="仿宋_GB2312" w:cs="仿宋_GB2312"/>
          <w:snapToGrid w:val="0"/>
          <w:kern w:val="0"/>
          <w:sz w:val="32"/>
          <w:szCs w:val="32"/>
        </w:rPr>
        <w:t>61</w:t>
      </w:r>
      <w:r>
        <w:rPr>
          <w:rFonts w:hint="eastAsia" w:ascii="仿宋_GB2312" w:hAnsi="宋体" w:eastAsia="仿宋_GB2312" w:cs="仿宋_GB2312"/>
          <w:snapToGrid w:val="0"/>
          <w:kern w:val="0"/>
          <w:sz w:val="32"/>
          <w:szCs w:val="32"/>
        </w:rPr>
        <w:t>号）和《温州市委市政府关于促进中医药传承创新发展的实施方案》（温委发〔</w:t>
      </w:r>
      <w:r>
        <w:rPr>
          <w:rFonts w:hint="eastAsia" w:eastAsia="仿宋_GB2312" w:cs="仿宋_GB2312"/>
          <w:snapToGrid w:val="0"/>
          <w:kern w:val="0"/>
          <w:sz w:val="32"/>
          <w:szCs w:val="32"/>
        </w:rPr>
        <w:t>2021</w:t>
      </w:r>
      <w:r>
        <w:rPr>
          <w:rFonts w:hint="eastAsia" w:ascii="仿宋_GB2312" w:hAnsi="宋体" w:eastAsia="仿宋_GB2312" w:cs="仿宋_GB2312"/>
          <w:snapToGrid w:val="0"/>
          <w:kern w:val="0"/>
          <w:sz w:val="32"/>
          <w:szCs w:val="32"/>
        </w:rPr>
        <w:t>〕</w:t>
      </w:r>
      <w:r>
        <w:rPr>
          <w:rFonts w:hint="eastAsia" w:eastAsia="仿宋_GB2312" w:cs="仿宋_GB2312"/>
          <w:snapToGrid w:val="0"/>
          <w:kern w:val="0"/>
          <w:sz w:val="32"/>
          <w:szCs w:val="32"/>
        </w:rPr>
        <w:t>22</w:t>
      </w:r>
      <w:r>
        <w:rPr>
          <w:rFonts w:hint="eastAsia" w:ascii="仿宋_GB2312" w:hAnsi="宋体" w:eastAsia="仿宋_GB2312" w:cs="仿宋_GB2312"/>
          <w:snapToGrid w:val="0"/>
          <w:kern w:val="0"/>
          <w:sz w:val="32"/>
          <w:szCs w:val="32"/>
        </w:rPr>
        <w:t>号）精神，结合我市实际，制定本行动措施。</w:t>
      </w:r>
    </w:p>
    <w:p>
      <w:pPr>
        <w:overflowPunct w:val="0"/>
        <w:adjustRightInd w:val="0"/>
        <w:snapToGrid w:val="0"/>
        <w:spacing w:line="570"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bCs/>
          <w:snapToGrid w:val="0"/>
          <w:kern w:val="0"/>
          <w:sz w:val="32"/>
          <w:szCs w:val="32"/>
        </w:rPr>
        <w:t>一、高标准打造中医药服务体系</w:t>
      </w:r>
    </w:p>
    <w:p>
      <w:pPr>
        <w:pStyle w:val="3"/>
        <w:overflowPunct w:val="0"/>
        <w:adjustRightInd w:val="0"/>
        <w:snapToGrid w:val="0"/>
        <w:spacing w:before="0" w:beforeAutospacing="0" w:after="0" w:afterAutospacing="0" w:line="570" w:lineRule="exact"/>
        <w:ind w:firstLine="640" w:firstLineChars="200"/>
        <w:jc w:val="both"/>
        <w:rPr>
          <w:rFonts w:hint="eastAsia" w:ascii="仿宋_GB2312" w:hAnsi="宋体" w:eastAsia="仿宋_GB2312" w:cs="仿宋_GB2312"/>
          <w:snapToGrid w:val="0"/>
          <w:sz w:val="32"/>
          <w:szCs w:val="32"/>
        </w:rPr>
      </w:pPr>
      <w:r>
        <w:rPr>
          <w:rFonts w:hint="eastAsia" w:ascii="仿宋_GB2312" w:hAnsi="宋体" w:eastAsia="仿宋_GB2312" w:cs="仿宋_GB2312"/>
          <w:snapToGrid w:val="0"/>
          <w:sz w:val="32"/>
          <w:szCs w:val="32"/>
        </w:rPr>
        <w:t>建立符合中医药发展规律的服务体系和服务模式，建设国家中医特色重点医院、中医类国家区域医疗中心（建设类）、中西医协同旗舰医院、浙江中医药大学同质化医院。持续提升中医类医院国考成绩排名，三甲中医院确保达到</w:t>
      </w:r>
      <w:r>
        <w:rPr>
          <w:rFonts w:hint="eastAsia" w:ascii="Times New Roman" w:hAnsi="Times New Roman" w:eastAsia="仿宋_GB2312" w:cs="仿宋_GB2312"/>
          <w:snapToGrid w:val="0"/>
          <w:sz w:val="32"/>
          <w:szCs w:val="32"/>
        </w:rPr>
        <w:t>A</w:t>
      </w:r>
      <w:r>
        <w:rPr>
          <w:rFonts w:hint="eastAsia" w:ascii="仿宋_GB2312" w:hAnsi="宋体" w:eastAsia="仿宋_GB2312" w:cs="仿宋_GB2312"/>
          <w:snapToGrid w:val="0"/>
          <w:sz w:val="32"/>
          <w:szCs w:val="32"/>
        </w:rPr>
        <w:t>级水平以上，二甲中医院及以上保持</w:t>
      </w:r>
      <w:r>
        <w:rPr>
          <w:rFonts w:hint="eastAsia" w:ascii="Times New Roman" w:hAnsi="Times New Roman" w:eastAsia="仿宋_GB2312" w:cs="仿宋_GB2312"/>
          <w:snapToGrid w:val="0"/>
          <w:sz w:val="32"/>
          <w:szCs w:val="32"/>
        </w:rPr>
        <w:t>B</w:t>
      </w:r>
      <w:r>
        <w:rPr>
          <w:rFonts w:hint="eastAsia" w:ascii="仿宋_GB2312" w:hAnsi="宋体" w:eastAsia="仿宋_GB2312" w:cs="仿宋_GB2312"/>
          <w:snapToGrid w:val="0"/>
          <w:sz w:val="32"/>
          <w:szCs w:val="32"/>
        </w:rPr>
        <w:t>+级水平以上。到</w:t>
      </w:r>
      <w:r>
        <w:rPr>
          <w:rFonts w:hint="eastAsia" w:ascii="Times New Roman" w:hAnsi="Times New Roman" w:eastAsia="仿宋_GB2312" w:cs="仿宋_GB2312"/>
          <w:snapToGrid w:val="0"/>
          <w:sz w:val="32"/>
          <w:szCs w:val="32"/>
        </w:rPr>
        <w:t>2025</w:t>
      </w:r>
      <w:r>
        <w:rPr>
          <w:rFonts w:hint="eastAsia" w:ascii="仿宋_GB2312" w:hAnsi="宋体" w:eastAsia="仿宋_GB2312" w:cs="仿宋_GB2312"/>
          <w:snapToGrid w:val="0"/>
          <w:sz w:val="32"/>
          <w:szCs w:val="32"/>
        </w:rPr>
        <w:t>年，全市各县（市）三级中医类医院覆盖率达到</w:t>
      </w:r>
      <w:r>
        <w:rPr>
          <w:rFonts w:hint="eastAsia" w:ascii="Times New Roman" w:hAnsi="Times New Roman" w:eastAsia="仿宋_GB2312" w:cs="仿宋_GB2312"/>
          <w:snapToGrid w:val="0"/>
          <w:sz w:val="32"/>
          <w:szCs w:val="32"/>
        </w:rPr>
        <w:t>50%</w:t>
      </w:r>
      <w:r>
        <w:rPr>
          <w:rFonts w:hint="eastAsia" w:ascii="仿宋_GB2312" w:hAnsi="宋体" w:eastAsia="仿宋_GB2312" w:cs="仿宋_GB2312"/>
          <w:snapToGrid w:val="0"/>
          <w:sz w:val="32"/>
          <w:szCs w:val="32"/>
        </w:rPr>
        <w:t>以上，二级以上中医类医院覆盖率达到</w:t>
      </w:r>
      <w:r>
        <w:rPr>
          <w:rFonts w:hint="eastAsia" w:ascii="Times New Roman" w:hAnsi="Times New Roman" w:eastAsia="仿宋_GB2312" w:cs="仿宋_GB2312"/>
          <w:snapToGrid w:val="0"/>
          <w:sz w:val="32"/>
          <w:szCs w:val="32"/>
        </w:rPr>
        <w:t>100%</w:t>
      </w:r>
      <w:r>
        <w:rPr>
          <w:rFonts w:hint="eastAsia" w:ascii="仿宋_GB2312" w:hAnsi="宋体" w:eastAsia="仿宋_GB2312" w:cs="仿宋_GB2312"/>
          <w:snapToGrid w:val="0"/>
          <w:sz w:val="32"/>
          <w:szCs w:val="32"/>
        </w:rPr>
        <w:t>。</w:t>
      </w:r>
    </w:p>
    <w:p>
      <w:pPr>
        <w:pStyle w:val="8"/>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1</w:t>
      </w:r>
      <w:r>
        <w:rPr>
          <w:rFonts w:hint="eastAsia" w:ascii="楷体_GB2312" w:hAnsi="宋体" w:eastAsia="楷体_GB2312" w:cs="仿宋_GB2312"/>
          <w:snapToGrid w:val="0"/>
          <w:kern w:val="0"/>
          <w:sz w:val="32"/>
          <w:szCs w:val="32"/>
        </w:rPr>
        <w:t>.加快高水平中医院建设。</w:t>
      </w:r>
      <w:r>
        <w:rPr>
          <w:rFonts w:hint="eastAsia" w:ascii="仿宋_GB2312" w:hAnsi="宋体" w:eastAsia="仿宋_GB2312" w:cs="仿宋_GB2312"/>
          <w:snapToGrid w:val="0"/>
          <w:kern w:val="0"/>
          <w:sz w:val="32"/>
          <w:szCs w:val="32"/>
        </w:rPr>
        <w:t>深化温州市中医院与浙江中医药大学合作，建设浙江中医药大学同质化医院，共建中医药科研平台，进一步提高医院科研能力、教学水平。深化温州市中西结合医院与浙江省中医院合作，争创中医类国家区域医疗中心（建设类），重点建设</w:t>
      </w:r>
      <w:r>
        <w:rPr>
          <w:rFonts w:hint="eastAsia" w:ascii="Times New Roman" w:hAnsi="Times New Roman" w:eastAsia="仿宋_GB2312" w:cs="仿宋_GB2312"/>
          <w:snapToGrid w:val="0"/>
          <w:kern w:val="0"/>
          <w:sz w:val="32"/>
          <w:szCs w:val="32"/>
        </w:rPr>
        <w:t>5</w:t>
      </w:r>
      <w:r>
        <w:rPr>
          <w:rFonts w:hint="eastAsia" w:ascii="仿宋_GB2312" w:hAnsi="宋体" w:eastAsia="仿宋_GB2312" w:cs="仿宋_GB2312"/>
          <w:snapToGrid w:val="0"/>
          <w:kern w:val="0"/>
          <w:sz w:val="32"/>
          <w:szCs w:val="32"/>
        </w:rPr>
        <w:t>个以上中西医结合特色优势明显的重点专科，建成华东地区重大疑难疾病中西医结合诊疗、人才队伍培养和医疗模式推广中心。</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2</w:t>
      </w:r>
      <w:r>
        <w:rPr>
          <w:rFonts w:hint="eastAsia" w:ascii="楷体_GB2312" w:hAnsi="宋体" w:eastAsia="楷体_GB2312" w:cs="仿宋_GB2312"/>
          <w:snapToGrid w:val="0"/>
          <w:kern w:val="0"/>
          <w:sz w:val="32"/>
          <w:szCs w:val="32"/>
        </w:rPr>
        <w:t>.推进县域中医院发展。</w:t>
      </w:r>
      <w:r>
        <w:rPr>
          <w:rFonts w:hint="eastAsia" w:ascii="仿宋_GB2312" w:hAnsi="宋体" w:eastAsia="仿宋_GB2312" w:cs="仿宋_GB2312"/>
          <w:snapToGrid w:val="0"/>
          <w:kern w:val="0"/>
          <w:sz w:val="32"/>
          <w:szCs w:val="32"/>
        </w:rPr>
        <w:t>全市创建全国基层中医药示范县（市）</w:t>
      </w:r>
      <w:r>
        <w:rPr>
          <w:rFonts w:hint="eastAsia" w:ascii="Times New Roman" w:hAnsi="Times New Roman" w:eastAsia="仿宋_GB2312" w:cs="仿宋_GB2312"/>
          <w:snapToGrid w:val="0"/>
          <w:kern w:val="0"/>
          <w:sz w:val="32"/>
          <w:szCs w:val="32"/>
        </w:rPr>
        <w:t>7</w:t>
      </w:r>
      <w:r>
        <w:rPr>
          <w:rFonts w:hint="eastAsia" w:ascii="仿宋_GB2312" w:hAnsi="宋体" w:eastAsia="仿宋_GB2312" w:cs="仿宋_GB2312"/>
          <w:snapToGrid w:val="0"/>
          <w:kern w:val="0"/>
          <w:sz w:val="32"/>
          <w:szCs w:val="32"/>
        </w:rPr>
        <w:t>个。加强省、市医院结对帮扶，引导优质医疗资源向薄弱县（市、区）延伸。重点提升市、县级中医院急诊、</w:t>
      </w:r>
      <w:r>
        <w:rPr>
          <w:rFonts w:hint="eastAsia" w:ascii="Times New Roman" w:hAnsi="Times New Roman" w:eastAsia="仿宋_GB2312" w:cs="仿宋_GB2312"/>
          <w:snapToGrid w:val="0"/>
          <w:kern w:val="0"/>
          <w:sz w:val="32"/>
          <w:szCs w:val="32"/>
        </w:rPr>
        <w:t>ICU</w:t>
      </w:r>
      <w:r>
        <w:rPr>
          <w:rFonts w:hint="eastAsia" w:ascii="仿宋_GB2312" w:hAnsi="宋体" w:eastAsia="仿宋_GB2312" w:cs="仿宋_GB2312"/>
          <w:snapToGrid w:val="0"/>
          <w:kern w:val="0"/>
          <w:sz w:val="32"/>
          <w:szCs w:val="32"/>
        </w:rPr>
        <w:t>、</w:t>
      </w:r>
      <w:r>
        <w:rPr>
          <w:rFonts w:hint="eastAsia" w:ascii="Times New Roman" w:hAnsi="Times New Roman" w:eastAsia="仿宋_GB2312" w:cs="仿宋_GB2312"/>
          <w:snapToGrid w:val="0"/>
          <w:kern w:val="0"/>
          <w:sz w:val="32"/>
          <w:szCs w:val="32"/>
        </w:rPr>
        <w:t>DSA</w:t>
      </w:r>
      <w:r>
        <w:rPr>
          <w:rFonts w:hint="eastAsia" w:ascii="仿宋_GB2312" w:hAnsi="宋体" w:eastAsia="仿宋_GB2312" w:cs="仿宋_GB2312"/>
          <w:snapToGrid w:val="0"/>
          <w:kern w:val="0"/>
          <w:sz w:val="32"/>
          <w:szCs w:val="32"/>
        </w:rPr>
        <w:t>、麻醉等临床薄弱专科建设，到</w:t>
      </w:r>
      <w:r>
        <w:rPr>
          <w:rFonts w:hint="eastAsia" w:ascii="Times New Roman" w:hAnsi="Times New Roman" w:eastAsia="仿宋_GB2312" w:cs="仿宋_GB2312"/>
          <w:snapToGrid w:val="0"/>
          <w:kern w:val="0"/>
          <w:sz w:val="32"/>
          <w:szCs w:val="32"/>
        </w:rPr>
        <w:t>2025</w:t>
      </w:r>
      <w:r>
        <w:rPr>
          <w:rFonts w:hint="eastAsia" w:ascii="仿宋_GB2312" w:hAnsi="宋体" w:eastAsia="仿宋_GB2312" w:cs="仿宋_GB2312"/>
          <w:snapToGrid w:val="0"/>
          <w:kern w:val="0"/>
          <w:sz w:val="32"/>
          <w:szCs w:val="32"/>
        </w:rPr>
        <w:t>年，二甲以上中医院全部完成胸痛、卒中、创伤建设。开展“两专科一中心”建设，建成</w:t>
      </w:r>
      <w:r>
        <w:rPr>
          <w:rFonts w:hint="eastAsia" w:ascii="Times New Roman" w:hAnsi="Times New Roman" w:eastAsia="仿宋_GB2312" w:cs="仿宋_GB2312"/>
          <w:snapToGrid w:val="0"/>
          <w:kern w:val="0"/>
          <w:sz w:val="32"/>
          <w:szCs w:val="32"/>
        </w:rPr>
        <w:t>2</w:t>
      </w:r>
      <w:r>
        <w:rPr>
          <w:rFonts w:hint="eastAsia" w:ascii="仿宋_GB2312" w:hAnsi="宋体" w:eastAsia="仿宋_GB2312" w:cs="仿宋_GB2312"/>
          <w:snapToGrid w:val="0"/>
          <w:kern w:val="0"/>
          <w:sz w:val="32"/>
          <w:szCs w:val="32"/>
        </w:rPr>
        <w:t>个以上中医特色优势专科和</w:t>
      </w:r>
      <w:r>
        <w:rPr>
          <w:rFonts w:hint="eastAsia" w:ascii="Times New Roman" w:hAnsi="Times New Roman" w:eastAsia="仿宋_GB2312" w:cs="仿宋_GB2312"/>
          <w:snapToGrid w:val="0"/>
          <w:kern w:val="0"/>
          <w:sz w:val="32"/>
          <w:szCs w:val="32"/>
        </w:rPr>
        <w:t>1</w:t>
      </w:r>
      <w:r>
        <w:rPr>
          <w:rFonts w:hint="eastAsia" w:ascii="仿宋_GB2312" w:hAnsi="宋体" w:eastAsia="仿宋_GB2312" w:cs="仿宋_GB2312"/>
          <w:snapToGrid w:val="0"/>
          <w:kern w:val="0"/>
          <w:sz w:val="32"/>
          <w:szCs w:val="32"/>
        </w:rPr>
        <w:t>个县域中医药适宜技术推广中心。</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3</w:t>
      </w:r>
      <w:r>
        <w:rPr>
          <w:rFonts w:hint="eastAsia" w:ascii="楷体_GB2312" w:hAnsi="宋体" w:eastAsia="楷体_GB2312" w:cs="仿宋_GB2312"/>
          <w:snapToGrid w:val="0"/>
          <w:kern w:val="0"/>
          <w:sz w:val="32"/>
          <w:szCs w:val="32"/>
        </w:rPr>
        <w:t>.补齐基层中医药短板。</w:t>
      </w:r>
      <w:r>
        <w:rPr>
          <w:rFonts w:hint="eastAsia" w:ascii="仿宋_GB2312" w:hAnsi="宋体" w:eastAsia="仿宋_GB2312" w:cs="仿宋_GB2312"/>
          <w:snapToGrid w:val="0"/>
          <w:kern w:val="0"/>
          <w:sz w:val="32"/>
          <w:szCs w:val="32"/>
        </w:rPr>
        <w:t>以民生实事为抓手，加大专项资金投入，加快社区卫生服务中心（乡镇卫生院）中医诊疗区域软硬件建设，扩大中医药服务内涵，补齐基层中医药短板，全面建成“旗舰中医馆”和“中医阁”。</w:t>
      </w:r>
      <w:r>
        <w:rPr>
          <w:rFonts w:hint="eastAsia" w:ascii="Times New Roman" w:hAnsi="Times New Roman" w:eastAsia="仿宋_GB2312" w:cs="仿宋_GB2312"/>
          <w:snapToGrid w:val="0"/>
          <w:kern w:val="0"/>
          <w:sz w:val="32"/>
          <w:szCs w:val="32"/>
        </w:rPr>
        <w:t>100%</w:t>
      </w:r>
      <w:r>
        <w:rPr>
          <w:rFonts w:hint="eastAsia" w:ascii="仿宋_GB2312" w:hAnsi="宋体" w:eastAsia="仿宋_GB2312" w:cs="仿宋_GB2312"/>
          <w:snapToGrid w:val="0"/>
          <w:kern w:val="0"/>
          <w:sz w:val="32"/>
          <w:szCs w:val="32"/>
        </w:rPr>
        <w:t>的社区卫生服务中心（乡镇卫生院）规范开展</w:t>
      </w:r>
      <w:r>
        <w:rPr>
          <w:rFonts w:hint="eastAsia" w:ascii="Times New Roman" w:hAnsi="Times New Roman" w:eastAsia="仿宋_GB2312" w:cs="仿宋_GB2312"/>
          <w:snapToGrid w:val="0"/>
          <w:kern w:val="0"/>
          <w:sz w:val="32"/>
          <w:szCs w:val="32"/>
        </w:rPr>
        <w:t>6</w:t>
      </w:r>
      <w:r>
        <w:rPr>
          <w:rFonts w:hint="eastAsia" w:ascii="仿宋_GB2312" w:hAnsi="宋体" w:eastAsia="仿宋_GB2312" w:cs="仿宋_GB2312"/>
          <w:snapToGrid w:val="0"/>
          <w:kern w:val="0"/>
          <w:sz w:val="32"/>
          <w:szCs w:val="32"/>
        </w:rPr>
        <w:t>类</w:t>
      </w:r>
      <w:r>
        <w:rPr>
          <w:rFonts w:hint="eastAsia" w:ascii="Times New Roman" w:hAnsi="Times New Roman" w:eastAsia="仿宋_GB2312" w:cs="仿宋_GB2312"/>
          <w:snapToGrid w:val="0"/>
          <w:kern w:val="0"/>
          <w:sz w:val="32"/>
          <w:szCs w:val="32"/>
        </w:rPr>
        <w:t>10</w:t>
      </w:r>
      <w:r>
        <w:rPr>
          <w:rFonts w:hint="eastAsia" w:ascii="仿宋_GB2312" w:hAnsi="宋体" w:eastAsia="仿宋_GB2312" w:cs="仿宋_GB2312"/>
          <w:snapToGrid w:val="0"/>
          <w:kern w:val="0"/>
          <w:sz w:val="32"/>
          <w:szCs w:val="32"/>
        </w:rPr>
        <w:t>项以上中医药适宜技术，</w:t>
      </w:r>
      <w:r>
        <w:rPr>
          <w:rFonts w:hint="eastAsia" w:ascii="Times New Roman" w:hAnsi="Times New Roman" w:eastAsia="仿宋_GB2312" w:cs="仿宋_GB2312"/>
          <w:snapToGrid w:val="0"/>
          <w:kern w:val="0"/>
          <w:sz w:val="32"/>
          <w:szCs w:val="32"/>
        </w:rPr>
        <w:t>95%</w:t>
      </w:r>
      <w:r>
        <w:rPr>
          <w:rFonts w:hint="eastAsia" w:ascii="仿宋_GB2312" w:hAnsi="宋体" w:eastAsia="仿宋_GB2312" w:cs="仿宋_GB2312"/>
          <w:snapToGrid w:val="0"/>
          <w:kern w:val="0"/>
          <w:sz w:val="32"/>
          <w:szCs w:val="32"/>
        </w:rPr>
        <w:t>的社区卫生服务站和村卫生室规范开展</w:t>
      </w:r>
      <w:r>
        <w:rPr>
          <w:rFonts w:hint="eastAsia" w:ascii="Times New Roman" w:hAnsi="Times New Roman" w:eastAsia="仿宋_GB2312" w:cs="仿宋_GB2312"/>
          <w:snapToGrid w:val="0"/>
          <w:kern w:val="0"/>
          <w:sz w:val="32"/>
          <w:szCs w:val="32"/>
        </w:rPr>
        <w:t>4</w:t>
      </w:r>
      <w:r>
        <w:rPr>
          <w:rFonts w:hint="eastAsia" w:ascii="仿宋_GB2312" w:hAnsi="宋体" w:eastAsia="仿宋_GB2312" w:cs="仿宋_GB2312"/>
          <w:snapToGrid w:val="0"/>
          <w:kern w:val="0"/>
          <w:sz w:val="32"/>
          <w:szCs w:val="32"/>
        </w:rPr>
        <w:t>类</w:t>
      </w:r>
      <w:r>
        <w:rPr>
          <w:rFonts w:hint="eastAsia" w:ascii="Times New Roman" w:hAnsi="Times New Roman" w:eastAsia="仿宋_GB2312" w:cs="仿宋_GB2312"/>
          <w:snapToGrid w:val="0"/>
          <w:kern w:val="0"/>
          <w:sz w:val="32"/>
          <w:szCs w:val="32"/>
        </w:rPr>
        <w:t>6</w:t>
      </w:r>
      <w:r>
        <w:rPr>
          <w:rFonts w:hint="eastAsia" w:ascii="仿宋_GB2312" w:hAnsi="宋体" w:eastAsia="仿宋_GB2312" w:cs="仿宋_GB2312"/>
          <w:snapToGrid w:val="0"/>
          <w:kern w:val="0"/>
          <w:sz w:val="32"/>
          <w:szCs w:val="32"/>
        </w:rPr>
        <w:t>项以上中医药适宜技术，形成覆盖本辖区疾病谱主要疾病的中医临床专科服务网。</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4</w:t>
      </w:r>
      <w:r>
        <w:rPr>
          <w:rFonts w:hint="eastAsia" w:ascii="楷体_GB2312" w:hAnsi="宋体" w:eastAsia="楷体_GB2312" w:cs="仿宋_GB2312"/>
          <w:snapToGrid w:val="0"/>
          <w:kern w:val="0"/>
          <w:sz w:val="32"/>
          <w:szCs w:val="32"/>
        </w:rPr>
        <w:t>.鼓励社会资本办中医。</w:t>
      </w:r>
      <w:r>
        <w:rPr>
          <w:rFonts w:hint="eastAsia" w:ascii="仿宋_GB2312" w:hAnsi="宋体" w:eastAsia="仿宋_GB2312" w:cs="仿宋_GB2312"/>
          <w:snapToGrid w:val="0"/>
          <w:kern w:val="0"/>
          <w:sz w:val="32"/>
          <w:szCs w:val="32"/>
        </w:rPr>
        <w:t>围绕温州创建新时代“两个健康”先行区的要求，对社会办医疗机构在准入、执业、医保等方面予以支持，营造公平竞争环境，创新多元经营模式，建成一批特色鲜明、服务优质、具有市场竞争力的中医类社会办医疗机构。支持民办中医医疗机构引入战略投资者与合作方，加强资本与品牌、管理的协同作用，重点建设老年病、骨科、康复、生殖、儿科、妇科、皮肤等专科。到</w:t>
      </w:r>
      <w:r>
        <w:rPr>
          <w:rFonts w:hint="eastAsia" w:eastAsia="仿宋_GB2312" w:cs="仿宋_GB2312"/>
          <w:snapToGrid w:val="0"/>
          <w:kern w:val="0"/>
          <w:sz w:val="32"/>
          <w:szCs w:val="32"/>
        </w:rPr>
        <w:t>2025</w:t>
      </w:r>
      <w:r>
        <w:rPr>
          <w:rFonts w:hint="eastAsia" w:ascii="仿宋_GB2312" w:hAnsi="宋体" w:eastAsia="仿宋_GB2312" w:cs="仿宋_GB2312"/>
          <w:snapToGrid w:val="0"/>
          <w:kern w:val="0"/>
          <w:sz w:val="32"/>
          <w:szCs w:val="32"/>
        </w:rPr>
        <w:t>年，社会举办中医院床位占总中医类床位达到</w:t>
      </w:r>
      <w:r>
        <w:rPr>
          <w:rFonts w:hint="eastAsia" w:eastAsia="仿宋_GB2312" w:cs="仿宋_GB2312"/>
          <w:snapToGrid w:val="0"/>
          <w:kern w:val="0"/>
          <w:sz w:val="32"/>
          <w:szCs w:val="32"/>
        </w:rPr>
        <w:t>20%</w:t>
      </w:r>
      <w:r>
        <w:rPr>
          <w:rFonts w:hint="eastAsia" w:ascii="仿宋_GB2312" w:hAnsi="宋体" w:eastAsia="仿宋_GB2312" w:cs="仿宋_GB2312"/>
          <w:snapToGrid w:val="0"/>
          <w:kern w:val="0"/>
          <w:sz w:val="32"/>
          <w:szCs w:val="32"/>
        </w:rPr>
        <w:t>以上，二级以上中医类民营医院达到</w:t>
      </w:r>
      <w:r>
        <w:rPr>
          <w:rFonts w:hint="eastAsia" w:eastAsia="仿宋_GB2312" w:cs="仿宋_GB2312"/>
          <w:snapToGrid w:val="0"/>
          <w:kern w:val="0"/>
          <w:sz w:val="32"/>
          <w:szCs w:val="32"/>
        </w:rPr>
        <w:t>4</w:t>
      </w:r>
      <w:r>
        <w:rPr>
          <w:rFonts w:hint="eastAsia" w:ascii="仿宋_GB2312" w:hAnsi="宋体" w:eastAsia="仿宋_GB2312" w:cs="仿宋_GB2312"/>
          <w:snapToGrid w:val="0"/>
          <w:kern w:val="0"/>
          <w:sz w:val="32"/>
          <w:szCs w:val="32"/>
        </w:rPr>
        <w:t>家以上、中医门诊部达到</w:t>
      </w:r>
      <w:r>
        <w:rPr>
          <w:rFonts w:hint="eastAsia" w:eastAsia="仿宋_GB2312" w:cs="仿宋_GB2312"/>
          <w:snapToGrid w:val="0"/>
          <w:kern w:val="0"/>
          <w:sz w:val="32"/>
          <w:szCs w:val="32"/>
        </w:rPr>
        <w:t>40</w:t>
      </w:r>
      <w:r>
        <w:rPr>
          <w:rFonts w:hint="eastAsia" w:ascii="仿宋_GB2312" w:hAnsi="宋体" w:eastAsia="仿宋_GB2312" w:cs="仿宋_GB2312"/>
          <w:snapToGrid w:val="0"/>
          <w:kern w:val="0"/>
          <w:sz w:val="32"/>
          <w:szCs w:val="32"/>
        </w:rPr>
        <w:t>家以上，中医类诊所达到</w:t>
      </w:r>
      <w:r>
        <w:rPr>
          <w:rFonts w:hint="eastAsia" w:eastAsia="仿宋_GB2312" w:cs="仿宋_GB2312"/>
          <w:snapToGrid w:val="0"/>
          <w:kern w:val="0"/>
          <w:sz w:val="32"/>
          <w:szCs w:val="32"/>
        </w:rPr>
        <w:t>600</w:t>
      </w:r>
      <w:r>
        <w:rPr>
          <w:rFonts w:hint="eastAsia" w:ascii="仿宋_GB2312" w:hAnsi="宋体" w:eastAsia="仿宋_GB2312" w:cs="仿宋_GB2312"/>
          <w:snapToGrid w:val="0"/>
          <w:kern w:val="0"/>
          <w:sz w:val="32"/>
          <w:szCs w:val="32"/>
        </w:rPr>
        <w:t>家以上。</w:t>
      </w:r>
    </w:p>
    <w:p>
      <w:pPr>
        <w:overflowPunct w:val="0"/>
        <w:adjustRightInd w:val="0"/>
        <w:snapToGrid w:val="0"/>
        <w:spacing w:line="570" w:lineRule="exact"/>
        <w:ind w:firstLine="640" w:firstLineChars="200"/>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二、高标杆建设中医药数字服务新业态</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深入推动“中医处方一件事”改革，全面启动全市“瓯越云中医”应用建设，推广云中医智能信息系统，建立全域性、统一性、规范性、标准性的中药服务监管体系，实现区域内医疗机构（医联体、医共体、云医院）医师电子开方、药师电子审方、区域合理用药、物流送药上门等药事服务新模式，提高百姓中药服务便捷性、获得感和满意度。到</w:t>
      </w:r>
      <w:r>
        <w:rPr>
          <w:rFonts w:hint="eastAsia" w:eastAsia="仿宋_GB2312" w:cs="仿宋_GB2312"/>
          <w:snapToGrid w:val="0"/>
          <w:kern w:val="0"/>
          <w:sz w:val="32"/>
          <w:szCs w:val="32"/>
        </w:rPr>
        <w:t>2025</w:t>
      </w:r>
      <w:r>
        <w:rPr>
          <w:rFonts w:hint="eastAsia" w:ascii="仿宋_GB2312" w:hAnsi="宋体" w:eastAsia="仿宋_GB2312" w:cs="仿宋_GB2312"/>
          <w:snapToGrid w:val="0"/>
          <w:kern w:val="0"/>
          <w:sz w:val="32"/>
          <w:szCs w:val="32"/>
        </w:rPr>
        <w:t>年，全面建成“瓯越云中医”应用，基层中医智能辅助开方实现全覆盖，共享中药房实现基层全覆盖。</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5</w:t>
      </w:r>
      <w:r>
        <w:rPr>
          <w:rFonts w:hint="eastAsia" w:ascii="楷体_GB2312" w:hAnsi="宋体" w:eastAsia="楷体_GB2312" w:cs="仿宋_GB2312"/>
          <w:snapToGrid w:val="0"/>
          <w:kern w:val="0"/>
          <w:sz w:val="32"/>
          <w:szCs w:val="32"/>
        </w:rPr>
        <w:t>.加快中医数字化医院建设。</w:t>
      </w:r>
      <w:r>
        <w:rPr>
          <w:rFonts w:hint="eastAsia" w:ascii="仿宋_GB2312" w:hAnsi="宋体" w:eastAsia="仿宋_GB2312" w:cs="仿宋_GB2312"/>
          <w:snapToGrid w:val="0"/>
          <w:kern w:val="0"/>
          <w:sz w:val="32"/>
          <w:szCs w:val="32"/>
        </w:rPr>
        <w:t>围绕“互联网+医疗健康”“五个一”服务要求，开展智慧中医医院建设，强化提升基层医疗卫生机构中医馆和诊所（村卫生室、门诊部等）中医阁数字化水平，全面接入“瓯越云中医”应用，构建市县乡村同质化的中医药数字化服务网络体系。到</w:t>
      </w:r>
      <w:r>
        <w:rPr>
          <w:rFonts w:hint="eastAsia" w:ascii="Times New Roman" w:hAnsi="Times New Roman" w:eastAsia="仿宋_GB2312" w:cs="仿宋_GB2312"/>
          <w:snapToGrid w:val="0"/>
          <w:kern w:val="0"/>
          <w:sz w:val="32"/>
          <w:szCs w:val="32"/>
        </w:rPr>
        <w:t>2025</w:t>
      </w:r>
      <w:r>
        <w:rPr>
          <w:rFonts w:hint="eastAsia" w:ascii="仿宋_GB2312" w:hAnsi="宋体" w:eastAsia="仿宋_GB2312" w:cs="仿宋_GB2312"/>
          <w:snapToGrid w:val="0"/>
          <w:kern w:val="0"/>
          <w:sz w:val="32"/>
          <w:szCs w:val="32"/>
        </w:rPr>
        <w:t>年，三级中医院电子病历应用水平分级达到</w:t>
      </w:r>
      <w:r>
        <w:rPr>
          <w:rFonts w:hint="eastAsia" w:ascii="Times New Roman" w:hAnsi="Times New Roman" w:eastAsia="仿宋_GB2312" w:cs="仿宋_GB2312"/>
          <w:snapToGrid w:val="0"/>
          <w:kern w:val="0"/>
          <w:sz w:val="32"/>
          <w:szCs w:val="32"/>
        </w:rPr>
        <w:t>5</w:t>
      </w:r>
      <w:r>
        <w:rPr>
          <w:rFonts w:hint="eastAsia" w:ascii="仿宋_GB2312" w:hAnsi="宋体" w:eastAsia="仿宋_GB2312" w:cs="仿宋_GB2312"/>
          <w:snapToGrid w:val="0"/>
          <w:kern w:val="0"/>
          <w:sz w:val="32"/>
          <w:szCs w:val="32"/>
        </w:rPr>
        <w:t>级，二级中医院电子病历应用水平分级达到</w:t>
      </w:r>
      <w:r>
        <w:rPr>
          <w:rFonts w:hint="eastAsia" w:ascii="Times New Roman" w:hAnsi="Times New Roman" w:eastAsia="仿宋_GB2312" w:cs="仿宋_GB2312"/>
          <w:snapToGrid w:val="0"/>
          <w:kern w:val="0"/>
          <w:sz w:val="32"/>
          <w:szCs w:val="32"/>
        </w:rPr>
        <w:t>3</w:t>
      </w:r>
      <w:r>
        <w:rPr>
          <w:rFonts w:hint="eastAsia" w:ascii="仿宋_GB2312" w:hAnsi="宋体" w:eastAsia="仿宋_GB2312" w:cs="仿宋_GB2312"/>
          <w:snapToGrid w:val="0"/>
          <w:kern w:val="0"/>
          <w:sz w:val="32"/>
          <w:szCs w:val="32"/>
        </w:rPr>
        <w:t>级以上。</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6</w:t>
      </w:r>
      <w:r>
        <w:rPr>
          <w:rFonts w:hint="eastAsia" w:ascii="楷体_GB2312" w:hAnsi="宋体" w:eastAsia="楷体_GB2312" w:cs="仿宋_GB2312"/>
          <w:snapToGrid w:val="0"/>
          <w:kern w:val="0"/>
          <w:sz w:val="32"/>
          <w:szCs w:val="32"/>
        </w:rPr>
        <w:t>.实施共享中药房应用。</w:t>
      </w:r>
      <w:r>
        <w:rPr>
          <w:rFonts w:hint="eastAsia" w:ascii="仿宋_GB2312" w:hAnsi="宋体" w:eastAsia="仿宋_GB2312" w:cs="仿宋_GB2312"/>
          <w:snapToGrid w:val="0"/>
          <w:kern w:val="0"/>
          <w:sz w:val="32"/>
          <w:szCs w:val="32"/>
        </w:rPr>
        <w:t>加快推进</w:t>
      </w:r>
      <w:r>
        <w:rPr>
          <w:rFonts w:hint="eastAsia" w:eastAsia="仿宋_GB2312" w:cs="仿宋_GB2312"/>
          <w:snapToGrid w:val="0"/>
          <w:kern w:val="0"/>
          <w:sz w:val="32"/>
          <w:szCs w:val="32"/>
        </w:rPr>
        <w:t>HIS</w:t>
      </w:r>
      <w:r>
        <w:rPr>
          <w:rFonts w:hint="eastAsia" w:ascii="仿宋_GB2312" w:hAnsi="宋体" w:eastAsia="仿宋_GB2312" w:cs="仿宋_GB2312"/>
          <w:snapToGrid w:val="0"/>
          <w:kern w:val="0"/>
          <w:sz w:val="32"/>
          <w:szCs w:val="32"/>
        </w:rPr>
        <w:t>系统、共享中药房、中药代煎机构与“瓯越云中医”应用对接改造，以中医标准化处方为基础，推动区域范围内处方流转，与“浙里药店”应用实现对接，实行中药饮片统一采购、审方、调配、代煎、配送的全过程同质化管理。</w:t>
      </w:r>
      <w:r>
        <w:rPr>
          <w:rFonts w:hint="eastAsia" w:eastAsia="仿宋_GB2312" w:cs="仿宋_GB2312"/>
          <w:snapToGrid w:val="0"/>
          <w:kern w:val="0"/>
          <w:sz w:val="32"/>
          <w:szCs w:val="32"/>
        </w:rPr>
        <w:t>2025</w:t>
      </w:r>
      <w:r>
        <w:rPr>
          <w:rFonts w:hint="eastAsia" w:ascii="仿宋_GB2312" w:hAnsi="宋体" w:eastAsia="仿宋_GB2312" w:cs="仿宋_GB2312"/>
          <w:snapToGrid w:val="0"/>
          <w:kern w:val="0"/>
          <w:sz w:val="32"/>
          <w:szCs w:val="32"/>
        </w:rPr>
        <w:t>年，实现共享中药房基层全覆盖，开方、审方、饮片代煎到物流配送环节数据归集全贯通。</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7</w:t>
      </w:r>
      <w:r>
        <w:rPr>
          <w:rFonts w:hint="eastAsia" w:ascii="楷体_GB2312" w:hAnsi="宋体" w:eastAsia="楷体_GB2312" w:cs="仿宋_GB2312"/>
          <w:snapToGrid w:val="0"/>
          <w:kern w:val="0"/>
          <w:sz w:val="32"/>
          <w:szCs w:val="32"/>
        </w:rPr>
        <w:t>.打造“家有中医”应用场景。</w:t>
      </w:r>
      <w:r>
        <w:rPr>
          <w:rFonts w:hint="eastAsia" w:ascii="仿宋_GB2312" w:hAnsi="宋体" w:eastAsia="仿宋_GB2312" w:cs="仿宋_GB2312"/>
          <w:snapToGrid w:val="0"/>
          <w:kern w:val="0"/>
          <w:sz w:val="32"/>
          <w:szCs w:val="32"/>
        </w:rPr>
        <w:t>将市民的中医药需求和供给侧提供的服务有机结合，加快打通“健康温州”居民手机端应用，为居民提供处方订单、代煎流程、配送物流信息查询、中医药健康教育、自我健康管理等功能的“一站式”便民健康服务。</w:t>
      </w:r>
      <w:r>
        <w:rPr>
          <w:rFonts w:hint="eastAsia" w:ascii="Times New Roman" w:hAnsi="Times New Roman" w:eastAsia="仿宋_GB2312" w:cs="仿宋_GB2312"/>
          <w:snapToGrid w:val="0"/>
          <w:kern w:val="0"/>
          <w:sz w:val="32"/>
          <w:szCs w:val="32"/>
        </w:rPr>
        <w:t>2025</w:t>
      </w:r>
      <w:r>
        <w:rPr>
          <w:rFonts w:hint="eastAsia" w:ascii="仿宋_GB2312" w:hAnsi="宋体" w:eastAsia="仿宋_GB2312" w:cs="仿宋_GB2312"/>
          <w:snapToGrid w:val="0"/>
          <w:kern w:val="0"/>
          <w:sz w:val="32"/>
          <w:szCs w:val="32"/>
        </w:rPr>
        <w:t>年，目标实现居民应用覆盖量达</w:t>
      </w:r>
      <w:r>
        <w:rPr>
          <w:rFonts w:hint="eastAsia" w:ascii="Times New Roman" w:hAnsi="Times New Roman" w:eastAsia="仿宋_GB2312" w:cs="仿宋_GB2312"/>
          <w:snapToGrid w:val="0"/>
          <w:kern w:val="0"/>
          <w:sz w:val="32"/>
          <w:szCs w:val="32"/>
        </w:rPr>
        <w:t>200</w:t>
      </w:r>
      <w:r>
        <w:rPr>
          <w:rFonts w:hint="eastAsia" w:ascii="仿宋_GB2312" w:hAnsi="宋体" w:eastAsia="仿宋_GB2312" w:cs="仿宋_GB2312"/>
          <w:snapToGrid w:val="0"/>
          <w:kern w:val="0"/>
          <w:sz w:val="32"/>
          <w:szCs w:val="32"/>
        </w:rPr>
        <w:t>万。</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8</w:t>
      </w:r>
      <w:r>
        <w:rPr>
          <w:rFonts w:hint="eastAsia" w:ascii="楷体_GB2312" w:hAnsi="宋体" w:eastAsia="楷体_GB2312" w:cs="仿宋_GB2312"/>
          <w:snapToGrid w:val="0"/>
          <w:kern w:val="0"/>
          <w:sz w:val="32"/>
          <w:szCs w:val="32"/>
        </w:rPr>
        <w:t>.开放中医药对外服务平台。</w:t>
      </w:r>
      <w:r>
        <w:rPr>
          <w:rFonts w:hint="eastAsia" w:ascii="仿宋_GB2312" w:hAnsi="宋体" w:eastAsia="仿宋_GB2312" w:cs="仿宋_GB2312"/>
          <w:snapToGrid w:val="0"/>
          <w:kern w:val="0"/>
          <w:sz w:val="32"/>
          <w:szCs w:val="32"/>
        </w:rPr>
        <w:t>依托</w:t>
      </w:r>
      <w:r>
        <w:rPr>
          <w:rFonts w:hint="eastAsia" w:eastAsia="仿宋_GB2312" w:cs="仿宋_GB2312"/>
          <w:snapToGrid w:val="0"/>
          <w:kern w:val="0"/>
          <w:sz w:val="32"/>
          <w:szCs w:val="32"/>
        </w:rPr>
        <w:t>69</w:t>
      </w:r>
      <w:r>
        <w:rPr>
          <w:rFonts w:hint="eastAsia" w:ascii="仿宋_GB2312" w:hAnsi="宋体" w:eastAsia="仿宋_GB2312" w:cs="仿宋_GB2312"/>
          <w:snapToGrid w:val="0"/>
          <w:kern w:val="0"/>
          <w:sz w:val="32"/>
          <w:szCs w:val="32"/>
        </w:rPr>
        <w:t>万温侨温商资源、温医大国际化发展资源及国家特色服务出口基地（中医药），建成“中医惠侨”基地，打造集远程咨询诊疗、跨境支付和智慧药房为一体的“互联网+”中西医结合医疗服务平台，提供更多有温度的温州中医药特色服务。鼓励市场主体依托对外服务平台，以市场化方式开发中医药电子贸易，推动中医药企业探索数字营销新路径，使中医药走出国门、走向世界。</w:t>
      </w:r>
    </w:p>
    <w:p>
      <w:pPr>
        <w:overflowPunct w:val="0"/>
        <w:adjustRightInd w:val="0"/>
        <w:snapToGrid w:val="0"/>
        <w:spacing w:line="570" w:lineRule="exact"/>
        <w:ind w:firstLine="640" w:firstLineChars="200"/>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三、高起点建设中医药科研创新平台</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22"/>
          <w:szCs w:val="22"/>
          <w:lang w:val="en"/>
        </w:rPr>
      </w:pPr>
      <w:r>
        <w:rPr>
          <w:rFonts w:hint="eastAsia" w:ascii="仿宋_GB2312" w:hAnsi="宋体" w:eastAsia="仿宋_GB2312" w:cs="仿宋_GB2312"/>
          <w:snapToGrid w:val="0"/>
          <w:kern w:val="0"/>
          <w:sz w:val="32"/>
          <w:szCs w:val="32"/>
        </w:rPr>
        <w:t>依托“一室一园两谷”</w:t>
      </w:r>
      <w:r>
        <w:rPr>
          <w:rFonts w:hint="eastAsia" w:ascii="仿宋_GB2312" w:hAnsi="宋体" w:eastAsia="仿宋_GB2312" w:cs="仿宋_GB2312"/>
          <w:snapToGrid w:val="0"/>
          <w:kern w:val="0"/>
          <w:sz w:val="32"/>
          <w:szCs w:val="32"/>
          <w:lang w:val="en"/>
        </w:rPr>
        <w:t>，高起点</w:t>
      </w:r>
      <w:r>
        <w:rPr>
          <w:rFonts w:hint="eastAsia" w:ascii="仿宋_GB2312" w:hAnsi="宋体" w:eastAsia="仿宋_GB2312" w:cs="仿宋_GB2312"/>
          <w:snapToGrid w:val="0"/>
          <w:kern w:val="0"/>
          <w:sz w:val="32"/>
          <w:szCs w:val="32"/>
        </w:rPr>
        <w:t>建设“医产学研用”紧密结合的中医药科研创新平台。到</w:t>
      </w:r>
      <w:r>
        <w:rPr>
          <w:rFonts w:hint="eastAsia" w:eastAsia="仿宋_GB2312" w:cs="仿宋_GB2312"/>
          <w:snapToGrid w:val="0"/>
          <w:kern w:val="0"/>
          <w:sz w:val="32"/>
          <w:szCs w:val="32"/>
        </w:rPr>
        <w:t>2025</w:t>
      </w:r>
      <w:r>
        <w:rPr>
          <w:rFonts w:hint="eastAsia" w:ascii="仿宋_GB2312" w:hAnsi="宋体" w:eastAsia="仿宋_GB2312" w:cs="仿宋_GB2312"/>
          <w:snapToGrid w:val="0"/>
          <w:kern w:val="0"/>
          <w:sz w:val="32"/>
          <w:szCs w:val="32"/>
        </w:rPr>
        <w:t>年，</w:t>
      </w:r>
      <w:r>
        <w:rPr>
          <w:rFonts w:hint="eastAsia" w:ascii="仿宋_GB2312" w:hAnsi="宋体" w:eastAsia="仿宋_GB2312" w:cs="仿宋_GB2312"/>
          <w:snapToGrid w:val="0"/>
          <w:kern w:val="0"/>
          <w:sz w:val="32"/>
          <w:szCs w:val="32"/>
          <w:lang w:val="en"/>
        </w:rPr>
        <w:t>全市建</w:t>
      </w:r>
      <w:r>
        <w:rPr>
          <w:rFonts w:hint="eastAsia" w:ascii="仿宋_GB2312" w:hAnsi="宋体" w:eastAsia="仿宋_GB2312" w:cs="仿宋_GB2312"/>
          <w:snapToGrid w:val="0"/>
          <w:kern w:val="0"/>
          <w:sz w:val="32"/>
          <w:szCs w:val="32"/>
        </w:rPr>
        <w:t>成国家中医药优势专科</w:t>
      </w:r>
      <w:r>
        <w:rPr>
          <w:rFonts w:hint="eastAsia" w:eastAsia="仿宋_GB2312" w:cs="仿宋_GB2312"/>
          <w:snapToGrid w:val="0"/>
          <w:kern w:val="0"/>
          <w:sz w:val="32"/>
          <w:szCs w:val="32"/>
        </w:rPr>
        <w:t>6</w:t>
      </w:r>
      <w:r>
        <w:rPr>
          <w:rFonts w:hint="eastAsia" w:ascii="仿宋_GB2312" w:hAnsi="宋体" w:eastAsia="仿宋_GB2312" w:cs="仿宋_GB2312"/>
          <w:snapToGrid w:val="0"/>
          <w:kern w:val="0"/>
          <w:sz w:val="32"/>
          <w:szCs w:val="32"/>
        </w:rPr>
        <w:t>个、国家重点专科</w:t>
      </w:r>
      <w:r>
        <w:rPr>
          <w:rFonts w:hint="eastAsia" w:eastAsia="仿宋_GB2312" w:cs="仿宋_GB2312"/>
          <w:snapToGrid w:val="0"/>
          <w:kern w:val="0"/>
          <w:sz w:val="32"/>
          <w:szCs w:val="32"/>
        </w:rPr>
        <w:t>15</w:t>
      </w:r>
      <w:r>
        <w:rPr>
          <w:rFonts w:hint="eastAsia" w:ascii="仿宋_GB2312" w:hAnsi="宋体" w:eastAsia="仿宋_GB2312" w:cs="仿宋_GB2312"/>
          <w:snapToGrid w:val="0"/>
          <w:kern w:val="0"/>
          <w:sz w:val="32"/>
          <w:szCs w:val="32"/>
        </w:rPr>
        <w:t>个</w:t>
      </w:r>
      <w:r>
        <w:rPr>
          <w:rFonts w:hint="eastAsia" w:ascii="仿宋_GB2312" w:hAnsi="宋体" w:eastAsia="仿宋_GB2312" w:cs="仿宋_GB2312"/>
          <w:snapToGrid w:val="0"/>
          <w:kern w:val="0"/>
          <w:sz w:val="32"/>
          <w:szCs w:val="32"/>
          <w:lang w:val="en"/>
        </w:rPr>
        <w:t>，每个专科做强</w:t>
      </w:r>
      <w:r>
        <w:rPr>
          <w:rFonts w:hint="eastAsia" w:eastAsia="仿宋_GB2312" w:cs="仿宋_GB2312"/>
          <w:snapToGrid w:val="0"/>
          <w:kern w:val="0"/>
          <w:sz w:val="32"/>
          <w:szCs w:val="32"/>
          <w:lang w:val="en"/>
        </w:rPr>
        <w:t>5</w:t>
      </w:r>
      <w:r>
        <w:rPr>
          <w:rFonts w:hint="eastAsia" w:ascii="仿宋_GB2312" w:hAnsi="宋体" w:eastAsia="仿宋_GB2312" w:cs="仿宋_GB2312"/>
          <w:snapToGrid w:val="0"/>
          <w:kern w:val="0"/>
          <w:sz w:val="32"/>
          <w:szCs w:val="32"/>
          <w:lang w:val="en"/>
        </w:rPr>
        <w:t>个以上</w:t>
      </w:r>
      <w:r>
        <w:rPr>
          <w:rFonts w:hint="eastAsia" w:ascii="仿宋_GB2312" w:hAnsi="宋体" w:eastAsia="仿宋_GB2312" w:cs="仿宋_GB2312"/>
          <w:snapToGrid w:val="0"/>
          <w:kern w:val="0"/>
          <w:sz w:val="32"/>
          <w:szCs w:val="32"/>
        </w:rPr>
        <w:t>亚专科</w:t>
      </w:r>
      <w:r>
        <w:rPr>
          <w:rFonts w:hint="eastAsia" w:ascii="仿宋_GB2312" w:hAnsi="宋体" w:eastAsia="仿宋_GB2312" w:cs="仿宋_GB2312"/>
          <w:snapToGrid w:val="0"/>
          <w:kern w:val="0"/>
          <w:sz w:val="32"/>
          <w:szCs w:val="32"/>
          <w:lang w:val="en"/>
        </w:rPr>
        <w:t>，纳入市级、县级重点培育专科（学科）增至</w:t>
      </w:r>
      <w:r>
        <w:rPr>
          <w:rFonts w:hint="eastAsia" w:eastAsia="仿宋_GB2312" w:cs="仿宋_GB2312"/>
          <w:snapToGrid w:val="0"/>
          <w:kern w:val="0"/>
          <w:sz w:val="32"/>
          <w:szCs w:val="32"/>
        </w:rPr>
        <w:t>100</w:t>
      </w:r>
      <w:r>
        <w:rPr>
          <w:rFonts w:hint="eastAsia" w:ascii="仿宋_GB2312" w:hAnsi="宋体" w:eastAsia="仿宋_GB2312" w:cs="仿宋_GB2312"/>
          <w:snapToGrid w:val="0"/>
          <w:kern w:val="0"/>
          <w:sz w:val="32"/>
          <w:szCs w:val="32"/>
          <w:lang w:val="en"/>
        </w:rPr>
        <w:t>个以上</w:t>
      </w:r>
      <w:r>
        <w:rPr>
          <w:rFonts w:hint="eastAsia" w:ascii="仿宋_GB2312" w:hAnsi="宋体" w:eastAsia="仿宋_GB2312" w:cs="仿宋_GB2312"/>
          <w:snapToGrid w:val="0"/>
          <w:kern w:val="0"/>
          <w:sz w:val="32"/>
          <w:szCs w:val="32"/>
        </w:rPr>
        <w:t>。</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9</w:t>
      </w:r>
      <w:r>
        <w:rPr>
          <w:rFonts w:hint="eastAsia" w:ascii="楷体_GB2312" w:hAnsi="宋体" w:eastAsia="楷体_GB2312" w:cs="仿宋_GB2312"/>
          <w:snapToGrid w:val="0"/>
          <w:kern w:val="0"/>
          <w:sz w:val="32"/>
          <w:szCs w:val="32"/>
        </w:rPr>
        <w:t>.打造中医药科创综合体系。</w:t>
      </w:r>
      <w:r>
        <w:rPr>
          <w:rFonts w:hint="eastAsia" w:ascii="仿宋_GB2312" w:hAnsi="宋体" w:eastAsia="仿宋_GB2312" w:cs="仿宋_GB2312"/>
          <w:snapToGrid w:val="0"/>
          <w:kern w:val="0"/>
          <w:sz w:val="32"/>
          <w:szCs w:val="32"/>
        </w:rPr>
        <w:t>依托“一室一园两谷”，整合中医药教育、科研等资源，构建中医药创新生态链。支持三级以上中医院</w:t>
      </w:r>
      <w:r>
        <w:rPr>
          <w:rFonts w:hint="eastAsia" w:ascii="仿宋_GB2312" w:hAnsi="宋体" w:eastAsia="仿宋_GB2312" w:cs="仿宋_GB2312"/>
          <w:snapToGrid w:val="0"/>
          <w:kern w:val="0"/>
          <w:sz w:val="32"/>
          <w:szCs w:val="32"/>
          <w:lang w:val="en"/>
        </w:rPr>
        <w:t>入驻瓯江实验室等</w:t>
      </w:r>
      <w:r>
        <w:rPr>
          <w:rFonts w:hint="eastAsia" w:ascii="仿宋_GB2312" w:hAnsi="宋体" w:eastAsia="仿宋_GB2312" w:cs="仿宋_GB2312"/>
          <w:snapToGrid w:val="0"/>
          <w:kern w:val="0"/>
          <w:sz w:val="32"/>
          <w:szCs w:val="32"/>
        </w:rPr>
        <w:t>科研创新平台，申请创建符合国际标准的临床试验研究中心，</w:t>
      </w:r>
      <w:r>
        <w:rPr>
          <w:rFonts w:hint="eastAsia" w:ascii="仿宋_GB2312" w:hAnsi="宋体" w:eastAsia="仿宋_GB2312" w:cs="仿宋_GB2312"/>
          <w:snapToGrid w:val="0"/>
          <w:kern w:val="0"/>
          <w:sz w:val="32"/>
          <w:szCs w:val="32"/>
          <w:lang w:val="en"/>
        </w:rPr>
        <w:t>承接一批国际多中心临床试验研究项目。挖掘、整理、研究中医临床验方并促进转化为院内制剂。高效开发院内制剂向颗粒剂转化，在医共体（医联体）、专科联盟成员单位全面推广使用。</w:t>
      </w:r>
      <w:r>
        <w:rPr>
          <w:rFonts w:hint="eastAsia" w:ascii="仿宋_GB2312" w:hAnsi="宋体" w:eastAsia="仿宋_GB2312" w:cs="仿宋_GB2312"/>
          <w:snapToGrid w:val="0"/>
          <w:kern w:val="0"/>
          <w:sz w:val="32"/>
          <w:szCs w:val="32"/>
        </w:rPr>
        <w:t>开展对温郁金、莪术油、铁皮石斛等一系列温州特色中药材的基础研究与应用研究，实现地方特色中药材的经济效益。</w:t>
      </w:r>
    </w:p>
    <w:p>
      <w:pPr>
        <w:overflowPunct w:val="0"/>
        <w:adjustRightInd w:val="0"/>
        <w:snapToGrid w:val="0"/>
        <w:spacing w:line="570" w:lineRule="exact"/>
        <w:ind w:firstLine="640" w:firstLineChars="200"/>
        <w:rPr>
          <w:rFonts w:hint="eastAsia" w:ascii="仿宋_GB2312" w:hAnsi="宋体" w:eastAsia="仿宋_GB2312"/>
          <w:snapToGrid w:val="0"/>
          <w:kern w:val="0"/>
        </w:rPr>
      </w:pPr>
      <w:r>
        <w:rPr>
          <w:rFonts w:hint="eastAsia" w:eastAsia="楷体_GB2312" w:cs="仿宋_GB2312"/>
          <w:snapToGrid w:val="0"/>
          <w:kern w:val="0"/>
          <w:sz w:val="32"/>
          <w:szCs w:val="32"/>
        </w:rPr>
        <w:t>10</w:t>
      </w:r>
      <w:r>
        <w:rPr>
          <w:rFonts w:hint="eastAsia" w:ascii="楷体_GB2312" w:hAnsi="宋体" w:eastAsia="楷体_GB2312" w:cs="仿宋_GB2312"/>
          <w:snapToGrid w:val="0"/>
          <w:kern w:val="0"/>
          <w:sz w:val="32"/>
          <w:szCs w:val="32"/>
        </w:rPr>
        <w:t>.打造中医药循证医学高地。</w:t>
      </w:r>
      <w:r>
        <w:rPr>
          <w:rFonts w:hint="eastAsia" w:ascii="仿宋_GB2312" w:hAnsi="宋体" w:eastAsia="仿宋_GB2312" w:cs="仿宋_GB2312"/>
          <w:snapToGrid w:val="0"/>
          <w:kern w:val="0"/>
          <w:sz w:val="32"/>
          <w:szCs w:val="32"/>
        </w:rPr>
        <w:t>布局中医药循证医学基地建设，支持学科间的交叉协作和联合攻关，培育传承创新团队和多学科交叉创新团队。在中国眼谷设立国家眼科中医药适宜技术产业基地，开展国家中西医结合近视防控、国家中西医结合主动眼健康重点研发专项，开展眼健康中药真实世界和中医器械真实世界试点研究，助力一批创新中医药现代化产品研发上市。温医大附属眼视光医院建设国家中西医结合眼科旗舰医院，打造国内领先、国际一流中医眼科。市中医院建设省级中医药重点实验室和培育脑血管病康针药结合诊治传承创新团队,市中西医结合医院培育院内制剂研发和转化中医药多学科交叉创新团队。</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11</w:t>
      </w:r>
      <w:r>
        <w:rPr>
          <w:rFonts w:hint="eastAsia" w:ascii="楷体_GB2312" w:hAnsi="宋体" w:eastAsia="楷体_GB2312" w:cs="仿宋_GB2312"/>
          <w:snapToGrid w:val="0"/>
          <w:kern w:val="0"/>
          <w:sz w:val="32"/>
          <w:szCs w:val="32"/>
        </w:rPr>
        <w:t>.强化中医药专科（学科）建设。</w:t>
      </w:r>
      <w:r>
        <w:rPr>
          <w:rFonts w:hint="eastAsia" w:ascii="仿宋_GB2312" w:hAnsi="宋体" w:eastAsia="仿宋_GB2312" w:cs="仿宋_GB2312"/>
          <w:snapToGrid w:val="0"/>
          <w:kern w:val="0"/>
          <w:sz w:val="32"/>
          <w:szCs w:val="32"/>
        </w:rPr>
        <w:t>做优做强中医内科、妇科、骨伤、肛肠、儿科、皮肤科、针灸、推拿、康复、肿瘤、肾病和脾胃病等专科专病，</w:t>
      </w:r>
      <w:r>
        <w:rPr>
          <w:rFonts w:hint="eastAsia" w:ascii="仿宋_GB2312" w:hAnsi="宋体" w:eastAsia="仿宋_GB2312" w:cs="仿宋_GB2312"/>
          <w:snapToGrid w:val="0"/>
          <w:kern w:val="0"/>
          <w:sz w:val="32"/>
          <w:szCs w:val="32"/>
          <w:lang w:val="en"/>
        </w:rPr>
        <w:t>力争新</w:t>
      </w:r>
      <w:r>
        <w:rPr>
          <w:rFonts w:hint="eastAsia" w:ascii="仿宋_GB2312" w:hAnsi="宋体" w:eastAsia="仿宋_GB2312" w:cs="仿宋_GB2312"/>
          <w:snapToGrid w:val="0"/>
          <w:kern w:val="0"/>
          <w:sz w:val="32"/>
          <w:szCs w:val="32"/>
        </w:rPr>
        <w:t>培育</w:t>
      </w:r>
      <w:r>
        <w:rPr>
          <w:rFonts w:hint="eastAsia" w:ascii="仿宋_GB2312" w:hAnsi="宋体" w:eastAsia="仿宋_GB2312" w:cs="仿宋_GB2312"/>
          <w:snapToGrid w:val="0"/>
          <w:kern w:val="0"/>
          <w:sz w:val="32"/>
          <w:szCs w:val="32"/>
          <w:lang w:val="en"/>
        </w:rPr>
        <w:t>国家、省重点专科（学科）</w:t>
      </w:r>
      <w:r>
        <w:rPr>
          <w:rFonts w:hint="eastAsia" w:eastAsia="仿宋_GB2312" w:cs="仿宋_GB2312"/>
          <w:snapToGrid w:val="0"/>
          <w:kern w:val="0"/>
          <w:sz w:val="32"/>
          <w:szCs w:val="32"/>
        </w:rPr>
        <w:t>6</w:t>
      </w:r>
      <w:r>
        <w:rPr>
          <w:rFonts w:hint="eastAsia" w:ascii="仿宋_GB2312" w:hAnsi="宋体" w:eastAsia="仿宋_GB2312" w:cs="仿宋_GB2312"/>
          <w:snapToGrid w:val="0"/>
          <w:kern w:val="0"/>
          <w:sz w:val="32"/>
          <w:szCs w:val="32"/>
          <w:lang w:val="en"/>
        </w:rPr>
        <w:t>个以上，市级、县级</w:t>
      </w:r>
      <w:r>
        <w:rPr>
          <w:rFonts w:hint="eastAsia" w:ascii="仿宋_GB2312" w:hAnsi="宋体" w:eastAsia="仿宋_GB2312" w:cs="仿宋_GB2312"/>
          <w:snapToGrid w:val="0"/>
          <w:kern w:val="0"/>
          <w:sz w:val="32"/>
          <w:szCs w:val="32"/>
        </w:rPr>
        <w:t>重点专科（学科）增至</w:t>
      </w:r>
      <w:r>
        <w:rPr>
          <w:rFonts w:hint="eastAsia" w:eastAsia="仿宋_GB2312" w:cs="仿宋_GB2312"/>
          <w:snapToGrid w:val="0"/>
          <w:kern w:val="0"/>
          <w:sz w:val="32"/>
          <w:szCs w:val="32"/>
        </w:rPr>
        <w:t>100</w:t>
      </w:r>
      <w:r>
        <w:rPr>
          <w:rFonts w:hint="eastAsia" w:ascii="仿宋_GB2312" w:hAnsi="宋体" w:eastAsia="仿宋_GB2312" w:cs="仿宋_GB2312"/>
          <w:snapToGrid w:val="0"/>
          <w:kern w:val="0"/>
          <w:sz w:val="32"/>
          <w:szCs w:val="32"/>
        </w:rPr>
        <w:t>个以上</w:t>
      </w:r>
      <w:r>
        <w:rPr>
          <w:rFonts w:hint="eastAsia" w:ascii="仿宋_GB2312" w:hAnsi="宋体" w:eastAsia="仿宋_GB2312" w:cs="仿宋_GB2312"/>
          <w:snapToGrid w:val="0"/>
          <w:kern w:val="0"/>
          <w:sz w:val="32"/>
          <w:szCs w:val="32"/>
          <w:lang w:val="en"/>
        </w:rPr>
        <w:t>。</w:t>
      </w:r>
      <w:r>
        <w:rPr>
          <w:rFonts w:hint="eastAsia" w:ascii="仿宋_GB2312" w:hAnsi="宋体" w:eastAsia="仿宋_GB2312" w:cs="仿宋_GB2312"/>
          <w:snapToGrid w:val="0"/>
          <w:kern w:val="0"/>
          <w:sz w:val="32"/>
          <w:szCs w:val="32"/>
        </w:rPr>
        <w:t>打破原有的医学学科和诊疗科目壁垒，以优势学科和（或）重点扶持学科为主体、相关学科共同参与的“</w:t>
      </w:r>
      <w:r>
        <w:rPr>
          <w:rFonts w:hint="eastAsia" w:eastAsia="仿宋_GB2312" w:cs="仿宋_GB2312"/>
          <w:snapToGrid w:val="0"/>
          <w:kern w:val="0"/>
          <w:sz w:val="32"/>
          <w:szCs w:val="32"/>
        </w:rPr>
        <w:t>1</w:t>
      </w:r>
      <w:r>
        <w:rPr>
          <w:rFonts w:hint="eastAsia" w:ascii="仿宋_GB2312" w:hAnsi="宋体" w:eastAsia="仿宋_GB2312" w:cs="仿宋_GB2312"/>
          <w:snapToGrid w:val="0"/>
          <w:kern w:val="0"/>
          <w:sz w:val="32"/>
          <w:szCs w:val="32"/>
        </w:rPr>
        <w:t>+</w:t>
      </w:r>
      <w:r>
        <w:rPr>
          <w:rFonts w:hint="eastAsia" w:eastAsia="仿宋_GB2312" w:cs="仿宋_GB2312"/>
          <w:snapToGrid w:val="0"/>
          <w:kern w:val="0"/>
          <w:sz w:val="32"/>
          <w:szCs w:val="32"/>
        </w:rPr>
        <w:t>N</w:t>
      </w:r>
      <w:r>
        <w:rPr>
          <w:rFonts w:hint="eastAsia" w:ascii="仿宋_GB2312" w:hAnsi="宋体" w:eastAsia="仿宋_GB2312" w:cs="仿宋_GB2312"/>
          <w:snapToGrid w:val="0"/>
          <w:kern w:val="0"/>
          <w:sz w:val="32"/>
          <w:szCs w:val="32"/>
        </w:rPr>
        <w:t>”学科群为基础，建设重大疾病诊疗领域的中西医优势专科或特色专科，加快优势专科、亚专科培育。建设中医药特色研究型病房（转化型病房和创新型病房），创新中医药临床研究方法，促进中医药创新成果转化。到</w:t>
      </w:r>
      <w:r>
        <w:rPr>
          <w:rFonts w:hint="eastAsia" w:eastAsia="仿宋_GB2312" w:cs="仿宋_GB2312"/>
          <w:snapToGrid w:val="0"/>
          <w:kern w:val="0"/>
          <w:sz w:val="32"/>
          <w:szCs w:val="32"/>
        </w:rPr>
        <w:t>2025</w:t>
      </w:r>
      <w:r>
        <w:rPr>
          <w:rFonts w:hint="eastAsia" w:ascii="仿宋_GB2312" w:hAnsi="宋体" w:eastAsia="仿宋_GB2312" w:cs="仿宋_GB2312"/>
          <w:snapToGrid w:val="0"/>
          <w:kern w:val="0"/>
          <w:sz w:val="32"/>
          <w:szCs w:val="32"/>
        </w:rPr>
        <w:t>年，全市建成中医妇科、康复科等国家中医优势专科</w:t>
      </w:r>
      <w:r>
        <w:rPr>
          <w:rFonts w:hint="eastAsia" w:eastAsia="仿宋_GB2312" w:cs="仿宋_GB2312"/>
          <w:snapToGrid w:val="0"/>
          <w:kern w:val="0"/>
          <w:sz w:val="32"/>
          <w:szCs w:val="32"/>
        </w:rPr>
        <w:t>6</w:t>
      </w:r>
      <w:r>
        <w:rPr>
          <w:rFonts w:hint="eastAsia" w:ascii="仿宋_GB2312" w:hAnsi="宋体" w:eastAsia="仿宋_GB2312" w:cs="仿宋_GB2312"/>
          <w:snapToGrid w:val="0"/>
          <w:kern w:val="0"/>
          <w:sz w:val="32"/>
          <w:szCs w:val="32"/>
        </w:rPr>
        <w:t>个，每个优势专科建成亚专科</w:t>
      </w:r>
      <w:r>
        <w:rPr>
          <w:rFonts w:hint="eastAsia" w:eastAsia="仿宋_GB2312" w:cs="仿宋_GB2312"/>
          <w:snapToGrid w:val="0"/>
          <w:kern w:val="0"/>
          <w:sz w:val="32"/>
          <w:szCs w:val="32"/>
        </w:rPr>
        <w:t>5</w:t>
      </w:r>
      <w:r>
        <w:rPr>
          <w:rFonts w:hint="eastAsia" w:ascii="仿宋_GB2312" w:hAnsi="宋体" w:eastAsia="仿宋_GB2312" w:cs="仿宋_GB2312"/>
          <w:snapToGrid w:val="0"/>
          <w:kern w:val="0"/>
          <w:sz w:val="32"/>
          <w:szCs w:val="32"/>
        </w:rPr>
        <w:t>个以上。</w:t>
      </w:r>
    </w:p>
    <w:p>
      <w:pPr>
        <w:overflowPunct w:val="0"/>
        <w:adjustRightInd w:val="0"/>
        <w:snapToGrid w:val="0"/>
        <w:spacing w:line="570" w:lineRule="exact"/>
        <w:ind w:firstLine="640" w:firstLineChars="200"/>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四、高效益建设中药材产业集群</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仿宋_GB2312" w:hAnsi="宋体" w:eastAsia="仿宋_GB2312" w:cs="仿宋_GB2312"/>
          <w:snapToGrid w:val="0"/>
          <w:kern w:val="0"/>
          <w:sz w:val="32"/>
          <w:szCs w:val="32"/>
        </w:rPr>
        <w:t>推进中药材种植和养殖转型升级。加强技术集成和工艺创新，加快发展中医药生产企业。到</w:t>
      </w:r>
      <w:r>
        <w:rPr>
          <w:rFonts w:hint="eastAsia" w:ascii="Times New Roman" w:hAnsi="Times New Roman" w:eastAsia="仿宋_GB2312" w:cs="仿宋_GB2312"/>
          <w:snapToGrid w:val="0"/>
          <w:kern w:val="0"/>
          <w:sz w:val="32"/>
          <w:szCs w:val="32"/>
        </w:rPr>
        <w:t>2025</w:t>
      </w:r>
      <w:r>
        <w:rPr>
          <w:rFonts w:hint="eastAsia" w:ascii="仿宋_GB2312" w:hAnsi="宋体" w:eastAsia="仿宋_GB2312" w:cs="仿宋_GB2312"/>
          <w:snapToGrid w:val="0"/>
          <w:kern w:val="0"/>
          <w:sz w:val="32"/>
          <w:szCs w:val="32"/>
        </w:rPr>
        <w:t>年，建成中药材标准化生产基地</w:t>
      </w:r>
      <w:r>
        <w:rPr>
          <w:rFonts w:hint="eastAsia" w:ascii="Times New Roman" w:hAnsi="Times New Roman" w:eastAsia="仿宋_GB2312" w:cs="仿宋_GB2312"/>
          <w:snapToGrid w:val="0"/>
          <w:kern w:val="0"/>
          <w:sz w:val="32"/>
          <w:szCs w:val="32"/>
        </w:rPr>
        <w:t>6</w:t>
      </w:r>
      <w:r>
        <w:rPr>
          <w:rFonts w:hint="eastAsia" w:ascii="仿宋_GB2312" w:hAnsi="宋体" w:eastAsia="仿宋_GB2312" w:cs="仿宋_GB2312"/>
          <w:snapToGrid w:val="0"/>
          <w:kern w:val="0"/>
          <w:sz w:val="32"/>
          <w:szCs w:val="32"/>
        </w:rPr>
        <w:t>个，培育产值达</w:t>
      </w:r>
      <w:r>
        <w:rPr>
          <w:rFonts w:hint="eastAsia" w:ascii="Times New Roman" w:hAnsi="Times New Roman" w:eastAsia="仿宋_GB2312" w:cs="仿宋_GB2312"/>
          <w:snapToGrid w:val="0"/>
          <w:kern w:val="0"/>
          <w:sz w:val="32"/>
          <w:szCs w:val="32"/>
        </w:rPr>
        <w:t>1</w:t>
      </w:r>
      <w:r>
        <w:rPr>
          <w:rFonts w:hint="eastAsia" w:ascii="仿宋_GB2312" w:hAnsi="宋体" w:eastAsia="仿宋_GB2312" w:cs="仿宋_GB2312"/>
          <w:snapToGrid w:val="0"/>
          <w:kern w:val="0"/>
          <w:sz w:val="32"/>
          <w:szCs w:val="32"/>
        </w:rPr>
        <w:t>亿元以上中药生产企业</w:t>
      </w:r>
      <w:r>
        <w:rPr>
          <w:rFonts w:hint="eastAsia" w:ascii="Times New Roman" w:hAnsi="Times New Roman" w:eastAsia="仿宋_GB2312" w:cs="仿宋_GB2312"/>
          <w:snapToGrid w:val="0"/>
          <w:kern w:val="0"/>
          <w:sz w:val="32"/>
          <w:szCs w:val="32"/>
        </w:rPr>
        <w:t>5</w:t>
      </w:r>
      <w:r>
        <w:rPr>
          <w:rFonts w:hint="eastAsia" w:ascii="仿宋_GB2312" w:hAnsi="宋体" w:eastAsia="仿宋_GB2312" w:cs="仿宋_GB2312"/>
          <w:snapToGrid w:val="0"/>
          <w:kern w:val="0"/>
          <w:sz w:val="32"/>
          <w:szCs w:val="32"/>
        </w:rPr>
        <w:t>家以上。</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12</w:t>
      </w:r>
      <w:r>
        <w:rPr>
          <w:rFonts w:hint="eastAsia" w:ascii="楷体_GB2312" w:hAnsi="宋体" w:eastAsia="楷体_GB2312" w:cs="仿宋_GB2312"/>
          <w:snapToGrid w:val="0"/>
          <w:kern w:val="0"/>
          <w:sz w:val="32"/>
          <w:szCs w:val="32"/>
        </w:rPr>
        <w:t>.打造浙南特色中药谷。</w:t>
      </w:r>
      <w:r>
        <w:rPr>
          <w:rFonts w:hint="eastAsia" w:ascii="仿宋_GB2312" w:hAnsi="宋体" w:eastAsia="仿宋_GB2312" w:cs="仿宋_GB2312"/>
          <w:snapToGrid w:val="0"/>
          <w:kern w:val="0"/>
          <w:sz w:val="32"/>
          <w:szCs w:val="32"/>
        </w:rPr>
        <w:t>推进中药材种子种苗繁育基地建设，重点培育铁皮石斛特色品种，形成“种研产供销”产业管理链，提高铁皮石斛产品附加值和核心竞争力，开展温郁金和黄栀子新品种选育的重大专项研究。建设道地药园和中药材特色强镇，开展温山药等区域性地理标志申报注册，加快铁皮石斛、温郁金、温栀子、温山药、温薏仁、山银花等“温六味”道地药材基地建设，打造浙南特色优势中药材产区。赋能中医药创新发展，支持温医大药学院科研团队致力于郁金香、铁皮石斛等道地中药材的科研项目，并促成项目转化应用。促进中药产业转型升级，培育壮大中药材加工企业，推广企业+基地+农户（合作社）模式，积极培育中药材品种产业集群，扶植本地莪术油原料原研生产厂家，推动“一县一品”“一县多品”全链条发展。</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13</w:t>
      </w:r>
      <w:r>
        <w:rPr>
          <w:rFonts w:hint="eastAsia" w:ascii="楷体_GB2312" w:hAnsi="宋体" w:eastAsia="楷体_GB2312" w:cs="仿宋_GB2312"/>
          <w:snapToGrid w:val="0"/>
          <w:kern w:val="0"/>
          <w:sz w:val="32"/>
          <w:szCs w:val="32"/>
        </w:rPr>
        <w:t>.打造中医药健康旅游示范基地。</w:t>
      </w:r>
      <w:r>
        <w:rPr>
          <w:rFonts w:hint="eastAsia" w:ascii="仿宋_GB2312" w:hAnsi="宋体" w:eastAsia="仿宋_GB2312" w:cs="仿宋_GB2312"/>
          <w:snapToGrid w:val="0"/>
          <w:kern w:val="0"/>
          <w:sz w:val="32"/>
          <w:szCs w:val="32"/>
        </w:rPr>
        <w:t>借助“世界铁皮石斛之乡”“世界温郁金之乡”之名，建设一批中医药特色旅游基地、中医药养生体验基地。依托瓯江沿线的中药材种植基地、名医馆、中药企业、中药材市场、中医药博物馆、研学教育基地等，打造温州中医药文化主题精品旅游线路。加大南塘中医特色街区建设，扩大名中医入驻，提升中医药诊疗服务能力，提供特色养生体验、特色中医康复、中医药美容保健、传统医疗体育等旅游产品，打造成为有特色和吸引力的“全国特色中医药第一街（镇）”。</w:t>
      </w:r>
    </w:p>
    <w:p>
      <w:pPr>
        <w:pStyle w:val="9"/>
        <w:overflowPunct w:val="0"/>
        <w:adjustRightInd w:val="0"/>
        <w:snapToGrid w:val="0"/>
        <w:spacing w:line="570" w:lineRule="exact"/>
        <w:ind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14</w:t>
      </w:r>
      <w:r>
        <w:rPr>
          <w:rFonts w:hint="eastAsia" w:ascii="楷体_GB2312" w:hAnsi="宋体" w:eastAsia="楷体_GB2312" w:cs="仿宋_GB2312"/>
          <w:snapToGrid w:val="0"/>
          <w:kern w:val="0"/>
          <w:sz w:val="32"/>
          <w:szCs w:val="32"/>
        </w:rPr>
        <w:t>.打造中医药创新服务综合体。</w:t>
      </w:r>
      <w:r>
        <w:rPr>
          <w:rFonts w:hint="eastAsia" w:ascii="仿宋_GB2312" w:hAnsi="宋体" w:eastAsia="仿宋_GB2312" w:cs="仿宋_GB2312"/>
          <w:snapToGrid w:val="0"/>
          <w:kern w:val="0"/>
          <w:sz w:val="32"/>
          <w:szCs w:val="32"/>
        </w:rPr>
        <w:t>以滋补品深加工、药膳开发、自主品牌创建等为突破口，提档升级苍南参茸市场，全面建成产销有效衔接、线上线下融合、内外贸易协同发展的温产药材交易市场。发展参茸滋补品电子商务，举办中国（苍南）康养滋补品博览会暨参茸采购节。到</w:t>
      </w:r>
      <w:r>
        <w:rPr>
          <w:rFonts w:hint="eastAsia" w:ascii="Times New Roman" w:hAnsi="Times New Roman" w:eastAsia="仿宋_GB2312" w:cs="仿宋_GB2312"/>
          <w:snapToGrid w:val="0"/>
          <w:kern w:val="0"/>
          <w:sz w:val="32"/>
          <w:szCs w:val="32"/>
        </w:rPr>
        <w:t>2025</w:t>
      </w:r>
      <w:r>
        <w:rPr>
          <w:rFonts w:hint="eastAsia" w:ascii="仿宋_GB2312" w:hAnsi="宋体" w:eastAsia="仿宋_GB2312" w:cs="仿宋_GB2312"/>
          <w:snapToGrid w:val="0"/>
          <w:kern w:val="0"/>
          <w:sz w:val="32"/>
          <w:szCs w:val="32"/>
        </w:rPr>
        <w:t>年，苍南县打造成为全国知名中药材专业市场集聚区。</w:t>
      </w:r>
    </w:p>
    <w:p>
      <w:pPr>
        <w:overflowPunct w:val="0"/>
        <w:adjustRightInd w:val="0"/>
        <w:snapToGrid w:val="0"/>
        <w:spacing w:line="570" w:lineRule="exact"/>
        <w:ind w:firstLine="640" w:firstLineChars="200"/>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五、高集成激活中医药发展新动能</w:t>
      </w:r>
    </w:p>
    <w:p>
      <w:pPr>
        <w:pStyle w:val="7"/>
        <w:overflowPunct w:val="0"/>
        <w:adjustRightInd w:val="0"/>
        <w:snapToGrid w:val="0"/>
        <w:spacing w:after="0" w:line="570" w:lineRule="exact"/>
        <w:ind w:left="0" w:leftChars="0" w:firstLine="640"/>
        <w:rPr>
          <w:rFonts w:hint="eastAsia" w:ascii="仿宋_GB2312" w:hAnsi="宋体" w:eastAsia="仿宋_GB2312" w:cs="仿宋_GB2312"/>
          <w:snapToGrid w:val="0"/>
          <w:kern w:val="0"/>
          <w:sz w:val="32"/>
          <w:szCs w:val="32"/>
        </w:rPr>
      </w:pPr>
      <w:r>
        <w:rPr>
          <w:rFonts w:hint="eastAsia" w:ascii="仿宋_GB2312" w:hAnsi="宋体" w:eastAsia="仿宋_GB2312" w:cs="宋体"/>
          <w:snapToGrid w:val="0"/>
          <w:kern w:val="0"/>
          <w:sz w:val="32"/>
          <w:szCs w:val="32"/>
        </w:rPr>
        <w:t>建立持续稳定的中医药发展多元化投入机制，完善中医药价格和医保支持等配套政策，</w:t>
      </w:r>
      <w:r>
        <w:rPr>
          <w:rFonts w:hint="eastAsia" w:ascii="仿宋_GB2312" w:hAnsi="宋体" w:eastAsia="仿宋_GB2312" w:cs="仿宋_GB2312"/>
          <w:snapToGrid w:val="0"/>
          <w:kern w:val="0"/>
          <w:sz w:val="32"/>
          <w:szCs w:val="32"/>
        </w:rPr>
        <w:t>构建符合中医药特色发展的人才梯度培养体系。到</w:t>
      </w:r>
      <w:r>
        <w:rPr>
          <w:rFonts w:hint="eastAsia" w:ascii="Times New Roman" w:hAnsi="Times New Roman" w:eastAsia="仿宋_GB2312" w:cs="仿宋_GB2312"/>
          <w:snapToGrid w:val="0"/>
          <w:kern w:val="0"/>
          <w:sz w:val="32"/>
          <w:szCs w:val="32"/>
        </w:rPr>
        <w:t>2025</w:t>
      </w:r>
      <w:r>
        <w:rPr>
          <w:rFonts w:hint="eastAsia" w:ascii="仿宋_GB2312" w:hAnsi="宋体" w:eastAsia="仿宋_GB2312" w:cs="仿宋_GB2312"/>
          <w:snapToGrid w:val="0"/>
          <w:kern w:val="0"/>
          <w:sz w:val="32"/>
          <w:szCs w:val="32"/>
        </w:rPr>
        <w:t>年，争创青年岐黄学者</w:t>
      </w:r>
      <w:r>
        <w:rPr>
          <w:rFonts w:hint="eastAsia" w:ascii="Times New Roman" w:hAnsi="Times New Roman" w:eastAsia="仿宋_GB2312" w:cs="仿宋_GB2312"/>
          <w:snapToGrid w:val="0"/>
          <w:kern w:val="0"/>
          <w:sz w:val="32"/>
          <w:szCs w:val="32"/>
        </w:rPr>
        <w:t>1</w:t>
      </w:r>
      <w:r>
        <w:rPr>
          <w:rFonts w:hint="eastAsia" w:ascii="仿宋_GB2312" w:hAnsi="宋体" w:eastAsia="仿宋_GB2312" w:cs="仿宋_GB2312"/>
          <w:snapToGrid w:val="0"/>
          <w:kern w:val="0"/>
          <w:sz w:val="32"/>
          <w:szCs w:val="32"/>
        </w:rPr>
        <w:t>名，引进录用高层次中医博士</w:t>
      </w:r>
      <w:r>
        <w:rPr>
          <w:rFonts w:hint="eastAsia" w:ascii="Times New Roman" w:hAnsi="Times New Roman" w:eastAsia="仿宋_GB2312" w:cs="仿宋_GB2312"/>
          <w:snapToGrid w:val="0"/>
          <w:kern w:val="0"/>
          <w:sz w:val="32"/>
          <w:szCs w:val="32"/>
        </w:rPr>
        <w:t>10</w:t>
      </w:r>
      <w:r>
        <w:rPr>
          <w:rFonts w:hint="eastAsia" w:ascii="仿宋_GB2312" w:hAnsi="宋体" w:eastAsia="仿宋_GB2312" w:cs="仿宋_GB2312"/>
          <w:snapToGrid w:val="0"/>
          <w:kern w:val="0"/>
          <w:sz w:val="32"/>
          <w:szCs w:val="32"/>
        </w:rPr>
        <w:t>名，定向培养</w:t>
      </w:r>
      <w:r>
        <w:rPr>
          <w:rFonts w:hint="eastAsia" w:ascii="Times New Roman" w:hAnsi="Times New Roman" w:eastAsia="仿宋_GB2312" w:cs="仿宋_GB2312"/>
          <w:snapToGrid w:val="0"/>
          <w:kern w:val="0"/>
          <w:sz w:val="32"/>
          <w:szCs w:val="32"/>
        </w:rPr>
        <w:t>300</w:t>
      </w:r>
      <w:r>
        <w:rPr>
          <w:rFonts w:hint="eastAsia" w:ascii="仿宋_GB2312" w:hAnsi="宋体" w:eastAsia="仿宋_GB2312" w:cs="仿宋_GB2312"/>
          <w:snapToGrid w:val="0"/>
          <w:kern w:val="0"/>
          <w:sz w:val="32"/>
          <w:szCs w:val="32"/>
        </w:rPr>
        <w:t>名中医师，培养“西学中”人才</w:t>
      </w:r>
      <w:r>
        <w:rPr>
          <w:rFonts w:hint="eastAsia" w:ascii="Times New Roman" w:hAnsi="Times New Roman" w:eastAsia="仿宋_GB2312" w:cs="仿宋_GB2312"/>
          <w:snapToGrid w:val="0"/>
          <w:kern w:val="0"/>
          <w:sz w:val="32"/>
          <w:szCs w:val="32"/>
        </w:rPr>
        <w:t>300</w:t>
      </w:r>
      <w:r>
        <w:rPr>
          <w:rFonts w:hint="eastAsia" w:ascii="仿宋_GB2312" w:hAnsi="宋体" w:eastAsia="仿宋_GB2312" w:cs="仿宋_GB2312"/>
          <w:snapToGrid w:val="0"/>
          <w:kern w:val="0"/>
          <w:sz w:val="32"/>
          <w:szCs w:val="32"/>
        </w:rPr>
        <w:t>名，千人中医师数达</w:t>
      </w:r>
      <w:r>
        <w:rPr>
          <w:rFonts w:hint="eastAsia" w:ascii="Times New Roman" w:hAnsi="Times New Roman" w:eastAsia="仿宋_GB2312" w:cs="仿宋_GB2312"/>
          <w:snapToGrid w:val="0"/>
          <w:kern w:val="0"/>
          <w:sz w:val="32"/>
          <w:szCs w:val="32"/>
        </w:rPr>
        <w:t>0</w:t>
      </w:r>
      <w:r>
        <w:rPr>
          <w:rFonts w:hint="eastAsia" w:ascii="仿宋_GB2312" w:hAnsi="宋体" w:eastAsia="仿宋_GB2312" w:cs="仿宋_GB2312"/>
          <w:snapToGrid w:val="0"/>
          <w:kern w:val="0"/>
          <w:sz w:val="32"/>
          <w:szCs w:val="32"/>
        </w:rPr>
        <w:t>.</w:t>
      </w:r>
      <w:r>
        <w:rPr>
          <w:rFonts w:hint="eastAsia" w:ascii="Times New Roman" w:hAnsi="Times New Roman" w:eastAsia="仿宋_GB2312" w:cs="仿宋_GB2312"/>
          <w:snapToGrid w:val="0"/>
          <w:kern w:val="0"/>
          <w:sz w:val="32"/>
          <w:szCs w:val="32"/>
        </w:rPr>
        <w:t>65</w:t>
      </w:r>
      <w:r>
        <w:rPr>
          <w:rFonts w:hint="eastAsia" w:ascii="仿宋_GB2312" w:hAnsi="宋体" w:eastAsia="仿宋_GB2312" w:cs="仿宋_GB2312"/>
          <w:snapToGrid w:val="0"/>
          <w:kern w:val="0"/>
          <w:sz w:val="32"/>
          <w:szCs w:val="32"/>
        </w:rPr>
        <w:t>。</w:t>
      </w:r>
    </w:p>
    <w:p>
      <w:pPr>
        <w:pStyle w:val="4"/>
        <w:overflowPunct w:val="0"/>
        <w:adjustRightInd w:val="0"/>
        <w:snapToGrid w:val="0"/>
        <w:spacing w:after="0" w:line="570" w:lineRule="exact"/>
        <w:ind w:left="0" w:leftChars="0"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15</w:t>
      </w:r>
      <w:r>
        <w:rPr>
          <w:rFonts w:hint="eastAsia" w:ascii="楷体_GB2312" w:hAnsi="宋体" w:eastAsia="楷体_GB2312" w:cs="仿宋_GB2312"/>
          <w:snapToGrid w:val="0"/>
          <w:kern w:val="0"/>
          <w:sz w:val="32"/>
          <w:szCs w:val="32"/>
        </w:rPr>
        <w:t>.弘扬中医药文化。</w:t>
      </w:r>
      <w:r>
        <w:rPr>
          <w:rFonts w:hint="eastAsia" w:ascii="仿宋_GB2312" w:hAnsi="宋体" w:eastAsia="仿宋_GB2312" w:cs="仿宋_GB2312"/>
          <w:snapToGrid w:val="0"/>
          <w:kern w:val="0"/>
          <w:sz w:val="32"/>
          <w:szCs w:val="32"/>
        </w:rPr>
        <w:t>建设“永嘉医派研究院”，组建中医药资深专家研究院团队，深入挖掘和传承永嘉医派精髓，打造中医药文创</w:t>
      </w:r>
      <w:r>
        <w:rPr>
          <w:rFonts w:hint="eastAsia" w:ascii="Times New Roman" w:hAnsi="Times New Roman" w:eastAsia="仿宋_GB2312" w:cs="仿宋_GB2312"/>
          <w:snapToGrid w:val="0"/>
          <w:kern w:val="0"/>
          <w:sz w:val="32"/>
          <w:szCs w:val="32"/>
        </w:rPr>
        <w:t>IP</w:t>
      </w:r>
      <w:r>
        <w:rPr>
          <w:rFonts w:hint="eastAsia" w:ascii="仿宋_GB2312" w:hAnsi="宋体" w:eastAsia="仿宋_GB2312" w:cs="仿宋_GB2312"/>
          <w:snapToGrid w:val="0"/>
          <w:kern w:val="0"/>
          <w:sz w:val="32"/>
          <w:szCs w:val="32"/>
        </w:rPr>
        <w:t>，实现中医药文化创造性转化、创新性发展。建设温州市中医药文化博物馆，加强中医药非物质文化遗产保护。按品牌化、优质化、规范化、标准化的要求建设标志性温州市名医堂馆，在县（市、区）建设分馆，共享名医资源，服务基层群众</w:t>
      </w:r>
      <w:r>
        <w:rPr>
          <w:rFonts w:hint="eastAsia" w:ascii="仿宋_GB2312" w:hAnsi="宋体" w:eastAsia="仿宋_GB2312" w:cs="仿宋_GB2312"/>
          <w:bCs/>
          <w:snapToGrid w:val="0"/>
          <w:kern w:val="0"/>
          <w:sz w:val="32"/>
          <w:szCs w:val="32"/>
        </w:rPr>
        <w:t>。</w:t>
      </w:r>
      <w:r>
        <w:rPr>
          <w:rFonts w:hint="eastAsia" w:ascii="仿宋_GB2312" w:hAnsi="宋体" w:eastAsia="仿宋_GB2312" w:cs="仿宋_GB2312"/>
          <w:snapToGrid w:val="0"/>
          <w:kern w:val="0"/>
          <w:sz w:val="32"/>
          <w:szCs w:val="32"/>
        </w:rPr>
        <w:t>以“利济医学堂”为核心，提升玉海街道忠义街中医药特色街区品牌，布局名中医馆、中医药博物馆、中医康养保健中心，促进中医药产业与忠义街历史街区融合发展。</w:t>
      </w:r>
    </w:p>
    <w:p>
      <w:pPr>
        <w:pStyle w:val="7"/>
        <w:overflowPunct w:val="0"/>
        <w:adjustRightInd w:val="0"/>
        <w:snapToGrid w:val="0"/>
        <w:spacing w:after="0" w:line="570" w:lineRule="exact"/>
        <w:ind w:left="0" w:leftChars="0" w:firstLine="640"/>
        <w:rPr>
          <w:rFonts w:hint="eastAsia" w:ascii="仿宋_GB2312" w:hAnsi="宋体" w:eastAsia="仿宋_GB2312" w:cs="仿宋_GB2312"/>
          <w:snapToGrid w:val="0"/>
          <w:kern w:val="0"/>
          <w:sz w:val="32"/>
          <w:szCs w:val="32"/>
        </w:rPr>
      </w:pPr>
      <w:r>
        <w:rPr>
          <w:rFonts w:hint="eastAsia" w:ascii="Times New Roman" w:hAnsi="Times New Roman" w:eastAsia="楷体_GB2312" w:cs="仿宋_GB2312"/>
          <w:snapToGrid w:val="0"/>
          <w:kern w:val="0"/>
          <w:sz w:val="32"/>
          <w:szCs w:val="32"/>
        </w:rPr>
        <w:t>16</w:t>
      </w:r>
      <w:r>
        <w:rPr>
          <w:rFonts w:hint="eastAsia" w:ascii="楷体_GB2312" w:hAnsi="宋体" w:eastAsia="楷体_GB2312" w:cs="仿宋_GB2312"/>
          <w:snapToGrid w:val="0"/>
          <w:kern w:val="0"/>
          <w:sz w:val="32"/>
          <w:szCs w:val="32"/>
        </w:rPr>
        <w:t>.加强多层次人才培养。</w:t>
      </w:r>
      <w:r>
        <w:rPr>
          <w:rFonts w:hint="eastAsia" w:ascii="仿宋_GB2312" w:hAnsi="宋体" w:eastAsia="仿宋_GB2312" w:cs="仿宋_GB2312"/>
          <w:snapToGrid w:val="0"/>
          <w:kern w:val="0"/>
          <w:sz w:val="32"/>
          <w:szCs w:val="32"/>
        </w:rPr>
        <w:t>立足中医药教学特色，遵循中医药人才成长规律，建立符合中医药规律的人才评价标准，将业务能力和工作实绩作为中医药专业技术人员职称评聘重点，打造一支梯队合理的多层次中医药人才队伍。加快温医大中医药二级学院（系）建设，扩大中医药专业招生规模。实施“瓯越英才”计划，培养一批高水平中医临床人才和多学科交叉的中医药创新型领军人才。拓宽基层中医药人才培养渠道，开展基层中医药人才定向培养、研修、师承和培训，培育一批中医馆骨干人才和“能中会西”的基层医生。</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r>
        <w:rPr>
          <w:rFonts w:hint="eastAsia" w:eastAsia="楷体_GB2312" w:cs="仿宋_GB2312"/>
          <w:snapToGrid w:val="0"/>
          <w:kern w:val="0"/>
          <w:sz w:val="32"/>
          <w:szCs w:val="32"/>
        </w:rPr>
        <w:t>17</w:t>
      </w:r>
      <w:r>
        <w:rPr>
          <w:rFonts w:hint="eastAsia" w:ascii="楷体_GB2312" w:hAnsi="宋体" w:eastAsia="楷体_GB2312" w:cs="仿宋_GB2312"/>
          <w:snapToGrid w:val="0"/>
          <w:kern w:val="0"/>
          <w:sz w:val="32"/>
          <w:szCs w:val="32"/>
        </w:rPr>
        <w:t>.加大政策保障力度。</w:t>
      </w:r>
      <w:r>
        <w:rPr>
          <w:rFonts w:hint="eastAsia" w:ascii="仿宋_GB2312" w:hAnsi="宋体" w:eastAsia="仿宋_GB2312" w:cs="仿宋_GB2312"/>
          <w:snapToGrid w:val="0"/>
          <w:kern w:val="0"/>
          <w:sz w:val="32"/>
          <w:szCs w:val="32"/>
        </w:rPr>
        <w:t>健全完善中医医疗机构补偿机制。强化中医药科研经费投入保障，重点支持各级重点学科（专科）建设。统筹推进中医医疗服务价格改革，推动完善中医药价格和医保政策，发挥好医保调节医疗服务行为、引导医疗资源配置的杠杆作用，促进中医药特色优势发挥。持续健全符合中医药特点的多元复合医保支付方式，根据中医医疗机构的特点合理确定总额预算增长指标；优化中医中治率与医保支付挂钩的正向激励机制；逐步扩大中医优势病种激励范围，遴选优势明显、治疗路径清晰、费用明确的中医优势病种，对同病同效的中医治疗病例给予西医治疗病组相近的支付标准；对中医康复等长期住院治疗且日均费用较稳定的疾病实行按床日付费。健全完善中医医疗服务价格形成机制，适时动态调整提高体现劳务价值的中医医疗服务项目价格。纳入国家中医药传承创新发展试验区、示范区（示范试点）的地方，可先行先试制定医疗保障支持中医药传承创新发展的政策，在医保基金增速控制良好的情况下，可启动中医医疗服务价格调整，按不高于省定最高价格或省市联动调整。</w:t>
      </w: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overflowPunct w:val="0"/>
        <w:adjustRightInd w:val="0"/>
        <w:snapToGrid w:val="0"/>
        <w:spacing w:line="570" w:lineRule="exact"/>
        <w:ind w:firstLine="640" w:firstLineChars="200"/>
        <w:rPr>
          <w:rFonts w:hint="eastAsia" w:ascii="仿宋_GB2312" w:hAnsi="宋体" w:eastAsia="仿宋_GB2312" w:cs="仿宋_GB2312"/>
          <w:snapToGrid w:val="0"/>
          <w:kern w:val="0"/>
          <w:sz w:val="32"/>
          <w:szCs w:val="32"/>
        </w:rPr>
      </w:pPr>
    </w:p>
    <w:p>
      <w:pPr>
        <w:pStyle w:val="7"/>
        <w:overflowPunct w:val="0"/>
        <w:adjustRightInd w:val="0"/>
        <w:snapToGrid w:val="0"/>
        <w:spacing w:after="156" w:afterLines="50" w:line="570" w:lineRule="exact"/>
        <w:ind w:left="0" w:leftChars="0" w:firstLine="0" w:firstLineChars="0"/>
        <w:jc w:val="center"/>
        <w:rPr>
          <w:rFonts w:hint="eastAsia" w:ascii="方正大标宋_GBK" w:hAnsi="方正大标宋_GBK" w:eastAsia="方正大标宋_GBK" w:cs="方正大标宋_GBK"/>
          <w:snapToGrid w:val="0"/>
          <w:kern w:val="0"/>
          <w:sz w:val="44"/>
          <w:szCs w:val="44"/>
          <w:lang w:val="en"/>
        </w:rPr>
      </w:pPr>
      <w:r>
        <w:rPr>
          <w:rFonts w:hint="eastAsia" w:ascii="方正大标宋_GBK" w:hAnsi="方正大标宋_GBK" w:eastAsia="方正大标宋_GBK" w:cs="方正大标宋_GBK"/>
          <w:snapToGrid w:val="0"/>
          <w:kern w:val="0"/>
          <w:sz w:val="44"/>
          <w:szCs w:val="44"/>
          <w:lang w:val="en"/>
        </w:rPr>
        <w:t>温州市中医药传承创新发展重点任务清单</w:t>
      </w:r>
    </w:p>
    <w:tbl>
      <w:tblPr>
        <w:tblStyle w:val="5"/>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729"/>
        <w:gridCol w:w="2520"/>
        <w:gridCol w:w="8640"/>
        <w:gridCol w:w="2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tblHeader/>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序号</w:t>
            </w:r>
          </w:p>
        </w:tc>
        <w:tc>
          <w:tcPr>
            <w:tcW w:w="2520" w:type="dxa"/>
            <w:noWrap w:val="0"/>
            <w:tcMar>
              <w:top w:w="15" w:type="dxa"/>
              <w:left w:w="15" w:type="dxa"/>
              <w:right w:w="15" w:type="dxa"/>
            </w:tcMar>
            <w:vAlign w:val="center"/>
          </w:tcPr>
          <w:p>
            <w:pPr>
              <w:overflowPunct w:val="0"/>
              <w:adjustRightInd w:val="0"/>
              <w:snapToGrid w:val="0"/>
              <w:jc w:val="center"/>
              <w:textAlignment w:val="center"/>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任务名称</w:t>
            </w:r>
          </w:p>
        </w:tc>
        <w:tc>
          <w:tcPr>
            <w:tcW w:w="8640" w:type="dxa"/>
            <w:noWrap/>
            <w:tcMar>
              <w:top w:w="15" w:type="dxa"/>
              <w:left w:w="15" w:type="dxa"/>
              <w:right w:w="15" w:type="dxa"/>
            </w:tcMar>
            <w:vAlign w:val="center"/>
          </w:tcPr>
          <w:p>
            <w:pPr>
              <w:overflowPunct w:val="0"/>
              <w:adjustRightInd w:val="0"/>
              <w:snapToGrid w:val="0"/>
              <w:jc w:val="center"/>
              <w:textAlignment w:val="center"/>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具体工作目标</w:t>
            </w:r>
          </w:p>
        </w:tc>
        <w:tc>
          <w:tcPr>
            <w:tcW w:w="2853" w:type="dxa"/>
            <w:noWrap w:val="0"/>
            <w:tcMar>
              <w:top w:w="15" w:type="dxa"/>
              <w:left w:w="15" w:type="dxa"/>
              <w:right w:w="15" w:type="dxa"/>
            </w:tcMar>
            <w:vAlign w:val="center"/>
          </w:tcPr>
          <w:p>
            <w:pPr>
              <w:overflowPunct w:val="0"/>
              <w:adjustRightInd w:val="0"/>
              <w:snapToGrid w:val="0"/>
              <w:jc w:val="center"/>
              <w:textAlignment w:val="top"/>
              <w:rPr>
                <w:rFonts w:hint="eastAsia" w:ascii="黑体" w:hAnsi="黑体" w:eastAsia="黑体" w:cs="仿宋_GB2312"/>
                <w:snapToGrid w:val="0"/>
                <w:kern w:val="0"/>
                <w:sz w:val="24"/>
              </w:rPr>
            </w:pPr>
            <w:r>
              <w:rPr>
                <w:rFonts w:hint="eastAsia" w:ascii="黑体" w:hAnsi="黑体" w:eastAsia="黑体" w:cs="仿宋_GB2312"/>
                <w:snapToGrid w:val="0"/>
                <w:kern w:val="0"/>
                <w:sz w:val="24"/>
                <w:lang w:bidi="ar"/>
              </w:rPr>
              <w:t>责任单位</w:t>
            </w:r>
            <w:r>
              <w:rPr>
                <w:rFonts w:hint="eastAsia" w:ascii="黑体" w:hAnsi="黑体" w:eastAsia="黑体" w:cs="仿宋_GB2312"/>
                <w:snapToGrid w:val="0"/>
                <w:kern w:val="0"/>
                <w:sz w:val="24"/>
                <w:lang w:bidi="ar"/>
              </w:rPr>
              <w:br w:type="textWrapping"/>
            </w:r>
            <w:r>
              <w:rPr>
                <w:rFonts w:hint="eastAsia" w:ascii="黑体" w:hAnsi="黑体" w:eastAsia="黑体" w:cs="仿宋_GB2312"/>
                <w:snapToGrid w:val="0"/>
                <w:kern w:val="0"/>
                <w:sz w:val="24"/>
                <w:lang w:bidi="ar"/>
              </w:rPr>
              <w:t>（标*为牵头部门）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加快高水平中医院建设</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深化温州市中医院与浙江中医药大学合作，建设浙江中医药大学同质化医院，共建中医药科研平台。</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深化温州市中西结合医院与浙江省中医院合作，争创中医类国家区域医疗中心（建设类），重点建设</w:t>
            </w:r>
            <w:r>
              <w:rPr>
                <w:rFonts w:hint="eastAsia" w:eastAsia="仿宋_GB2312" w:cs="仿宋_GB2312"/>
                <w:snapToGrid w:val="0"/>
                <w:kern w:val="0"/>
                <w:sz w:val="24"/>
                <w:lang w:bidi="ar"/>
              </w:rPr>
              <w:t>5</w:t>
            </w:r>
            <w:r>
              <w:rPr>
                <w:rFonts w:hint="eastAsia" w:ascii="仿宋_GB2312" w:hAnsi="宋体" w:eastAsia="仿宋_GB2312" w:cs="仿宋_GB2312"/>
                <w:snapToGrid w:val="0"/>
                <w:kern w:val="0"/>
                <w:sz w:val="24"/>
                <w:lang w:bidi="ar"/>
              </w:rPr>
              <w:t>个以上中西医结合特色优势明显的重点专科，建成华东地区重大疑难疾病中西医结合诊疗、人才队伍培养和医疗模式推广中心。</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2</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推进县域中医院发展</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全市创建全国基层中医药示范县（市）</w:t>
            </w:r>
            <w:r>
              <w:rPr>
                <w:rFonts w:hint="eastAsia" w:eastAsia="仿宋_GB2312" w:cs="仿宋_GB2312"/>
                <w:snapToGrid w:val="0"/>
                <w:kern w:val="0"/>
                <w:sz w:val="24"/>
                <w:lang w:bidi="ar"/>
              </w:rPr>
              <w:t>7</w:t>
            </w:r>
            <w:r>
              <w:rPr>
                <w:rFonts w:hint="eastAsia" w:ascii="仿宋_GB2312" w:hAnsi="宋体" w:eastAsia="仿宋_GB2312" w:cs="仿宋_GB2312"/>
                <w:snapToGrid w:val="0"/>
                <w:kern w:val="0"/>
                <w:sz w:val="24"/>
                <w:lang w:bidi="ar"/>
              </w:rPr>
              <w:t>个。</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*各县（市、区）人民政府、市卫健委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重点提升市、县级中医院急诊、</w:t>
            </w:r>
            <w:r>
              <w:rPr>
                <w:rFonts w:hint="eastAsia" w:eastAsia="仿宋_GB2312" w:cs="仿宋_GB2312"/>
                <w:snapToGrid w:val="0"/>
                <w:kern w:val="0"/>
                <w:sz w:val="24"/>
                <w:lang w:bidi="ar"/>
              </w:rPr>
              <w:t>ICU</w:t>
            </w:r>
            <w:r>
              <w:rPr>
                <w:rFonts w:hint="eastAsia" w:ascii="仿宋_GB2312" w:hAnsi="宋体" w:eastAsia="仿宋_GB2312" w:cs="仿宋_GB2312"/>
                <w:snapToGrid w:val="0"/>
                <w:kern w:val="0"/>
                <w:sz w:val="24"/>
                <w:lang w:bidi="ar"/>
              </w:rPr>
              <w:t>、</w:t>
            </w:r>
            <w:r>
              <w:rPr>
                <w:rFonts w:hint="eastAsia" w:eastAsia="仿宋_GB2312" w:cs="仿宋_GB2312"/>
                <w:snapToGrid w:val="0"/>
                <w:kern w:val="0"/>
                <w:sz w:val="24"/>
                <w:lang w:bidi="ar"/>
              </w:rPr>
              <w:t>DSA</w:t>
            </w:r>
            <w:r>
              <w:rPr>
                <w:rFonts w:hint="eastAsia" w:ascii="仿宋_GB2312" w:hAnsi="宋体" w:eastAsia="仿宋_GB2312" w:cs="仿宋_GB2312"/>
                <w:snapToGrid w:val="0"/>
                <w:kern w:val="0"/>
                <w:sz w:val="24"/>
                <w:lang w:bidi="ar"/>
              </w:rPr>
              <w:t>、麻醉等临床薄弱专科建设，到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年，二甲以上中医院全部完成胸痛、卒中、创伤建设。</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开展“两专科一中心”建设，建成</w:t>
            </w:r>
            <w:r>
              <w:rPr>
                <w:rFonts w:hint="eastAsia" w:eastAsia="仿宋_GB2312" w:cs="仿宋_GB2312"/>
                <w:snapToGrid w:val="0"/>
                <w:kern w:val="0"/>
                <w:sz w:val="24"/>
                <w:lang w:bidi="ar"/>
              </w:rPr>
              <w:t>2</w:t>
            </w:r>
            <w:r>
              <w:rPr>
                <w:rFonts w:hint="eastAsia" w:ascii="仿宋_GB2312" w:hAnsi="宋体" w:eastAsia="仿宋_GB2312" w:cs="仿宋_GB2312"/>
                <w:snapToGrid w:val="0"/>
                <w:kern w:val="0"/>
                <w:sz w:val="24"/>
                <w:lang w:bidi="ar"/>
              </w:rPr>
              <w:t>个以上中医特色优势专科和</w:t>
            </w:r>
            <w:r>
              <w:rPr>
                <w:rFonts w:hint="eastAsia" w:eastAsia="仿宋_GB2312" w:cs="仿宋_GB2312"/>
                <w:snapToGrid w:val="0"/>
                <w:kern w:val="0"/>
                <w:sz w:val="24"/>
                <w:lang w:bidi="ar"/>
              </w:rPr>
              <w:t>1</w:t>
            </w:r>
            <w:r>
              <w:rPr>
                <w:rFonts w:hint="eastAsia" w:ascii="仿宋_GB2312" w:hAnsi="宋体" w:eastAsia="仿宋_GB2312" w:cs="仿宋_GB2312"/>
                <w:snapToGrid w:val="0"/>
                <w:kern w:val="0"/>
                <w:sz w:val="24"/>
                <w:lang w:bidi="ar"/>
              </w:rPr>
              <w:t>个县域中医药适宜技术推广中心。</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3</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补齐基层中医药短板</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加大专项资金投入，加快社区卫生服务中心（乡镇卫生院）中医诊疗区域软硬件建设，扩大中医药服务内涵，补齐基层中医药短板，全面建成“旗舰中医馆”和“中医阁”。</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100%</w:t>
            </w:r>
            <w:r>
              <w:rPr>
                <w:rFonts w:hint="eastAsia" w:ascii="仿宋_GB2312" w:hAnsi="宋体" w:eastAsia="仿宋_GB2312" w:cs="仿宋_GB2312"/>
                <w:snapToGrid w:val="0"/>
                <w:kern w:val="0"/>
                <w:sz w:val="24"/>
                <w:lang w:bidi="ar"/>
              </w:rPr>
              <w:t>的社区卫生服务中心（乡镇卫生院）规范开展</w:t>
            </w:r>
            <w:r>
              <w:rPr>
                <w:rFonts w:hint="eastAsia" w:eastAsia="仿宋_GB2312" w:cs="仿宋_GB2312"/>
                <w:snapToGrid w:val="0"/>
                <w:kern w:val="0"/>
                <w:sz w:val="24"/>
                <w:lang w:bidi="ar"/>
              </w:rPr>
              <w:t>6</w:t>
            </w:r>
            <w:r>
              <w:rPr>
                <w:rFonts w:hint="eastAsia" w:ascii="仿宋_GB2312" w:hAnsi="宋体" w:eastAsia="仿宋_GB2312" w:cs="仿宋_GB2312"/>
                <w:snapToGrid w:val="0"/>
                <w:kern w:val="0"/>
                <w:sz w:val="24"/>
                <w:lang w:bidi="ar"/>
              </w:rPr>
              <w:t>类</w:t>
            </w:r>
            <w:r>
              <w:rPr>
                <w:rFonts w:hint="eastAsia" w:eastAsia="仿宋_GB2312" w:cs="仿宋_GB2312"/>
                <w:snapToGrid w:val="0"/>
                <w:kern w:val="0"/>
                <w:sz w:val="24"/>
                <w:lang w:bidi="ar"/>
              </w:rPr>
              <w:t>10</w:t>
            </w:r>
            <w:r>
              <w:rPr>
                <w:rFonts w:hint="eastAsia" w:ascii="仿宋_GB2312" w:hAnsi="宋体" w:eastAsia="仿宋_GB2312" w:cs="仿宋_GB2312"/>
                <w:snapToGrid w:val="0"/>
                <w:kern w:val="0"/>
                <w:sz w:val="24"/>
                <w:lang w:bidi="ar"/>
              </w:rPr>
              <w:t>项以上中医药适宜技术，</w:t>
            </w:r>
            <w:r>
              <w:rPr>
                <w:rFonts w:hint="eastAsia" w:eastAsia="仿宋_GB2312" w:cs="仿宋_GB2312"/>
                <w:snapToGrid w:val="0"/>
                <w:kern w:val="0"/>
                <w:sz w:val="24"/>
                <w:lang w:bidi="ar"/>
              </w:rPr>
              <w:t>95%</w:t>
            </w:r>
            <w:r>
              <w:rPr>
                <w:rFonts w:hint="eastAsia" w:ascii="仿宋_GB2312" w:hAnsi="宋体" w:eastAsia="仿宋_GB2312" w:cs="仿宋_GB2312"/>
                <w:snapToGrid w:val="0"/>
                <w:kern w:val="0"/>
                <w:sz w:val="24"/>
                <w:lang w:bidi="ar"/>
              </w:rPr>
              <w:t>的社区卫生服务站和村卫生室规范开展</w:t>
            </w:r>
            <w:r>
              <w:rPr>
                <w:rFonts w:hint="eastAsia" w:eastAsia="仿宋_GB2312" w:cs="仿宋_GB2312"/>
                <w:snapToGrid w:val="0"/>
                <w:kern w:val="0"/>
                <w:sz w:val="24"/>
                <w:lang w:bidi="ar"/>
              </w:rPr>
              <w:t>4</w:t>
            </w:r>
            <w:r>
              <w:rPr>
                <w:rFonts w:hint="eastAsia" w:ascii="仿宋_GB2312" w:hAnsi="宋体" w:eastAsia="仿宋_GB2312" w:cs="仿宋_GB2312"/>
                <w:snapToGrid w:val="0"/>
                <w:kern w:val="0"/>
                <w:sz w:val="24"/>
                <w:lang w:bidi="ar"/>
              </w:rPr>
              <w:t>类</w:t>
            </w:r>
            <w:r>
              <w:rPr>
                <w:rFonts w:hint="eastAsia" w:eastAsia="仿宋_GB2312" w:cs="仿宋_GB2312"/>
                <w:snapToGrid w:val="0"/>
                <w:kern w:val="0"/>
                <w:sz w:val="24"/>
                <w:lang w:bidi="ar"/>
              </w:rPr>
              <w:t>6</w:t>
            </w:r>
            <w:r>
              <w:rPr>
                <w:rFonts w:hint="eastAsia" w:ascii="仿宋_GB2312" w:hAnsi="宋体" w:eastAsia="仿宋_GB2312" w:cs="仿宋_GB2312"/>
                <w:snapToGrid w:val="0"/>
                <w:kern w:val="0"/>
                <w:sz w:val="24"/>
                <w:lang w:bidi="ar"/>
              </w:rPr>
              <w:t>项以上中医药适宜技术，形成覆盖本辖区疾病谱主要疾病的中医临床专科服务网。</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4</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鼓励社会资本办中医</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对社会办医疗机构在准入、执业、医保等方面予以支持，营造公平竞争环境，创新多元经营模式，建成一批特色鲜明、服务优质具有市场竞争力的中医类社会办医疗机构。</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*市卫健委、市市场监管局、市医保局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支持民办中医医疗机构引入战略投资者与合作方，加强资本与品牌、管理的协同作用，重点建设老年病、骨科、康复、生殖、儿科、妇科、皮肤等专科。</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*市卫健委、市发改委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rPr>
              <w:t>到</w:t>
            </w:r>
            <w:r>
              <w:rPr>
                <w:rFonts w:hint="eastAsia" w:eastAsia="仿宋_GB2312" w:cs="仿宋_GB2312"/>
                <w:snapToGrid w:val="0"/>
                <w:kern w:val="0"/>
                <w:sz w:val="24"/>
              </w:rPr>
              <w:t>2025</w:t>
            </w:r>
            <w:r>
              <w:rPr>
                <w:rFonts w:hint="eastAsia" w:ascii="仿宋_GB2312" w:hAnsi="宋体" w:eastAsia="仿宋_GB2312" w:cs="仿宋_GB2312"/>
                <w:snapToGrid w:val="0"/>
                <w:kern w:val="0"/>
                <w:sz w:val="24"/>
              </w:rPr>
              <w:t>年，社会举办中医院床位占总中医类床位达到</w:t>
            </w:r>
            <w:r>
              <w:rPr>
                <w:rFonts w:hint="eastAsia" w:eastAsia="仿宋_GB2312" w:cs="仿宋_GB2312"/>
                <w:snapToGrid w:val="0"/>
                <w:kern w:val="0"/>
                <w:sz w:val="24"/>
              </w:rPr>
              <w:t>20%</w:t>
            </w:r>
            <w:r>
              <w:rPr>
                <w:rFonts w:hint="eastAsia" w:ascii="仿宋_GB2312" w:hAnsi="宋体" w:eastAsia="仿宋_GB2312" w:cs="仿宋_GB2312"/>
                <w:snapToGrid w:val="0"/>
                <w:kern w:val="0"/>
                <w:sz w:val="24"/>
              </w:rPr>
              <w:t>以上，二级以上中医类民营医院达到</w:t>
            </w:r>
            <w:r>
              <w:rPr>
                <w:rFonts w:hint="eastAsia" w:eastAsia="仿宋_GB2312" w:cs="仿宋_GB2312"/>
                <w:snapToGrid w:val="0"/>
                <w:kern w:val="0"/>
                <w:sz w:val="24"/>
              </w:rPr>
              <w:t>4</w:t>
            </w:r>
            <w:r>
              <w:rPr>
                <w:rFonts w:hint="eastAsia" w:ascii="仿宋_GB2312" w:hAnsi="宋体" w:eastAsia="仿宋_GB2312" w:cs="仿宋_GB2312"/>
                <w:snapToGrid w:val="0"/>
                <w:kern w:val="0"/>
                <w:sz w:val="24"/>
              </w:rPr>
              <w:t>家以上、中医门诊部达到</w:t>
            </w:r>
            <w:r>
              <w:rPr>
                <w:rFonts w:hint="eastAsia" w:eastAsia="仿宋_GB2312" w:cs="仿宋_GB2312"/>
                <w:snapToGrid w:val="0"/>
                <w:kern w:val="0"/>
                <w:sz w:val="24"/>
              </w:rPr>
              <w:t>40</w:t>
            </w:r>
            <w:r>
              <w:rPr>
                <w:rFonts w:hint="eastAsia" w:ascii="仿宋_GB2312" w:hAnsi="宋体" w:eastAsia="仿宋_GB2312" w:cs="仿宋_GB2312"/>
                <w:snapToGrid w:val="0"/>
                <w:kern w:val="0"/>
                <w:sz w:val="24"/>
              </w:rPr>
              <w:t>家以上，中医类诊所达到</w:t>
            </w:r>
            <w:r>
              <w:rPr>
                <w:rFonts w:hint="eastAsia" w:eastAsia="仿宋_GB2312" w:cs="仿宋_GB2312"/>
                <w:snapToGrid w:val="0"/>
                <w:kern w:val="0"/>
                <w:sz w:val="24"/>
              </w:rPr>
              <w:t>600</w:t>
            </w:r>
            <w:r>
              <w:rPr>
                <w:rFonts w:hint="eastAsia" w:ascii="仿宋_GB2312" w:hAnsi="宋体" w:eastAsia="仿宋_GB2312" w:cs="仿宋_GB2312"/>
                <w:snapToGrid w:val="0"/>
                <w:kern w:val="0"/>
                <w:sz w:val="24"/>
              </w:rPr>
              <w:t>家以上。</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*市卫健委、市发改委、市市场监管局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5</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加快中医数字化医院</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开展智慧中医医院建设，强化提升基层医疗卫生机构中医馆和诊所（村卫生室、门诊部等）中医阁数字化水平，全面接入“瓯越云中医”应用，构建市县乡村同质化的中医药数字化服务网络体系。</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年，三级中医院电子病历应用水平分级达到</w:t>
            </w:r>
            <w:r>
              <w:rPr>
                <w:rFonts w:hint="eastAsia" w:eastAsia="仿宋_GB2312" w:cs="仿宋_GB2312"/>
                <w:snapToGrid w:val="0"/>
                <w:kern w:val="0"/>
                <w:sz w:val="24"/>
                <w:lang w:bidi="ar"/>
              </w:rPr>
              <w:t>5</w:t>
            </w:r>
            <w:r>
              <w:rPr>
                <w:rFonts w:hint="eastAsia" w:ascii="仿宋_GB2312" w:hAnsi="宋体" w:eastAsia="仿宋_GB2312" w:cs="仿宋_GB2312"/>
                <w:snapToGrid w:val="0"/>
                <w:kern w:val="0"/>
                <w:sz w:val="24"/>
                <w:lang w:bidi="ar"/>
              </w:rPr>
              <w:t>级，二级中医院电子病历应用水平分级达到</w:t>
            </w:r>
            <w:r>
              <w:rPr>
                <w:rFonts w:hint="eastAsia" w:eastAsia="仿宋_GB2312" w:cs="仿宋_GB2312"/>
                <w:snapToGrid w:val="0"/>
                <w:kern w:val="0"/>
                <w:sz w:val="24"/>
                <w:lang w:bidi="ar"/>
              </w:rPr>
              <w:t>3</w:t>
            </w:r>
            <w:r>
              <w:rPr>
                <w:rFonts w:hint="eastAsia" w:ascii="仿宋_GB2312" w:hAnsi="宋体" w:eastAsia="仿宋_GB2312" w:cs="仿宋_GB2312"/>
                <w:snapToGrid w:val="0"/>
                <w:kern w:val="0"/>
                <w:sz w:val="24"/>
                <w:lang w:bidi="ar"/>
              </w:rPr>
              <w:t>级以上。</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6</w:t>
            </w:r>
          </w:p>
        </w:tc>
        <w:tc>
          <w:tcPr>
            <w:tcW w:w="252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实施共享中药房应用</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加快推进</w:t>
            </w:r>
            <w:r>
              <w:rPr>
                <w:rFonts w:hint="eastAsia" w:eastAsia="仿宋_GB2312" w:cs="仿宋_GB2312"/>
                <w:snapToGrid w:val="0"/>
                <w:kern w:val="0"/>
                <w:sz w:val="24"/>
                <w:lang w:bidi="ar"/>
              </w:rPr>
              <w:t>HIS</w:t>
            </w:r>
            <w:r>
              <w:rPr>
                <w:rFonts w:hint="eastAsia" w:ascii="仿宋_GB2312" w:hAnsi="宋体" w:eastAsia="仿宋_GB2312" w:cs="仿宋_GB2312"/>
                <w:snapToGrid w:val="0"/>
                <w:kern w:val="0"/>
                <w:sz w:val="24"/>
                <w:lang w:bidi="ar"/>
              </w:rPr>
              <w:t>系统、共享中药房、中药代煎机构与“瓯越云中医”应用对接改造，以中医标准化处方为基础，推动区域范围内处方流转，与“浙里药店”应用实现对接，实行中药饮片统一采购、审方、调配、代煎、配送的全过程同质化管理。</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年，实现共享中药房基层全覆盖，开方、审方、饮片代煎到物流配送环节数据归集全贯通。</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*市卫健委、市市场监管局、各县（市、区）人民政府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7</w:t>
            </w:r>
          </w:p>
        </w:tc>
        <w:tc>
          <w:tcPr>
            <w:tcW w:w="252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打造“家有中医”应用场景</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加快打通“健康温州”居民手机端应用，提供处方订单、代煎流程、配送物流信息查询、中医药健康教育、自我健康管理等功能的“一站式”便民健康服务。</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年，居民应用覆盖量达</w:t>
            </w:r>
            <w:r>
              <w:rPr>
                <w:rFonts w:hint="eastAsia" w:eastAsia="仿宋_GB2312" w:cs="仿宋_GB2312"/>
                <w:snapToGrid w:val="0"/>
                <w:kern w:val="0"/>
                <w:sz w:val="24"/>
                <w:lang w:bidi="ar"/>
              </w:rPr>
              <w:t>200</w:t>
            </w:r>
            <w:r>
              <w:rPr>
                <w:rFonts w:hint="eastAsia" w:ascii="仿宋_GB2312" w:hAnsi="宋体" w:eastAsia="仿宋_GB2312" w:cs="仿宋_GB2312"/>
                <w:snapToGrid w:val="0"/>
                <w:kern w:val="0"/>
                <w:sz w:val="24"/>
                <w:lang w:bidi="ar"/>
              </w:rPr>
              <w:t>万。</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*市卫健委、市市场监管局、各县（市、区）人民政府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8</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开放中医药对外服务</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平台</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依托温侨温商资源、温医大国际化发展资源和国家特色服务出口基地（中医药），建成“中医惠侨”基地，打造集远程咨询诊疗、跨境支付和智慧药房为一体的“互联网+”中西医结合医疗服务平台。</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*市卫健委、温州医科大学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鼓励市场主体依托对外服务平台，以市场化方式开发中医药电子贸易，推动中医药企业探索数字营销新路径，使中医药走出国门，走向世界。</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*市商务局、市卫健委</w:t>
            </w:r>
            <w:r>
              <w:rPr>
                <w:rFonts w:hint="eastAsia" w:ascii="仿宋_GB2312" w:hAnsi="宋体" w:eastAsia="仿宋_GB2312" w:cs="仿宋_GB2312"/>
                <w:snapToGrid w:val="0"/>
                <w:kern w:val="0"/>
                <w:sz w:val="24"/>
              </w:rPr>
              <w:t>、</w:t>
            </w:r>
            <w:r>
              <w:rPr>
                <w:rFonts w:hint="eastAsia" w:ascii="仿宋_GB2312" w:hAnsi="宋体" w:eastAsia="仿宋_GB2312" w:cs="仿宋_GB2312"/>
                <w:snapToGrid w:val="0"/>
                <w:kern w:val="0"/>
                <w:sz w:val="24"/>
                <w:lang w:bidi="ar"/>
              </w:rPr>
              <w:t>温州医科大学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9</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打造中医药科创综合</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体系</w:t>
            </w: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依托“一室一园两谷”，整合中医药教育、科研等资源，构建中医药创新生态链。</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*市科技局、市经信局、市卫健委、市委台办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支持三级以上中医院入驻瓯江实验室等科研创新平台，申请创建符合国际标准的临床试验研究中心，承接国际多中心临床试验研究项目。</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挖掘、整理、研究中医临床验方并促进转化为院内制剂。高效开发院内制剂向颗粒剂转化，全面推广在医共体（医联体）、专科联盟成员单位使用。</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开展对温郁金、莪术油、铁皮石斛等一系列温州特色中药材的基础研究与应用研究，实现地方特色中药材的经济效益。</w:t>
            </w:r>
          </w:p>
        </w:tc>
        <w:tc>
          <w:tcPr>
            <w:tcW w:w="2853" w:type="dxa"/>
            <w:noWrap w:val="0"/>
            <w:tcMar>
              <w:top w:w="15" w:type="dxa"/>
              <w:left w:w="15" w:type="dxa"/>
              <w:right w:w="15" w:type="dxa"/>
            </w:tcMar>
            <w:vAlign w:val="center"/>
          </w:tcPr>
          <w:p>
            <w:pPr>
              <w:overflowPunct w:val="0"/>
              <w:adjustRightInd w:val="0"/>
              <w:snapToGrid w:val="0"/>
              <w:spacing w:line="306" w:lineRule="exact"/>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*市农业农村局、市科技局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10</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打造中医药循证</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医学高地</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在中国眼谷设立国家眼科中医药适宜技术产业基地，开展国家中西医结合近视防控、国家中西医结合主动眼健康重点研发专项，开展眼健康中药真实世界和中医器械真实世界试点研究，助力一批创新中医药现代化产品研发上市。</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*市市场监管局、市卫健委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温医大附属眼视光医院建设国家中西医结合眼科旗舰医院，打造国内领先、国际一流中医眼科。</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*温州医科大学、市卫健委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市中医院建设省级中医药重点实验室和培育脑血管病康针药结合诊治传承创新团队，市中西医结合医院培育院内制剂研发和转化中医药多学科交叉创新团队。</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11</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强化中医药专科（学科）</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建设</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力争新培育国家、省重点专科（学科）</w:t>
            </w:r>
            <w:r>
              <w:rPr>
                <w:rFonts w:hint="eastAsia" w:eastAsia="仿宋_GB2312" w:cs="仿宋_GB2312"/>
                <w:snapToGrid w:val="0"/>
                <w:kern w:val="0"/>
                <w:sz w:val="24"/>
                <w:lang w:bidi="ar"/>
              </w:rPr>
              <w:t>6</w:t>
            </w:r>
            <w:r>
              <w:rPr>
                <w:rFonts w:hint="eastAsia" w:ascii="仿宋_GB2312" w:hAnsi="宋体" w:eastAsia="仿宋_GB2312" w:cs="仿宋_GB2312"/>
                <w:snapToGrid w:val="0"/>
                <w:kern w:val="0"/>
                <w:sz w:val="24"/>
                <w:lang w:bidi="ar"/>
              </w:rPr>
              <w:t>个以上，市级、县级重点专科（学科）增至</w:t>
            </w:r>
            <w:r>
              <w:rPr>
                <w:rFonts w:hint="eastAsia" w:eastAsia="仿宋_GB2312" w:cs="仿宋_GB2312"/>
                <w:snapToGrid w:val="0"/>
                <w:kern w:val="0"/>
                <w:sz w:val="24"/>
                <w:lang w:bidi="ar"/>
              </w:rPr>
              <w:t>100</w:t>
            </w:r>
            <w:r>
              <w:rPr>
                <w:rFonts w:hint="eastAsia" w:ascii="仿宋_GB2312" w:hAnsi="宋体" w:eastAsia="仿宋_GB2312" w:cs="仿宋_GB2312"/>
                <w:snapToGrid w:val="0"/>
                <w:kern w:val="0"/>
                <w:sz w:val="24"/>
                <w:lang w:bidi="ar"/>
              </w:rPr>
              <w:t>个以上。</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以优势学科和（或）重点扶持学科为主体、相关学科共同参与的“</w:t>
            </w:r>
            <w:r>
              <w:rPr>
                <w:rFonts w:hint="eastAsia" w:eastAsia="仿宋_GB2312" w:cs="仿宋_GB2312"/>
                <w:snapToGrid w:val="0"/>
                <w:kern w:val="0"/>
                <w:sz w:val="24"/>
                <w:lang w:bidi="ar"/>
              </w:rPr>
              <w:t>1</w:t>
            </w:r>
            <w:r>
              <w:rPr>
                <w:rFonts w:hint="eastAsia" w:ascii="仿宋_GB2312" w:hAnsi="宋体" w:eastAsia="仿宋_GB2312" w:cs="仿宋_GB2312"/>
                <w:snapToGrid w:val="0"/>
                <w:kern w:val="0"/>
                <w:sz w:val="24"/>
                <w:lang w:bidi="ar"/>
              </w:rPr>
              <w:t>+</w:t>
            </w:r>
            <w:r>
              <w:rPr>
                <w:rFonts w:hint="eastAsia" w:eastAsia="仿宋_GB2312" w:cs="仿宋_GB2312"/>
                <w:snapToGrid w:val="0"/>
                <w:kern w:val="0"/>
                <w:sz w:val="24"/>
                <w:lang w:bidi="ar"/>
              </w:rPr>
              <w:t>N</w:t>
            </w:r>
            <w:r>
              <w:rPr>
                <w:rFonts w:hint="eastAsia" w:ascii="仿宋_GB2312" w:hAnsi="宋体" w:eastAsia="仿宋_GB2312" w:cs="仿宋_GB2312"/>
                <w:snapToGrid w:val="0"/>
                <w:kern w:val="0"/>
                <w:sz w:val="24"/>
                <w:lang w:bidi="ar"/>
              </w:rPr>
              <w:t>”学科群为基础，建设重大疾病诊疗领域的中西医优势专科或特色专科，加快优势专科、亚专科培育。到</w:t>
            </w:r>
            <w:r>
              <w:rPr>
                <w:rFonts w:hint="eastAsia" w:eastAsia="仿宋_GB2312" w:cs="仿宋_GB2312"/>
                <w:snapToGrid w:val="0"/>
                <w:kern w:val="0"/>
                <w:sz w:val="24"/>
                <w:lang w:bidi="ar"/>
              </w:rPr>
              <w:t>2025</w:t>
            </w:r>
            <w:r>
              <w:rPr>
                <w:rFonts w:hint="eastAsia" w:ascii="仿宋_GB2312" w:hAnsi="宋体" w:eastAsia="仿宋_GB2312" w:cs="仿宋_GB2312"/>
                <w:snapToGrid w:val="0"/>
                <w:kern w:val="0"/>
                <w:sz w:val="24"/>
                <w:lang w:bidi="ar"/>
              </w:rPr>
              <w:t>年，全市建成中医妇科、康复科、皮肤科、脑病和骨科等</w:t>
            </w:r>
            <w:r>
              <w:rPr>
                <w:rFonts w:hint="eastAsia" w:eastAsia="仿宋_GB2312" w:cs="仿宋_GB2312"/>
                <w:snapToGrid w:val="0"/>
                <w:kern w:val="0"/>
                <w:sz w:val="24"/>
                <w:lang w:bidi="ar"/>
              </w:rPr>
              <w:t>5</w:t>
            </w:r>
            <w:r>
              <w:rPr>
                <w:rFonts w:hint="eastAsia" w:ascii="仿宋_GB2312" w:hAnsi="宋体" w:eastAsia="仿宋_GB2312" w:cs="仿宋_GB2312"/>
                <w:snapToGrid w:val="0"/>
                <w:kern w:val="0"/>
                <w:sz w:val="24"/>
                <w:lang w:bidi="ar"/>
              </w:rPr>
              <w:t>个国家中医优势专科，每个优势专科建成</w:t>
            </w:r>
            <w:r>
              <w:rPr>
                <w:rFonts w:hint="eastAsia" w:eastAsia="仿宋_GB2312" w:cs="仿宋_GB2312"/>
                <w:snapToGrid w:val="0"/>
                <w:kern w:val="0"/>
                <w:sz w:val="24"/>
                <w:lang w:bidi="ar"/>
              </w:rPr>
              <w:t>5</w:t>
            </w:r>
            <w:r>
              <w:rPr>
                <w:rFonts w:hint="eastAsia" w:ascii="仿宋_GB2312" w:hAnsi="宋体" w:eastAsia="仿宋_GB2312" w:cs="仿宋_GB2312"/>
                <w:snapToGrid w:val="0"/>
                <w:kern w:val="0"/>
                <w:sz w:val="24"/>
                <w:lang w:bidi="ar"/>
              </w:rPr>
              <w:t>个以上亚专科。</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建设中医药特色研究型病房（转化型病房和创新型病房），创新中医药临床研究方法，促进中医药创新成果转化。</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12</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打造浙南特色中药谷</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推进中药材种子种苗繁育基地建设，重点培育铁皮石斛特色品种，形成“种研产供销”产业管理链，提高铁皮石斛产品附加值和核心竞争力，开展温郁金和黄栀子新品种选育的重大专项研究。</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*市农业农村局、市科技局、省亚作所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建设道地药园和中药材特色强镇，开展温山药等区域性地理标志申报注册，加快铁皮石斛、温郁金、温栀子、温山药、温薏仁、山银花等“温六味”道地药材基地建设，打造浙南特色优势中药材产区。</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*市农业农村局、市科技局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支持温医大药学院科研团队致力于郁金香、铁皮石斛等道地中药材的科研项目，并促成项目转化应用。</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温州医科大学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促进中药产业转型升级，培育壮大中药材加工企业，推广企业+基地+农户（合作社）模式，积极培育中药材品种产业集群，扶植本地莪术油原料原研生产厂家，推动“一县一品”“一县多品”全链条发展。</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*市农业农村局、各县（市、区）人民政府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13</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打造中医药健康旅游</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示范基地</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借助“世界铁皮石斛之乡”“世界温郁金之乡”之名，建设一批中医药特色旅游基地、中医药养生体验基地。</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*市农业农村局、市文广旅局、各县（市、区）人民政府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依托瓯江沿线中药材种植基地、名医馆、中药企业、中药材市场、中医药博物馆、研学教育基地等，打造中医药文化主题精品旅游线路。</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*市文广旅局、市卫健委、各县（市、区）人民政府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13</w:t>
            </w:r>
          </w:p>
        </w:tc>
        <w:tc>
          <w:tcPr>
            <w:tcW w:w="252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打造中医药健康旅游</w:t>
            </w:r>
          </w:p>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示范基地</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大南塘中医特色街区建设，扩大名中医入驻，提升中医药诊疗服务能力，提供特色养生体验、特色中医康复、中医药美容保健、传统医疗体育等旅游产品，打造成为有特色和吸引力的“全国特色中医药第一街（镇）”。</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*鹿城区人民政府、市城发集团、市文广旅局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14</w:t>
            </w:r>
          </w:p>
        </w:tc>
        <w:tc>
          <w:tcPr>
            <w:tcW w:w="2520" w:type="dxa"/>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打造中医药创新服务</w:t>
            </w:r>
          </w:p>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综合体</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spacing w:val="-4"/>
                <w:kern w:val="0"/>
                <w:sz w:val="24"/>
                <w:lang w:bidi="ar"/>
              </w:rPr>
            </w:pPr>
            <w:r>
              <w:rPr>
                <w:rFonts w:hint="eastAsia" w:ascii="仿宋_GB2312" w:hAnsi="宋体" w:eastAsia="仿宋_GB2312" w:cs="仿宋_GB2312"/>
                <w:snapToGrid w:val="0"/>
                <w:spacing w:val="-4"/>
                <w:kern w:val="0"/>
                <w:sz w:val="24"/>
                <w:lang w:bidi="ar"/>
              </w:rPr>
              <w:t>提档升级苍南参茸市场，全面建成产销有效衔接、线上线下融合、内外贸易协同发展的温产药材交易市场。发展参茸滋补品电子商务，举办中国（苍南）康养滋补品博览会暨参茸采购节。到</w:t>
            </w:r>
            <w:r>
              <w:rPr>
                <w:rFonts w:hint="eastAsia" w:eastAsia="仿宋_GB2312" w:cs="仿宋_GB2312"/>
                <w:snapToGrid w:val="0"/>
                <w:spacing w:val="-4"/>
                <w:kern w:val="0"/>
                <w:sz w:val="24"/>
                <w:lang w:bidi="ar"/>
              </w:rPr>
              <w:t>2025</w:t>
            </w:r>
            <w:r>
              <w:rPr>
                <w:rFonts w:hint="eastAsia" w:ascii="仿宋_GB2312" w:hAnsi="宋体" w:eastAsia="仿宋_GB2312" w:cs="仿宋_GB2312"/>
                <w:snapToGrid w:val="0"/>
                <w:spacing w:val="-4"/>
                <w:kern w:val="0"/>
                <w:sz w:val="24"/>
                <w:lang w:bidi="ar"/>
              </w:rPr>
              <w:t>年，苍南县打造成为全国知名中药材专业市场集聚区。</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*苍南县人民政府、市市场监管局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15</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弘扬中医药文化</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建设“永嘉医派研究院”、 温州市中医药文化博物馆，加强中医药非物质文化遗产保护，实现中医药文化创造性转化、创新性发展。</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按品牌化、优质化、规范化、标准化的要求建设标志性温州市名医堂馆，在县（市、区）建设分馆，共享名医资源，服务基层群众。</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spacing w:val="-4"/>
                <w:kern w:val="0"/>
                <w:sz w:val="24"/>
                <w:lang w:bidi="ar"/>
              </w:rPr>
            </w:pPr>
            <w:r>
              <w:rPr>
                <w:rFonts w:hint="eastAsia" w:ascii="仿宋_GB2312" w:hAnsi="宋体" w:eastAsia="仿宋_GB2312" w:cs="仿宋_GB2312"/>
                <w:snapToGrid w:val="0"/>
                <w:spacing w:val="-4"/>
                <w:kern w:val="0"/>
                <w:sz w:val="24"/>
                <w:lang w:bidi="ar"/>
              </w:rPr>
              <w:t>以“利济医学堂”为核心，提升玉海街道忠义街中医药特色街区品牌，布局名中医馆、中医药博物馆、中医康养保健中心，促进中医药产业与忠义街历史街区融合发展。</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*瑞安市人民政府、市卫健委、市文广旅局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16</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加强多层次人才培养</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建立符合中医药规律的人才评价标准，将业务能力和工作实绩作为中医药专业技术人员职称评聘重点，打造一支梯队合理的多层次中医药人才队伍。</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*市卫健委、市人社局、各县（市、区）人民政府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rPr>
              <w:t>加快温医大中医药二级学院（系）建设，扩大中医药专业招生规模。</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*温州医科大学、市教育局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rPr>
              <w:t>实施“瓯越英才”计划，培养一批高水平中医临床人才和多学科交叉的中医药创新型领军人才。</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*市卫健委、市委组织部（人才办）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5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2520" w:type="dxa"/>
            <w:vMerge w:val="continue"/>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lang w:bidi="ar"/>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rPr>
              <w:t>开展基层中医药人才定向培养、研修、师承和培训，培育一批中医馆骨干人才和“能中会西”的基层医生。</w:t>
            </w:r>
          </w:p>
        </w:tc>
        <w:tc>
          <w:tcPr>
            <w:tcW w:w="2853" w:type="dxa"/>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*市卫健委、各县（市、区）人民政府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144" w:hRule="atLeast"/>
          <w:jc w:val="center"/>
        </w:trPr>
        <w:tc>
          <w:tcPr>
            <w:tcW w:w="729"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eastAsia="仿宋_GB2312" w:cs="仿宋_GB2312"/>
                <w:snapToGrid w:val="0"/>
                <w:kern w:val="0"/>
                <w:sz w:val="24"/>
                <w:lang w:bidi="ar"/>
              </w:rPr>
              <w:t>17</w:t>
            </w:r>
          </w:p>
        </w:tc>
        <w:tc>
          <w:tcPr>
            <w:tcW w:w="2520" w:type="dxa"/>
            <w:vMerge w:val="restart"/>
            <w:noWrap w:val="0"/>
            <w:tcMar>
              <w:top w:w="15" w:type="dxa"/>
              <w:left w:w="15" w:type="dxa"/>
              <w:right w:w="15" w:type="dxa"/>
            </w:tcMar>
            <w:vAlign w:val="center"/>
          </w:tcPr>
          <w:p>
            <w:pPr>
              <w:overflowPunct w:val="0"/>
              <w:adjustRightInd w:val="0"/>
              <w:snapToGrid w:val="0"/>
              <w:jc w:val="center"/>
              <w:textAlignment w:val="center"/>
              <w:rPr>
                <w:rFonts w:hint="eastAsia" w:ascii="仿宋_GB2312" w:hAnsi="宋体" w:eastAsia="仿宋_GB2312" w:cs="仿宋_GB2312"/>
                <w:snapToGrid w:val="0"/>
                <w:kern w:val="0"/>
                <w:sz w:val="24"/>
              </w:rPr>
            </w:pPr>
            <w:r>
              <w:rPr>
                <w:rFonts w:hint="eastAsia" w:ascii="仿宋_GB2312" w:hAnsi="宋体" w:eastAsia="仿宋_GB2312" w:cs="仿宋_GB2312"/>
                <w:snapToGrid w:val="0"/>
                <w:kern w:val="0"/>
                <w:sz w:val="24"/>
                <w:lang w:bidi="ar"/>
              </w:rPr>
              <w:t>加大政策保障力度</w:t>
            </w: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持续健全符合中医药特点的多元复合医保支付方式，根据中医医疗机构的特点合理确定总额预算增长指标；优化中医中治率与医保支付挂钩的正向激励机制；逐步扩大中医优势病种激励范围，遴选优势明显、治疗路径清晰、费用明确的中医优势病种，对同病同效的中医治疗病例给予西医治疗病组相近的支付标准；对中医康复等长期住院治疗且日均费用较稳定的疾病实行按床日付费。健全完善中医医疗服务价格形成机制，适时动态调整提高体现劳务价值的中医医疗服务项目价格。</w:t>
            </w:r>
          </w:p>
        </w:tc>
        <w:tc>
          <w:tcPr>
            <w:tcW w:w="2853" w:type="dxa"/>
            <w:vMerge w:val="restart"/>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*市医保局、市财政局、市卫健委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22" w:hRule="atLeast"/>
          <w:jc w:val="center"/>
        </w:trPr>
        <w:tc>
          <w:tcPr>
            <w:tcW w:w="729"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2520" w:type="dxa"/>
            <w:vMerge w:val="continue"/>
            <w:noWrap w:val="0"/>
            <w:tcMar>
              <w:top w:w="15" w:type="dxa"/>
              <w:left w:w="15" w:type="dxa"/>
              <w:right w:w="15" w:type="dxa"/>
            </w:tcMar>
            <w:vAlign w:val="center"/>
          </w:tcPr>
          <w:p>
            <w:pPr>
              <w:overflowPunct w:val="0"/>
              <w:adjustRightInd w:val="0"/>
              <w:snapToGrid w:val="0"/>
              <w:jc w:val="center"/>
              <w:rPr>
                <w:rFonts w:hint="eastAsia" w:ascii="仿宋_GB2312" w:hAnsi="宋体" w:eastAsia="仿宋_GB2312" w:cs="仿宋_GB2312"/>
                <w:snapToGrid w:val="0"/>
                <w:kern w:val="0"/>
                <w:sz w:val="24"/>
              </w:rPr>
            </w:pPr>
          </w:p>
        </w:tc>
        <w:tc>
          <w:tcPr>
            <w:tcW w:w="8640" w:type="dxa"/>
            <w:noWrap/>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r>
              <w:rPr>
                <w:rFonts w:hint="eastAsia" w:ascii="仿宋_GB2312" w:hAnsi="宋体" w:eastAsia="仿宋_GB2312" w:cs="仿宋_GB2312"/>
                <w:snapToGrid w:val="0"/>
                <w:kern w:val="0"/>
                <w:sz w:val="24"/>
                <w:lang w:bidi="ar"/>
              </w:rPr>
              <w:t>纳入国家中医药传承创新发展试验区、示范区（示范试点）的地方，可先行先试制定医疗保障支持中医药传承创新发展的政策，在医保基金增速控制良好的情况下，可启动中医医疗服务价格调整，按不高于省定最高价格或省市联动调整。</w:t>
            </w:r>
          </w:p>
        </w:tc>
        <w:tc>
          <w:tcPr>
            <w:tcW w:w="2853" w:type="dxa"/>
            <w:vMerge w:val="continue"/>
            <w:noWrap w:val="0"/>
            <w:tcMar>
              <w:top w:w="15" w:type="dxa"/>
              <w:left w:w="15" w:type="dxa"/>
              <w:right w:w="15" w:type="dxa"/>
            </w:tcMar>
            <w:vAlign w:val="center"/>
          </w:tcPr>
          <w:p>
            <w:pPr>
              <w:overflowPunct w:val="0"/>
              <w:adjustRightInd w:val="0"/>
              <w:snapToGrid w:val="0"/>
              <w:textAlignment w:val="center"/>
              <w:rPr>
                <w:rFonts w:hint="eastAsia" w:ascii="仿宋_GB2312" w:hAnsi="宋体" w:eastAsia="仿宋_GB2312" w:cs="仿宋_GB2312"/>
                <w:snapToGrid w:val="0"/>
                <w:kern w:val="0"/>
                <w:sz w:val="24"/>
                <w:lang w:bidi="ar"/>
              </w:rPr>
            </w:pPr>
          </w:p>
        </w:tc>
      </w:tr>
    </w:tbl>
    <w:p>
      <w:pPr>
        <w:overflowPunct w:val="0"/>
        <w:adjustRightInd w:val="0"/>
        <w:snapToGrid w:val="0"/>
        <w:spacing w:line="570" w:lineRule="exact"/>
        <w:rPr>
          <w:rFonts w:hint="eastAsia" w:ascii="仿宋_GB2312" w:hAnsi="宋体" w:eastAsia="仿宋_GB2312" w:cs="仿宋_GB2312"/>
          <w:snapToGrid w:val="0"/>
          <w:kern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FE00FA7"/>
    <w:rsid w:val="66620D05"/>
    <w:rsid w:val="6FE00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napToGrid w:val="0"/>
      <w:spacing w:line="336" w:lineRule="auto"/>
      <w:ind w:firstLine="645"/>
    </w:pPr>
    <w:rPr>
      <w:rFonts w:ascii="仿宋_GB2312" w:eastAsia="仿宋_GB2312"/>
      <w:spacing w:val="-4"/>
      <w:sz w:val="32"/>
      <w:szCs w:val="20"/>
    </w:rPr>
  </w:style>
  <w:style w:type="paragraph" w:styleId="3">
    <w:name w:val="Normal (Web)"/>
    <w:basedOn w:val="1"/>
    <w:qFormat/>
    <w:uiPriority w:val="0"/>
    <w:pPr>
      <w:spacing w:before="100" w:beforeAutospacing="1" w:after="100" w:afterAutospacing="1"/>
      <w:jc w:val="left"/>
    </w:pPr>
    <w:rPr>
      <w:rFonts w:ascii="Calibri" w:hAnsi="Calibri"/>
      <w:kern w:val="0"/>
      <w:sz w:val="24"/>
    </w:rPr>
  </w:style>
  <w:style w:type="paragraph" w:styleId="4">
    <w:name w:val="Body Text First Indent 2"/>
    <w:basedOn w:val="2"/>
    <w:unhideWhenUsed/>
    <w:qFormat/>
    <w:uiPriority w:val="0"/>
    <w:pPr>
      <w:snapToGrid/>
      <w:spacing w:after="120" w:line="240" w:lineRule="auto"/>
      <w:ind w:left="420" w:leftChars="200" w:firstLine="420" w:firstLineChars="200"/>
    </w:pPr>
    <w:rPr>
      <w:rFonts w:ascii="Calibri" w:hAnsi="Calibri" w:eastAsia="宋体"/>
      <w:spacing w:val="0"/>
      <w:sz w:val="21"/>
      <w:szCs w:val="24"/>
    </w:rPr>
  </w:style>
  <w:style w:type="paragraph" w:customStyle="1" w:styleId="7">
    <w:name w:val="BodyText1I2"/>
    <w:basedOn w:val="1"/>
    <w:qFormat/>
    <w:uiPriority w:val="0"/>
    <w:pPr>
      <w:spacing w:after="120"/>
      <w:ind w:left="420" w:leftChars="200" w:firstLine="420" w:firstLineChars="200"/>
    </w:pPr>
    <w:rPr>
      <w:rFonts w:ascii="Calibri" w:hAnsi="Calibri"/>
    </w:rPr>
  </w:style>
  <w:style w:type="paragraph" w:customStyle="1" w:styleId="8">
    <w:name w:val="正文文本1"/>
    <w:basedOn w:val="1"/>
    <w:qFormat/>
    <w:uiPriority w:val="0"/>
    <w:rPr>
      <w:rFonts w:ascii="Calibri" w:hAnsi="Calibri"/>
    </w:rPr>
  </w:style>
  <w:style w:type="paragraph" w:customStyle="1" w:styleId="9">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2023-10-26T03:18:00Z</dcterms:created>
  <dc:creator>燕</dc:creator>
  <cp:lastModifiedBy>燕</cp:lastModifiedBy>
  <dcterms:modified xsi:type="dcterms:W3CDTF">2023-10-26T03:20:49Z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97F535D00A0D4955BE2C02194CFFE565_11</vt:lpwstr>
  </property>
</Properties>
</file>