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98" w:rsidRDefault="00433C98" w:rsidP="00433C98">
      <w:pPr>
        <w:pStyle w:val="a5"/>
        <w:jc w:val="center"/>
        <w:rPr>
          <w:rFonts w:ascii="方正小标宋_GBK" w:eastAsia="方正小标宋_GBK"/>
        </w:rPr>
      </w:pPr>
      <w:r>
        <w:rPr>
          <w:rFonts w:ascii="方正小标宋_GBK" w:eastAsia="方正小标宋_GBK" w:hAnsi="黑体" w:hint="eastAsia"/>
          <w:sz w:val="44"/>
          <w:szCs w:val="44"/>
        </w:rPr>
        <w:t>温州市统计局</w:t>
      </w:r>
      <w:bookmarkStart w:id="0" w:name="_GoBack"/>
      <w:bookmarkEnd w:id="0"/>
      <w:r>
        <w:rPr>
          <w:rFonts w:ascii="方正小标宋_GBK" w:eastAsia="方正小标宋_GBK" w:hAnsi="黑体" w:hint="eastAsia"/>
          <w:sz w:val="44"/>
          <w:szCs w:val="44"/>
        </w:rPr>
        <w:t xml:space="preserve">2017年度部门决算 </w:t>
      </w:r>
    </w:p>
    <w:p w:rsidR="00433C98" w:rsidRDefault="00433C98" w:rsidP="00433C98">
      <w:pPr>
        <w:pStyle w:val="a5"/>
        <w:spacing w:before="0" w:beforeAutospacing="0" w:after="0" w:afterAutospacing="0" w:line="560" w:lineRule="exact"/>
        <w:jc w:val="both"/>
        <w:rPr>
          <w:rFonts w:ascii="黑体" w:eastAsia="黑体" w:hAnsi="黑体"/>
          <w:b/>
        </w:rPr>
      </w:pPr>
      <w:r>
        <w:rPr>
          <w:rStyle w:val="a6"/>
          <w:rFonts w:ascii="黑体" w:eastAsia="黑体" w:hAnsi="黑体" w:hint="eastAsia"/>
          <w:b w:val="0"/>
          <w:sz w:val="32"/>
          <w:szCs w:val="32"/>
        </w:rPr>
        <w:t xml:space="preserve">    一、2017年度部门决算概况 </w:t>
      </w:r>
    </w:p>
    <w:p w:rsidR="00433C98" w:rsidRDefault="00433C98" w:rsidP="00433C98">
      <w:pPr>
        <w:spacing w:line="560" w:lineRule="exact"/>
        <w:ind w:firstLine="640"/>
        <w:jc w:val="both"/>
        <w:rPr>
          <w:rFonts w:ascii="楷体_GB2312" w:eastAsia="楷体_GB2312"/>
        </w:rPr>
      </w:pPr>
      <w:r>
        <w:rPr>
          <w:rStyle w:val="a6"/>
          <w:rFonts w:ascii="楷体_GB2312" w:eastAsia="楷体_GB2312" w:hAnsi="楷体" w:cs="Arial" w:hint="eastAsia"/>
          <w:sz w:val="32"/>
          <w:szCs w:val="32"/>
        </w:rPr>
        <w:t xml:space="preserve">（一）主要职能 </w:t>
      </w:r>
    </w:p>
    <w:p w:rsidR="00433C98" w:rsidRDefault="00433C98" w:rsidP="00433C98">
      <w:pPr>
        <w:adjustRightInd w:val="0"/>
        <w:snapToGrid w:val="0"/>
        <w:spacing w:line="560" w:lineRule="exact"/>
        <w:ind w:firstLineChars="200" w:firstLine="640"/>
        <w:jc w:val="both"/>
        <w:rPr>
          <w:rFonts w:eastAsia="楷体_GB2312"/>
          <w:b/>
          <w:snapToGrid w:val="0"/>
          <w:sz w:val="32"/>
          <w:szCs w:val="32"/>
        </w:rPr>
      </w:pPr>
      <w:r>
        <w:rPr>
          <w:rFonts w:eastAsia="仿宋_GB2312" w:hint="eastAsia"/>
          <w:sz w:val="32"/>
          <w:szCs w:val="32"/>
        </w:rPr>
        <w:t>温州市统计局是主管统计工作的政府部门，主要职能有五项：一是贯彻执行统计法律、法规和规章，监督检查全市统计工作，依法查处统计违法行为。二是制定和组织实施全市统一的基本统计报表制度，开展全市国民经济核算，协调管理部门统计调查，对国民经济和社会发展情况进行统计分析、统计预测和统计监督。三是组织实施重大国情国力普查，每</w:t>
      </w:r>
      <w:r>
        <w:rPr>
          <w:rFonts w:eastAsia="仿宋_GB2312" w:hint="eastAsia"/>
          <w:sz w:val="32"/>
          <w:szCs w:val="32"/>
        </w:rPr>
        <w:t>10</w:t>
      </w:r>
      <w:r>
        <w:rPr>
          <w:rFonts w:eastAsia="仿宋_GB2312" w:hint="eastAsia"/>
          <w:sz w:val="32"/>
          <w:szCs w:val="32"/>
        </w:rPr>
        <w:t>年开展一次人口普查与农业普查，每</w:t>
      </w:r>
      <w:r>
        <w:rPr>
          <w:rFonts w:eastAsia="仿宋_GB2312" w:hint="eastAsia"/>
          <w:sz w:val="32"/>
          <w:szCs w:val="32"/>
        </w:rPr>
        <w:t>5</w:t>
      </w:r>
      <w:r>
        <w:rPr>
          <w:rFonts w:eastAsia="仿宋_GB2312" w:hint="eastAsia"/>
          <w:sz w:val="32"/>
          <w:szCs w:val="32"/>
        </w:rPr>
        <w:t>年开展一次经济普查。四是统一核定、管理、公布全市基本统计资料，向市委、市政府和有关部门提供统计信息和咨询服务，定期向社会公众发布全市统计信息。五是围绕全市中心工作，组织开展相关课题调研、专项监测评价考核和民情民意调查，为市委、市政府提供全方位的统计优质服务。</w:t>
      </w:r>
    </w:p>
    <w:p w:rsidR="00433C98" w:rsidRDefault="00433C98" w:rsidP="00433C98">
      <w:pPr>
        <w:spacing w:line="560" w:lineRule="exact"/>
        <w:ind w:firstLine="640"/>
        <w:jc w:val="both"/>
        <w:rPr>
          <w:rFonts w:ascii="楷体_GB2312" w:eastAsia="楷体_GB2312"/>
        </w:rPr>
      </w:pPr>
      <w:r>
        <w:rPr>
          <w:rStyle w:val="a6"/>
          <w:rFonts w:ascii="楷体_GB2312" w:eastAsia="楷体_GB2312" w:hAnsi="楷体" w:cs="Arial" w:hint="eastAsia"/>
          <w:sz w:val="32"/>
          <w:szCs w:val="32"/>
        </w:rPr>
        <w:t xml:space="preserve">（二）部门决算单位构成 </w:t>
      </w:r>
    </w:p>
    <w:p w:rsidR="00433C98" w:rsidRDefault="00433C98" w:rsidP="00433C98">
      <w:pPr>
        <w:adjustRightInd w:val="0"/>
        <w:snapToGrid w:val="0"/>
        <w:spacing w:line="560" w:lineRule="exact"/>
        <w:ind w:firstLineChars="200" w:firstLine="640"/>
        <w:jc w:val="both"/>
        <w:rPr>
          <w:rFonts w:ascii="仿宋" w:eastAsia="仿宋" w:hAnsi="Times New Roman" w:cs="仿宋"/>
          <w:sz w:val="32"/>
          <w:szCs w:val="32"/>
        </w:rPr>
      </w:pPr>
      <w:r>
        <w:rPr>
          <w:rFonts w:ascii="仿宋_GB2312" w:eastAsia="仿宋_GB2312" w:hint="eastAsia"/>
          <w:sz w:val="32"/>
          <w:szCs w:val="32"/>
        </w:rPr>
        <w:t>温州市统计局编制数总计71人，其中：行政编制26人、事业编制43人、工勤编制2人。现实有在职人员63人、离退休人员21人、车辆0辆</w:t>
      </w:r>
      <w:r>
        <w:rPr>
          <w:rFonts w:eastAsia="仿宋_GB2312" w:hint="eastAsia"/>
          <w:b/>
          <w:snapToGrid w:val="0"/>
          <w:sz w:val="32"/>
          <w:szCs w:val="32"/>
        </w:rPr>
        <w:t>。</w:t>
      </w:r>
      <w:r>
        <w:rPr>
          <w:rFonts w:ascii="仿宋_GB2312" w:eastAsia="仿宋_GB2312" w:hint="eastAsia"/>
          <w:sz w:val="32"/>
          <w:szCs w:val="32"/>
        </w:rPr>
        <w:t>本级下属财政拨款单位3个（均与市本级统一核算），</w:t>
      </w:r>
      <w:r>
        <w:rPr>
          <w:rFonts w:ascii="仿宋" w:eastAsia="仿宋" w:hAnsi="Times New Roman" w:cs="仿宋" w:hint="eastAsia"/>
          <w:sz w:val="32"/>
          <w:szCs w:val="32"/>
        </w:rPr>
        <w:t>具体如下：（列表)</w:t>
      </w:r>
    </w:p>
    <w:p w:rsidR="00433C98" w:rsidRDefault="00433C98" w:rsidP="00433C98">
      <w:pPr>
        <w:adjustRightInd w:val="0"/>
        <w:snapToGrid w:val="0"/>
        <w:spacing w:line="560" w:lineRule="exact"/>
        <w:ind w:firstLineChars="200" w:firstLine="643"/>
        <w:jc w:val="both"/>
        <w:rPr>
          <w:rFonts w:eastAsia="仿宋_GB2312"/>
          <w:b/>
          <w:snapToGrid w:val="0"/>
          <w:sz w:val="32"/>
          <w:szCs w:val="32"/>
        </w:rPr>
      </w:pPr>
    </w:p>
    <w:tbl>
      <w:tblPr>
        <w:tblW w:w="6046" w:type="dxa"/>
        <w:jc w:val="center"/>
        <w:tblLook w:val="04A0" w:firstRow="1" w:lastRow="0" w:firstColumn="1" w:lastColumn="0" w:noHBand="0" w:noVBand="1"/>
      </w:tblPr>
      <w:tblGrid>
        <w:gridCol w:w="952"/>
        <w:gridCol w:w="5094"/>
      </w:tblGrid>
      <w:tr w:rsidR="00433C98" w:rsidTr="00B902B1">
        <w:trPr>
          <w:trHeight w:hRule="exact" w:val="454"/>
          <w:jc w:val="center"/>
        </w:trPr>
        <w:tc>
          <w:tcPr>
            <w:tcW w:w="952" w:type="dxa"/>
            <w:tcBorders>
              <w:top w:val="single" w:sz="4" w:space="0" w:color="auto"/>
              <w:left w:val="single" w:sz="4" w:space="0" w:color="auto"/>
              <w:bottom w:val="single" w:sz="4" w:space="0" w:color="auto"/>
              <w:right w:val="single" w:sz="4" w:space="0" w:color="auto"/>
            </w:tcBorders>
            <w:noWrap/>
            <w:vAlign w:val="center"/>
            <w:hideMark/>
          </w:tcPr>
          <w:p w:rsidR="00433C98" w:rsidRDefault="00433C98" w:rsidP="00B902B1">
            <w:pPr>
              <w:jc w:val="center"/>
              <w:rPr>
                <w:rFonts w:ascii="仿宋" w:eastAsia="仿宋" w:hAnsi="仿宋" w:cs="Arial"/>
                <w:color w:val="000000"/>
                <w:sz w:val="28"/>
                <w:szCs w:val="28"/>
              </w:rPr>
            </w:pPr>
            <w:r>
              <w:rPr>
                <w:rFonts w:ascii="仿宋" w:eastAsia="仿宋" w:hAnsi="仿宋" w:cs="Arial" w:hint="eastAsia"/>
                <w:color w:val="000000"/>
                <w:sz w:val="28"/>
                <w:szCs w:val="28"/>
              </w:rPr>
              <w:t>序号</w:t>
            </w:r>
          </w:p>
        </w:tc>
        <w:tc>
          <w:tcPr>
            <w:tcW w:w="5094" w:type="dxa"/>
            <w:tcBorders>
              <w:top w:val="single" w:sz="4" w:space="0" w:color="auto"/>
              <w:left w:val="nil"/>
              <w:bottom w:val="single" w:sz="4" w:space="0" w:color="auto"/>
              <w:right w:val="single" w:sz="4" w:space="0" w:color="auto"/>
            </w:tcBorders>
            <w:noWrap/>
            <w:vAlign w:val="center"/>
            <w:hideMark/>
          </w:tcPr>
          <w:p w:rsidR="00433C98" w:rsidRDefault="00433C98" w:rsidP="00B902B1">
            <w:pPr>
              <w:jc w:val="center"/>
              <w:rPr>
                <w:rFonts w:ascii="仿宋" w:eastAsia="仿宋" w:hAnsi="仿宋" w:cs="Arial"/>
                <w:color w:val="000000"/>
                <w:sz w:val="28"/>
                <w:szCs w:val="28"/>
              </w:rPr>
            </w:pPr>
            <w:r>
              <w:rPr>
                <w:rFonts w:ascii="仿宋" w:eastAsia="仿宋" w:hAnsi="仿宋" w:cs="Arial" w:hint="eastAsia"/>
                <w:color w:val="000000"/>
                <w:sz w:val="28"/>
                <w:szCs w:val="28"/>
              </w:rPr>
              <w:t>单位名称</w:t>
            </w:r>
          </w:p>
        </w:tc>
      </w:tr>
      <w:tr w:rsidR="00433C98" w:rsidTr="00B902B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433C98" w:rsidRDefault="00433C98" w:rsidP="00B902B1">
            <w:pPr>
              <w:jc w:val="center"/>
              <w:rPr>
                <w:rFonts w:ascii="仿宋" w:eastAsia="仿宋" w:hAnsi="仿宋" w:cs="Arial"/>
                <w:color w:val="000000"/>
                <w:sz w:val="28"/>
                <w:szCs w:val="28"/>
              </w:rPr>
            </w:pPr>
            <w:r>
              <w:rPr>
                <w:rFonts w:ascii="仿宋" w:eastAsia="仿宋" w:hAnsi="仿宋" w:cs="Arial" w:hint="eastAsia"/>
                <w:color w:val="000000"/>
                <w:sz w:val="28"/>
                <w:szCs w:val="28"/>
              </w:rPr>
              <w:t>1</w:t>
            </w:r>
          </w:p>
        </w:tc>
        <w:tc>
          <w:tcPr>
            <w:tcW w:w="5094" w:type="dxa"/>
            <w:tcBorders>
              <w:top w:val="nil"/>
              <w:left w:val="nil"/>
              <w:bottom w:val="single" w:sz="4" w:space="0" w:color="auto"/>
              <w:right w:val="single" w:sz="4" w:space="0" w:color="auto"/>
            </w:tcBorders>
            <w:noWrap/>
            <w:vAlign w:val="center"/>
            <w:hideMark/>
          </w:tcPr>
          <w:p w:rsidR="00433C98" w:rsidRDefault="00433C98" w:rsidP="00B902B1">
            <w:pPr>
              <w:rPr>
                <w:rFonts w:ascii="仿宋" w:eastAsia="仿宋" w:hAnsi="仿宋" w:cs="Arial"/>
                <w:color w:val="000000"/>
                <w:sz w:val="28"/>
                <w:szCs w:val="28"/>
              </w:rPr>
            </w:pPr>
            <w:r>
              <w:rPr>
                <w:rFonts w:ascii="仿宋" w:eastAsia="仿宋" w:hAnsi="仿宋" w:cs="仿宋" w:hint="eastAsia"/>
                <w:sz w:val="28"/>
                <w:szCs w:val="28"/>
                <w:lang w:val="zh-CN"/>
              </w:rPr>
              <w:t>温州市统计局本级</w:t>
            </w:r>
          </w:p>
        </w:tc>
      </w:tr>
      <w:tr w:rsidR="00433C98" w:rsidTr="00B902B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433C98" w:rsidRDefault="00433C98" w:rsidP="00B902B1">
            <w:pPr>
              <w:jc w:val="center"/>
              <w:rPr>
                <w:rFonts w:ascii="仿宋" w:eastAsia="仿宋" w:hAnsi="仿宋" w:cs="Arial"/>
                <w:color w:val="000000"/>
                <w:sz w:val="28"/>
                <w:szCs w:val="28"/>
              </w:rPr>
            </w:pPr>
            <w:r>
              <w:rPr>
                <w:rFonts w:ascii="仿宋" w:eastAsia="仿宋" w:hAnsi="仿宋" w:cs="Arial" w:hint="eastAsia"/>
                <w:color w:val="000000"/>
                <w:sz w:val="28"/>
                <w:szCs w:val="28"/>
              </w:rPr>
              <w:lastRenderedPageBreak/>
              <w:t>2</w:t>
            </w:r>
          </w:p>
        </w:tc>
        <w:tc>
          <w:tcPr>
            <w:tcW w:w="5094" w:type="dxa"/>
            <w:tcBorders>
              <w:top w:val="nil"/>
              <w:left w:val="nil"/>
              <w:bottom w:val="single" w:sz="4" w:space="0" w:color="auto"/>
              <w:right w:val="single" w:sz="4" w:space="0" w:color="auto"/>
            </w:tcBorders>
            <w:noWrap/>
            <w:vAlign w:val="center"/>
            <w:hideMark/>
          </w:tcPr>
          <w:p w:rsidR="00433C98" w:rsidRDefault="00433C98" w:rsidP="00B902B1">
            <w:pPr>
              <w:rPr>
                <w:rFonts w:ascii="仿宋" w:eastAsia="仿宋" w:hAnsi="仿宋" w:cs="Arial"/>
                <w:color w:val="000000"/>
                <w:sz w:val="28"/>
                <w:szCs w:val="28"/>
              </w:rPr>
            </w:pPr>
            <w:r>
              <w:rPr>
                <w:rFonts w:ascii="仿宋" w:eastAsia="仿宋" w:hAnsi="仿宋" w:cs="Arial" w:hint="eastAsia"/>
                <w:color w:val="000000"/>
                <w:sz w:val="28"/>
                <w:szCs w:val="28"/>
              </w:rPr>
              <w:t>温州市统计局普查中心（参公）</w:t>
            </w:r>
          </w:p>
        </w:tc>
      </w:tr>
      <w:tr w:rsidR="00433C98" w:rsidTr="00B902B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433C98" w:rsidRDefault="00433C98" w:rsidP="00B902B1">
            <w:pPr>
              <w:jc w:val="center"/>
              <w:rPr>
                <w:rFonts w:ascii="仿宋" w:eastAsia="仿宋" w:hAnsi="仿宋" w:cs="Arial"/>
                <w:sz w:val="28"/>
                <w:szCs w:val="28"/>
              </w:rPr>
            </w:pPr>
            <w:r>
              <w:rPr>
                <w:rFonts w:ascii="仿宋" w:eastAsia="仿宋" w:hAnsi="仿宋" w:cs="Arial" w:hint="eastAsia"/>
                <w:sz w:val="28"/>
                <w:szCs w:val="28"/>
              </w:rPr>
              <w:t>3</w:t>
            </w:r>
          </w:p>
        </w:tc>
        <w:tc>
          <w:tcPr>
            <w:tcW w:w="5094" w:type="dxa"/>
            <w:tcBorders>
              <w:top w:val="nil"/>
              <w:left w:val="nil"/>
              <w:bottom w:val="single" w:sz="4" w:space="0" w:color="auto"/>
              <w:right w:val="single" w:sz="4" w:space="0" w:color="auto"/>
            </w:tcBorders>
            <w:noWrap/>
            <w:vAlign w:val="center"/>
            <w:hideMark/>
          </w:tcPr>
          <w:p w:rsidR="00433C98" w:rsidRDefault="00433C98" w:rsidP="00B902B1">
            <w:pPr>
              <w:rPr>
                <w:rFonts w:ascii="仿宋" w:eastAsia="仿宋" w:hAnsi="仿宋" w:cs="Arial"/>
                <w:sz w:val="28"/>
                <w:szCs w:val="28"/>
              </w:rPr>
            </w:pPr>
            <w:r>
              <w:rPr>
                <w:rFonts w:ascii="仿宋" w:eastAsia="仿宋" w:hAnsi="仿宋" w:cs="Arial" w:hint="eastAsia"/>
                <w:sz w:val="28"/>
                <w:szCs w:val="28"/>
              </w:rPr>
              <w:t>温州市社会经济调查队（参公）</w:t>
            </w:r>
          </w:p>
        </w:tc>
      </w:tr>
      <w:tr w:rsidR="00433C98" w:rsidTr="00B902B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433C98" w:rsidRDefault="00433C98" w:rsidP="00B902B1">
            <w:pPr>
              <w:jc w:val="center"/>
              <w:rPr>
                <w:rFonts w:ascii="仿宋" w:eastAsia="仿宋" w:hAnsi="仿宋" w:cs="Arial"/>
                <w:color w:val="000000"/>
                <w:sz w:val="28"/>
                <w:szCs w:val="28"/>
              </w:rPr>
            </w:pPr>
            <w:r>
              <w:rPr>
                <w:rFonts w:ascii="仿宋" w:eastAsia="仿宋" w:hAnsi="仿宋" w:cs="Arial" w:hint="eastAsia"/>
                <w:color w:val="000000"/>
                <w:sz w:val="28"/>
                <w:szCs w:val="28"/>
              </w:rPr>
              <w:t>4</w:t>
            </w:r>
          </w:p>
        </w:tc>
        <w:tc>
          <w:tcPr>
            <w:tcW w:w="5094" w:type="dxa"/>
            <w:tcBorders>
              <w:top w:val="nil"/>
              <w:left w:val="nil"/>
              <w:bottom w:val="single" w:sz="4" w:space="0" w:color="auto"/>
              <w:right w:val="single" w:sz="4" w:space="0" w:color="auto"/>
            </w:tcBorders>
            <w:noWrap/>
            <w:vAlign w:val="center"/>
            <w:hideMark/>
          </w:tcPr>
          <w:p w:rsidR="00433C98" w:rsidRDefault="00433C98" w:rsidP="00B902B1">
            <w:pPr>
              <w:rPr>
                <w:rFonts w:ascii="仿宋" w:eastAsia="仿宋" w:hAnsi="仿宋" w:cs="Arial"/>
                <w:color w:val="000000"/>
                <w:sz w:val="28"/>
                <w:szCs w:val="28"/>
              </w:rPr>
            </w:pPr>
            <w:r>
              <w:rPr>
                <w:rFonts w:ascii="仿宋" w:eastAsia="仿宋" w:hAnsi="仿宋" w:cs="Arial" w:hint="eastAsia"/>
                <w:color w:val="000000"/>
                <w:sz w:val="28"/>
                <w:szCs w:val="28"/>
              </w:rPr>
              <w:t>温州市统计局数据中心（事业）</w:t>
            </w:r>
          </w:p>
        </w:tc>
      </w:tr>
    </w:tbl>
    <w:p w:rsidR="00433C98" w:rsidRDefault="00433C98" w:rsidP="00433C98">
      <w:pPr>
        <w:spacing w:line="600" w:lineRule="atLeast"/>
        <w:ind w:firstLine="640"/>
        <w:jc w:val="both"/>
      </w:pPr>
      <w:r>
        <w:rPr>
          <w:rFonts w:hint="eastAsia"/>
        </w:rPr>
        <w:t> </w:t>
      </w:r>
    </w:p>
    <w:p w:rsidR="00433C98" w:rsidRDefault="00433C98" w:rsidP="00433C98">
      <w:pPr>
        <w:pStyle w:val="a5"/>
        <w:spacing w:before="0" w:beforeAutospacing="0" w:after="0" w:afterAutospacing="0" w:line="560" w:lineRule="exact"/>
        <w:ind w:firstLineChars="200" w:firstLine="640"/>
        <w:jc w:val="both"/>
        <w:rPr>
          <w:rStyle w:val="a6"/>
        </w:rPr>
      </w:pPr>
      <w:r>
        <w:rPr>
          <w:rStyle w:val="a6"/>
          <w:rFonts w:ascii="黑体" w:eastAsia="黑体" w:hAnsi="黑体" w:hint="eastAsia"/>
          <w:b w:val="0"/>
          <w:sz w:val="32"/>
          <w:szCs w:val="32"/>
        </w:rPr>
        <w:t xml:space="preserve">二、2017年度部门决算报表 </w:t>
      </w:r>
    </w:p>
    <w:p w:rsidR="00433C98" w:rsidRDefault="00433C98" w:rsidP="00433C98">
      <w:pPr>
        <w:pStyle w:val="a5"/>
        <w:spacing w:before="0" w:beforeAutospacing="0" w:after="0" w:afterAutospacing="0" w:line="560" w:lineRule="exact"/>
        <w:ind w:firstLineChars="200" w:firstLine="480"/>
        <w:jc w:val="both"/>
      </w:pPr>
      <w:r>
        <w:rPr>
          <w:rFonts w:hint="eastAsia"/>
        </w:rPr>
        <w:t>详见附件1。</w:t>
      </w:r>
    </w:p>
    <w:p w:rsidR="00433C98" w:rsidRDefault="00433C98" w:rsidP="00433C98">
      <w:pPr>
        <w:pStyle w:val="a5"/>
        <w:spacing w:before="0" w:beforeAutospacing="0" w:after="0" w:afterAutospacing="0" w:line="560" w:lineRule="exact"/>
        <w:ind w:firstLineChars="200" w:firstLine="640"/>
        <w:jc w:val="both"/>
        <w:rPr>
          <w:rStyle w:val="a6"/>
          <w:rFonts w:ascii="黑体" w:eastAsia="黑体" w:hAnsi="黑体"/>
        </w:rPr>
      </w:pPr>
      <w:r>
        <w:rPr>
          <w:rStyle w:val="a6"/>
          <w:rFonts w:ascii="黑体" w:eastAsia="黑体" w:hAnsi="黑体" w:hint="eastAsia"/>
          <w:b w:val="0"/>
          <w:sz w:val="32"/>
          <w:szCs w:val="32"/>
        </w:rPr>
        <w:t xml:space="preserve">三、2017年度部门决算情况说明 </w:t>
      </w:r>
    </w:p>
    <w:p w:rsidR="00433C98" w:rsidRDefault="00433C98" w:rsidP="00433C98">
      <w:pPr>
        <w:spacing w:line="600" w:lineRule="atLeast"/>
        <w:ind w:firstLine="640"/>
        <w:jc w:val="both"/>
        <w:rPr>
          <w:rFonts w:ascii="楷体_GB2312" w:eastAsia="楷体_GB2312"/>
        </w:rPr>
      </w:pPr>
      <w:r>
        <w:rPr>
          <w:rStyle w:val="a6"/>
          <w:rFonts w:ascii="楷体_GB2312" w:eastAsia="楷体_GB2312" w:hAnsi="楷体" w:cs="Arial" w:hint="eastAsia"/>
          <w:sz w:val="32"/>
          <w:szCs w:val="32"/>
        </w:rPr>
        <w:t>（一）收入支出决算总体情况</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1、2017年度收入总计2,159.04万元,</w:t>
      </w:r>
      <w:r w:rsidR="00BB5ECE" w:rsidRPr="00AA43A1">
        <w:rPr>
          <w:rFonts w:ascii="仿宋" w:eastAsia="仿宋" w:hAnsi="Times New Roman" w:cs="仿宋" w:hint="eastAsia"/>
          <w:color w:val="000000"/>
          <w:sz w:val="32"/>
          <w:szCs w:val="32"/>
        </w:rPr>
        <w:t xml:space="preserve"> 较上年增加</w:t>
      </w:r>
      <w:r w:rsidR="00AA43A1" w:rsidRPr="00AA43A1">
        <w:rPr>
          <w:rFonts w:ascii="仿宋" w:eastAsia="仿宋" w:hAnsi="Times New Roman" w:cs="仿宋"/>
          <w:color w:val="000000"/>
          <w:sz w:val="32"/>
          <w:szCs w:val="32"/>
        </w:rPr>
        <w:t>99.8</w:t>
      </w:r>
      <w:r w:rsidR="00BB5ECE" w:rsidRPr="00AA43A1">
        <w:rPr>
          <w:rFonts w:ascii="仿宋" w:eastAsia="仿宋" w:hAnsi="Times New Roman" w:cs="仿宋" w:hint="eastAsia"/>
          <w:color w:val="000000"/>
          <w:sz w:val="32"/>
          <w:szCs w:val="32"/>
        </w:rPr>
        <w:t xml:space="preserve">  万元，增长</w:t>
      </w:r>
      <w:r w:rsidR="00AA43A1" w:rsidRPr="00AA43A1">
        <w:rPr>
          <w:rFonts w:ascii="仿宋" w:eastAsia="仿宋" w:hAnsi="Times New Roman" w:cs="仿宋" w:hint="eastAsia"/>
          <w:color w:val="000000"/>
          <w:sz w:val="32"/>
          <w:szCs w:val="32"/>
        </w:rPr>
        <w:t>4.86</w:t>
      </w:r>
      <w:r w:rsidR="00BB5ECE" w:rsidRPr="00AA43A1">
        <w:rPr>
          <w:rFonts w:ascii="仿宋" w:eastAsia="仿宋" w:hAnsi="Times New Roman" w:cs="仿宋" w:hint="eastAsia"/>
          <w:color w:val="000000"/>
          <w:sz w:val="32"/>
          <w:szCs w:val="32"/>
        </w:rPr>
        <w:t>%，主要原因是</w:t>
      </w:r>
      <w:r w:rsidR="00AA43A1">
        <w:rPr>
          <w:rFonts w:ascii="仿宋_GB2312" w:eastAsia="仿宋_GB2312" w:hAnsi="Times New Roman" w:cs="仿宋" w:hint="eastAsia"/>
          <w:color w:val="000000"/>
          <w:sz w:val="32"/>
          <w:szCs w:val="32"/>
        </w:rPr>
        <w:t>人员增加及薪资调整使人员经费增长</w:t>
      </w:r>
      <w:r w:rsidR="00BB5ECE" w:rsidRPr="00AA43A1">
        <w:rPr>
          <w:rFonts w:ascii="仿宋" w:eastAsia="仿宋" w:hAnsi="Times New Roman" w:cs="仿宋" w:hint="eastAsia"/>
          <w:color w:val="000000"/>
          <w:sz w:val="32"/>
          <w:szCs w:val="32"/>
        </w:rPr>
        <w:t>。</w:t>
      </w:r>
      <w:r>
        <w:rPr>
          <w:rFonts w:ascii="仿宋_GB2312" w:eastAsia="仿宋_GB2312" w:hAnsi="仿宋" w:hint="eastAsia"/>
          <w:sz w:val="32"/>
          <w:szCs w:val="32"/>
        </w:rPr>
        <w:t>具体情况如下：</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（1）财政拨款收入2,109.48万元，较上年增加116.87万元，增长5.87%，主要原因</w:t>
      </w:r>
      <w:r>
        <w:rPr>
          <w:rFonts w:ascii="仿宋_GB2312" w:eastAsia="仿宋_GB2312" w:hAnsi="Times New Roman" w:cs="仿宋" w:hint="eastAsia"/>
          <w:color w:val="000000"/>
          <w:sz w:val="32"/>
          <w:szCs w:val="32"/>
        </w:rPr>
        <w:t>是人员增加及薪资调整使人员经费增长较快</w:t>
      </w:r>
      <w:r>
        <w:rPr>
          <w:rFonts w:ascii="仿宋_GB2312" w:eastAsia="仿宋_GB2312" w:hAnsi="仿宋" w:hint="eastAsia"/>
          <w:sz w:val="32"/>
          <w:szCs w:val="32"/>
        </w:rPr>
        <w:t>。</w:t>
      </w:r>
    </w:p>
    <w:p w:rsidR="00433C98" w:rsidRDefault="00433C98" w:rsidP="00433C98">
      <w:pPr>
        <w:widowControl w:val="0"/>
        <w:spacing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（2）其他收入0万元，较上年减少0.20万元，下降100.00%,主要原因是基本户利息按规定拟上缴国库，不再计入收入。</w:t>
      </w:r>
    </w:p>
    <w:p w:rsidR="00433C98" w:rsidRDefault="00433C98" w:rsidP="00433C98">
      <w:pPr>
        <w:widowControl w:val="0"/>
        <w:spacing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（3）年初结转和结余49.56万元，较上年减少16.87万元，下降25.40%,主要原因是根据跨年度的采购情况进行结转。</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2、2017年度支出总计2,159.04万元，</w:t>
      </w:r>
      <w:r w:rsidR="00AA43A1" w:rsidRPr="00AA43A1">
        <w:rPr>
          <w:rFonts w:ascii="仿宋" w:eastAsia="仿宋" w:hAnsi="Times New Roman" w:cs="仿宋" w:hint="eastAsia"/>
          <w:color w:val="000000"/>
          <w:sz w:val="32"/>
          <w:szCs w:val="32"/>
        </w:rPr>
        <w:t>较上年增加</w:t>
      </w:r>
      <w:r w:rsidR="00AA43A1" w:rsidRPr="00AA43A1">
        <w:rPr>
          <w:rFonts w:ascii="仿宋" w:eastAsia="仿宋" w:hAnsi="Times New Roman" w:cs="仿宋"/>
          <w:color w:val="000000"/>
          <w:sz w:val="32"/>
          <w:szCs w:val="32"/>
        </w:rPr>
        <w:t>141.83</w:t>
      </w:r>
      <w:r w:rsidR="00AA43A1" w:rsidRPr="00AA43A1">
        <w:rPr>
          <w:rFonts w:ascii="仿宋" w:eastAsia="仿宋" w:hAnsi="Times New Roman" w:cs="仿宋" w:hint="eastAsia"/>
          <w:color w:val="000000"/>
          <w:sz w:val="32"/>
          <w:szCs w:val="32"/>
        </w:rPr>
        <w:t>万元，增长7</w:t>
      </w:r>
      <w:r w:rsidR="00AA43A1" w:rsidRPr="00AA43A1">
        <w:rPr>
          <w:rFonts w:ascii="仿宋" w:eastAsia="仿宋" w:hAnsi="Times New Roman" w:cs="仿宋"/>
          <w:color w:val="000000"/>
          <w:sz w:val="32"/>
          <w:szCs w:val="32"/>
        </w:rPr>
        <w:t>.03</w:t>
      </w:r>
      <w:r w:rsidR="00AA43A1" w:rsidRPr="00AA43A1">
        <w:rPr>
          <w:rFonts w:ascii="仿宋" w:eastAsia="仿宋" w:hAnsi="Times New Roman" w:cs="仿宋" w:hint="eastAsia"/>
          <w:color w:val="000000"/>
          <w:sz w:val="32"/>
          <w:szCs w:val="32"/>
        </w:rPr>
        <w:t>%，主要原因是</w:t>
      </w:r>
      <w:r w:rsidR="00AA43A1" w:rsidRPr="00AA43A1">
        <w:rPr>
          <w:rFonts w:ascii="仿宋_GB2312" w:eastAsia="仿宋_GB2312" w:hAnsi="Times New Roman" w:cs="仿宋" w:hint="eastAsia"/>
          <w:color w:val="000000"/>
          <w:sz w:val="32"/>
          <w:szCs w:val="32"/>
        </w:rPr>
        <w:t>人员增加及薪资调整使人员经费支出增长</w:t>
      </w:r>
      <w:r w:rsidR="00AA43A1" w:rsidRPr="00AA43A1">
        <w:rPr>
          <w:rFonts w:ascii="仿宋" w:eastAsia="仿宋" w:hAnsi="Times New Roman" w:cs="仿宋" w:hint="eastAsia"/>
          <w:color w:val="000000"/>
          <w:sz w:val="32"/>
          <w:szCs w:val="32"/>
        </w:rPr>
        <w:t>。</w:t>
      </w:r>
      <w:r>
        <w:rPr>
          <w:rFonts w:ascii="仿宋_GB2312" w:eastAsia="仿宋_GB2312" w:hAnsi="仿宋" w:hint="eastAsia"/>
          <w:sz w:val="32"/>
          <w:szCs w:val="32"/>
        </w:rPr>
        <w:t>具体情况如下：</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hAnsi="Times New Roman" w:cs="仿宋"/>
          <w:color w:val="000000"/>
          <w:sz w:val="32"/>
          <w:szCs w:val="32"/>
        </w:rPr>
      </w:pPr>
      <w:r>
        <w:rPr>
          <w:rFonts w:ascii="仿宋_GB2312" w:eastAsia="仿宋_GB2312" w:hAnsi="Times New Roman" w:cs="仿宋" w:hint="eastAsia"/>
          <w:color w:val="000000"/>
          <w:sz w:val="32"/>
          <w:szCs w:val="32"/>
        </w:rPr>
        <w:lastRenderedPageBreak/>
        <w:t>（1）一般公共服务支出1,663.76 万元，主要用于在职人员工资补贴、日常业务支出、各项统计监测调查、专项普查、资格考试、基层基础建设等</w:t>
      </w:r>
      <w:r>
        <w:rPr>
          <w:rFonts w:ascii="仿宋_GB2312" w:eastAsia="仿宋_GB2312" w:hAnsi="Times New Roman" w:cs="仿宋" w:hint="eastAsia"/>
          <w:b/>
          <w:color w:val="000000"/>
          <w:sz w:val="32"/>
          <w:szCs w:val="32"/>
        </w:rPr>
        <w:t>。</w:t>
      </w:r>
      <w:r>
        <w:rPr>
          <w:rFonts w:ascii="仿宋_GB2312" w:eastAsia="仿宋_GB2312" w:hAnsi="Times New Roman" w:cs="仿宋" w:hint="eastAsia"/>
          <w:color w:val="000000"/>
          <w:sz w:val="32"/>
          <w:szCs w:val="32"/>
        </w:rPr>
        <w:t>较上年增加3.92万元，增长0.23%，正常浮动。</w:t>
      </w:r>
    </w:p>
    <w:p w:rsidR="00433C98" w:rsidRPr="00D40693" w:rsidRDefault="00433C98" w:rsidP="00433C98">
      <w:pPr>
        <w:widowControl w:val="0"/>
        <w:autoSpaceDE w:val="0"/>
        <w:autoSpaceDN w:val="0"/>
        <w:adjustRightInd w:val="0"/>
        <w:spacing w:line="560" w:lineRule="exact"/>
        <w:ind w:firstLineChars="200" w:firstLine="640"/>
        <w:jc w:val="both"/>
        <w:rPr>
          <w:rFonts w:ascii="仿宋_GB2312" w:eastAsia="仿宋_GB2312" w:hAnsi="Times New Roman" w:cs="仿宋"/>
          <w:color w:val="000000"/>
          <w:sz w:val="32"/>
          <w:szCs w:val="32"/>
        </w:rPr>
      </w:pPr>
      <w:r w:rsidRPr="00D40693">
        <w:rPr>
          <w:rFonts w:ascii="仿宋_GB2312" w:eastAsia="仿宋_GB2312" w:hAnsi="Times New Roman" w:cs="仿宋" w:hint="eastAsia"/>
          <w:color w:val="000000"/>
          <w:sz w:val="32"/>
          <w:szCs w:val="32"/>
        </w:rPr>
        <w:t>（2）社会保障和就业支出168.88万元，主要用于在职人员养老保险、年金支出。较上年减少19.42万元，减少10.31%，主要原因是退休人员工资划归人力资源管理局发放（2016年发放了4个月）。</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hAnsi="Times New Roman" w:cs="仿宋"/>
          <w:color w:val="000000"/>
          <w:sz w:val="32"/>
          <w:szCs w:val="32"/>
        </w:rPr>
      </w:pPr>
      <w:r>
        <w:rPr>
          <w:rFonts w:ascii="仿宋_GB2312" w:eastAsia="仿宋_GB2312" w:hAnsi="Times New Roman" w:cs="仿宋" w:hint="eastAsia"/>
          <w:color w:val="000000"/>
          <w:sz w:val="32"/>
          <w:szCs w:val="32"/>
        </w:rPr>
        <w:t>（3）医疗卫生与计划生育支出68.61万元，主要用于在职及退休人员医疗费支出。较上年增加1.23万元，增长14.64%，主要原因是行政单位医疗缴费基数上调。</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hAnsi="Times New Roman" w:cs="仿宋"/>
          <w:color w:val="000000"/>
          <w:sz w:val="32"/>
          <w:szCs w:val="32"/>
        </w:rPr>
      </w:pPr>
      <w:r>
        <w:rPr>
          <w:rFonts w:ascii="仿宋_GB2312" w:eastAsia="仿宋_GB2312" w:hAnsi="Times New Roman" w:cs="仿宋" w:hint="eastAsia"/>
          <w:color w:val="000000"/>
          <w:sz w:val="32"/>
          <w:szCs w:val="32"/>
        </w:rPr>
        <w:t>（4）住房保障支出115.12万元，主要用于在职住房公积金及购房补贴支出。较上年增加13.43万元，增长13.20%，主要人员增加及公积金缴费基数提高。</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hAnsi="Times New Roman" w:cs="仿宋"/>
          <w:color w:val="000000"/>
          <w:sz w:val="32"/>
          <w:szCs w:val="32"/>
        </w:rPr>
      </w:pPr>
      <w:r>
        <w:rPr>
          <w:rFonts w:ascii="仿宋_GB2312" w:eastAsia="仿宋_GB2312" w:hAnsi="Times New Roman" w:cs="仿宋" w:hint="eastAsia"/>
          <w:color w:val="000000"/>
          <w:sz w:val="32"/>
          <w:szCs w:val="32"/>
        </w:rPr>
        <w:t>（5）其他支出142.67，主要用于其他政府性基金及对应专项债务收入安排的支出。上年有没这部分资金安排。</w:t>
      </w:r>
    </w:p>
    <w:p w:rsidR="00433C98" w:rsidRDefault="00433C98" w:rsidP="00433C98">
      <w:pPr>
        <w:spacing w:line="600" w:lineRule="atLeast"/>
        <w:ind w:firstLine="640"/>
        <w:jc w:val="both"/>
        <w:rPr>
          <w:rStyle w:val="a6"/>
          <w:rFonts w:ascii="楷体_GB2312" w:eastAsia="楷体_GB2312" w:hAnsi="楷体" w:cs="Arial"/>
        </w:rPr>
      </w:pPr>
      <w:r>
        <w:rPr>
          <w:rStyle w:val="a6"/>
          <w:rFonts w:ascii="楷体_GB2312" w:eastAsia="楷体_GB2312" w:hAnsi="楷体" w:cs="Arial" w:hint="eastAsia"/>
          <w:color w:val="000000"/>
          <w:sz w:val="32"/>
          <w:szCs w:val="32"/>
        </w:rPr>
        <w:t>（二）本年收入决算情况</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2017年度本年收入合计2,109.48万元，其中：财政拨款2,109.48万元，占100.00%。</w:t>
      </w:r>
    </w:p>
    <w:p w:rsidR="00433C98" w:rsidRDefault="00433C98" w:rsidP="00433C98">
      <w:pPr>
        <w:spacing w:line="600" w:lineRule="atLeast"/>
        <w:ind w:firstLine="640"/>
        <w:jc w:val="both"/>
        <w:rPr>
          <w:rStyle w:val="a6"/>
          <w:rFonts w:ascii="楷体_GB2312" w:eastAsia="楷体_GB2312" w:hAnsi="楷体" w:cs="Arial"/>
        </w:rPr>
      </w:pPr>
      <w:r>
        <w:rPr>
          <w:rStyle w:val="a6"/>
          <w:rFonts w:ascii="楷体_GB2312" w:eastAsia="楷体_GB2312" w:hAnsi="楷体" w:cs="Arial" w:hint="eastAsia"/>
          <w:sz w:val="32"/>
          <w:szCs w:val="32"/>
        </w:rPr>
        <w:t>（三）本年支出决算情况</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2017年度本年支出合计2,109.48万元，其中：基本支出1,709.43万元，占81.04%；项目支出400.05万元，占18.96%。</w:t>
      </w:r>
    </w:p>
    <w:p w:rsidR="00433C98" w:rsidRDefault="00433C98" w:rsidP="00433C98">
      <w:pPr>
        <w:spacing w:line="600" w:lineRule="atLeast"/>
        <w:ind w:firstLine="640"/>
        <w:jc w:val="both"/>
        <w:rPr>
          <w:rStyle w:val="a6"/>
          <w:rFonts w:ascii="楷体_GB2312" w:eastAsia="楷体_GB2312" w:hAnsi="楷体" w:cs="Arial"/>
        </w:rPr>
      </w:pPr>
      <w:r>
        <w:rPr>
          <w:rStyle w:val="a6"/>
          <w:rFonts w:ascii="楷体_GB2312" w:eastAsia="楷体_GB2312" w:hAnsi="楷体" w:cs="Arial" w:hint="eastAsia"/>
          <w:sz w:val="32"/>
          <w:szCs w:val="32"/>
        </w:rPr>
        <w:lastRenderedPageBreak/>
        <w:t>（四）财政拨款收入支出决算情况</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2017年度财政拨款收入总计2,154.74万元，支出总计2,154.74万元，与上年相比，财政拨款收、支总计各增99.80万元，增长4.86%，主要原因是人员增加和薪资调整。</w:t>
      </w:r>
    </w:p>
    <w:p w:rsidR="00433C98" w:rsidRDefault="00433C98" w:rsidP="00433C98">
      <w:pPr>
        <w:spacing w:line="600" w:lineRule="atLeast"/>
        <w:ind w:firstLine="640"/>
        <w:jc w:val="both"/>
        <w:rPr>
          <w:rStyle w:val="a6"/>
          <w:rFonts w:ascii="楷体_GB2312" w:eastAsia="楷体_GB2312" w:hAnsi="楷体" w:cs="Arial"/>
        </w:rPr>
      </w:pPr>
      <w:r>
        <w:rPr>
          <w:rStyle w:val="a6"/>
          <w:rFonts w:ascii="楷体_GB2312" w:eastAsia="楷体_GB2312" w:hAnsi="楷体" w:cs="Arial" w:hint="eastAsia"/>
          <w:sz w:val="32"/>
          <w:szCs w:val="32"/>
        </w:rPr>
        <w:t>（五）一般公共预算财政拨款支出情况</w:t>
      </w:r>
    </w:p>
    <w:p w:rsidR="00433C98" w:rsidRDefault="00433C98" w:rsidP="00433C98">
      <w:pPr>
        <w:widowControl w:val="0"/>
        <w:spacing w:line="560" w:lineRule="exact"/>
        <w:ind w:firstLineChars="200" w:firstLine="640"/>
        <w:jc w:val="both"/>
        <w:rPr>
          <w:rFonts w:ascii="仿宋_GB2312" w:eastAsia="仿宋_GB2312"/>
        </w:rPr>
      </w:pPr>
      <w:r>
        <w:rPr>
          <w:rFonts w:ascii="仿宋_GB2312" w:eastAsia="仿宋_GB2312" w:hAnsi="仿宋" w:hint="eastAsia"/>
          <w:sz w:val="32"/>
          <w:szCs w:val="32"/>
        </w:rPr>
        <w:t>2017年度部门决算一般公共预算财政拨款支出决算1,966.81万元，比年初预算增加71.66万元，增长3.78%。具体情况如下：</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s="仿宋"/>
          <w:color w:val="000000"/>
          <w:sz w:val="32"/>
          <w:szCs w:val="32"/>
        </w:rPr>
      </w:pPr>
      <w:r>
        <w:rPr>
          <w:rFonts w:ascii="仿宋_GB2312" w:eastAsia="仿宋_GB2312" w:cs="仿宋" w:hint="eastAsia"/>
          <w:color w:val="000000"/>
          <w:sz w:val="32"/>
          <w:szCs w:val="32"/>
        </w:rPr>
        <w:t>1．一般公共服务支出（类）统计信息事务（款）行政运行（项）事务1214.15万元，主要用于在职人员工资补贴、社会保障及其他一般公用支出。</w:t>
      </w:r>
      <w:r>
        <w:rPr>
          <w:rFonts w:ascii="仿宋_GB2312" w:eastAsia="仿宋_GB2312" w:cs="仿宋" w:hint="eastAsia"/>
          <w:color w:val="000000"/>
          <w:sz w:val="32"/>
          <w:szCs w:val="32"/>
        </w:rPr>
        <w:br/>
        <w:t xml:space="preserve">    2．一般公共服务支出（类）统计信息事务（款）一般行政管理（项）事务17.6万元，主要用于日常业务支出。</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olor w:val="000000"/>
          <w:sz w:val="32"/>
          <w:szCs w:val="32"/>
        </w:rPr>
      </w:pPr>
      <w:r>
        <w:rPr>
          <w:rFonts w:ascii="仿宋_GB2312" w:eastAsia="仿宋_GB2312" w:cs="仿宋" w:hint="eastAsia"/>
          <w:color w:val="000000"/>
          <w:sz w:val="32"/>
          <w:szCs w:val="32"/>
        </w:rPr>
        <w:t>3．一般公共服务支出（类）统计信息事务（款）专项统计业务（项）事务217.53万元，主要用于满意度调查、低收入农户监测调查、粮食生产统计监测调查、省级统计补助经费的项目支出。</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olor w:val="000000"/>
          <w:sz w:val="32"/>
          <w:szCs w:val="32"/>
        </w:rPr>
      </w:pPr>
      <w:r>
        <w:rPr>
          <w:rFonts w:ascii="仿宋_GB2312" w:eastAsia="仿宋_GB2312" w:cs="仿宋" w:hint="eastAsia"/>
          <w:color w:val="000000"/>
          <w:sz w:val="32"/>
          <w:szCs w:val="32"/>
        </w:rPr>
        <w:t>4．一般公共服务支出（类）统计信息事务（款）统计管理（项）事务15.70万元，主要用于统计资格考试及统计执法支出。</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olor w:val="000000"/>
          <w:sz w:val="32"/>
          <w:szCs w:val="32"/>
        </w:rPr>
      </w:pPr>
      <w:r>
        <w:rPr>
          <w:rFonts w:ascii="仿宋_GB2312" w:eastAsia="仿宋_GB2312" w:cs="仿宋" w:hint="eastAsia"/>
          <w:color w:val="000000"/>
          <w:sz w:val="32"/>
          <w:szCs w:val="32"/>
        </w:rPr>
        <w:t>5．一般公共服务支出（类）统计信息事务（款）专项普查活动（项）事务54.42万元，主要用于第四次经济普查的项目支出。</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olor w:val="000000"/>
          <w:sz w:val="32"/>
          <w:szCs w:val="32"/>
        </w:rPr>
      </w:pPr>
      <w:r>
        <w:rPr>
          <w:rFonts w:ascii="仿宋_GB2312" w:eastAsia="仿宋_GB2312" w:cs="仿宋" w:hint="eastAsia"/>
          <w:color w:val="000000"/>
          <w:sz w:val="32"/>
          <w:szCs w:val="32"/>
        </w:rPr>
        <w:lastRenderedPageBreak/>
        <w:t>6．一般公共服务支出（类）统计信息事务（款）统计抽样调查（项）事务86.81万元，主要用于规模以下抽样调查、贸易服务业抽样调查、新业态新产业抽样调查的项目支出。</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olor w:val="000000"/>
          <w:sz w:val="32"/>
          <w:szCs w:val="32"/>
        </w:rPr>
      </w:pPr>
      <w:r>
        <w:rPr>
          <w:rFonts w:ascii="仿宋_GB2312" w:eastAsia="仿宋_GB2312" w:cs="仿宋" w:hint="eastAsia"/>
          <w:color w:val="000000"/>
          <w:sz w:val="32"/>
          <w:szCs w:val="32"/>
        </w:rPr>
        <w:t>7．一般公共服务支出（类）统计信息事务（款）其他统计信息事务支出（项）事务8万元，主要用于统计年鉴的项目支出。</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s="仿宋"/>
          <w:color w:val="000000"/>
          <w:sz w:val="32"/>
          <w:szCs w:val="32"/>
        </w:rPr>
      </w:pPr>
      <w:r>
        <w:rPr>
          <w:rFonts w:ascii="仿宋_GB2312" w:eastAsia="仿宋_GB2312" w:cs="仿宋" w:hint="eastAsia"/>
          <w:color w:val="000000"/>
          <w:sz w:val="32"/>
          <w:szCs w:val="32"/>
        </w:rPr>
        <w:t>8．社会保障和就业支出（类）行政事业单位离退休（款）机关事业单位基本养老保险缴费支出（项）事务120.67万元，主要用于发放在职人员基本养老保险。</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s="仿宋"/>
          <w:color w:val="000000"/>
          <w:sz w:val="32"/>
          <w:szCs w:val="32"/>
        </w:rPr>
      </w:pPr>
      <w:r>
        <w:rPr>
          <w:rFonts w:ascii="仿宋_GB2312" w:eastAsia="仿宋_GB2312" w:cs="仿宋" w:hint="eastAsia"/>
          <w:color w:val="000000"/>
          <w:sz w:val="32"/>
          <w:szCs w:val="32"/>
        </w:rPr>
        <w:t>9．社会保障和就业支出（类）行政事业单位离退休（款）  机关事业单位职业年金缴费支出（项）事务48.21万元，主要用于在职人员职业年金缴费。</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olor w:val="000000"/>
          <w:sz w:val="32"/>
          <w:szCs w:val="32"/>
        </w:rPr>
      </w:pPr>
      <w:r>
        <w:rPr>
          <w:rFonts w:ascii="仿宋_GB2312" w:eastAsia="仿宋_GB2312" w:cs="仿宋" w:hint="eastAsia"/>
          <w:color w:val="000000"/>
          <w:sz w:val="32"/>
          <w:szCs w:val="32"/>
        </w:rPr>
        <w:t>10．医疗卫生与计划生育支出（类）医疗保障（款）行政单位医疗（项）事务68.61万元，主要用于在职及退休人员的医疗补助费用。</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olor w:val="000000"/>
          <w:sz w:val="32"/>
          <w:szCs w:val="32"/>
        </w:rPr>
      </w:pPr>
      <w:r>
        <w:rPr>
          <w:rFonts w:ascii="仿宋_GB2312" w:eastAsia="仿宋_GB2312" w:cs="仿宋" w:hint="eastAsia"/>
          <w:color w:val="000000"/>
          <w:sz w:val="32"/>
          <w:szCs w:val="32"/>
        </w:rPr>
        <w:t>11．住房保障支出支出（类）住房改革支出（款）住房公积金（项）事务89.42万元，主要用于支付在职人员住房公积金单位负担部分。</w:t>
      </w:r>
    </w:p>
    <w:p w:rsidR="00433C98" w:rsidRDefault="00433C98" w:rsidP="00433C98">
      <w:pPr>
        <w:widowControl w:val="0"/>
        <w:autoSpaceDE w:val="0"/>
        <w:autoSpaceDN w:val="0"/>
        <w:adjustRightInd w:val="0"/>
        <w:spacing w:line="560" w:lineRule="exact"/>
        <w:ind w:firstLineChars="200" w:firstLine="640"/>
        <w:jc w:val="both"/>
        <w:rPr>
          <w:rFonts w:ascii="仿宋_GB2312" w:eastAsia="仿宋_GB2312"/>
          <w:color w:val="000000"/>
          <w:sz w:val="32"/>
          <w:szCs w:val="32"/>
        </w:rPr>
      </w:pPr>
      <w:r>
        <w:rPr>
          <w:rFonts w:ascii="仿宋_GB2312" w:eastAsia="仿宋_GB2312" w:cs="仿宋" w:hint="eastAsia"/>
          <w:color w:val="000000"/>
          <w:sz w:val="32"/>
          <w:szCs w:val="32"/>
        </w:rPr>
        <w:t>12．住房保障支出支出（类）住房改革支出（款）购房补贴（项）事务25.70万元，主要用于符合发放条件在职人员的购房补贴。</w:t>
      </w:r>
    </w:p>
    <w:p w:rsidR="00433C98" w:rsidRDefault="00433C98" w:rsidP="00433C98">
      <w:pPr>
        <w:spacing w:line="600" w:lineRule="atLeast"/>
        <w:ind w:firstLine="640"/>
        <w:jc w:val="both"/>
        <w:rPr>
          <w:rStyle w:val="a6"/>
          <w:rFonts w:ascii="楷体_GB2312" w:eastAsia="楷体_GB2312" w:hAnsi="楷体" w:cs="Arial"/>
        </w:rPr>
      </w:pPr>
      <w:r>
        <w:rPr>
          <w:rStyle w:val="a6"/>
          <w:rFonts w:ascii="楷体_GB2312" w:eastAsia="楷体_GB2312" w:hAnsi="楷体" w:cs="Arial" w:hint="eastAsia"/>
          <w:color w:val="000000"/>
          <w:sz w:val="32"/>
          <w:szCs w:val="32"/>
        </w:rPr>
        <w:t>（六）一般公共预算财政拨款基本支出情况</w:t>
      </w:r>
    </w:p>
    <w:p w:rsidR="00433C98" w:rsidRDefault="00433C98" w:rsidP="00433C98">
      <w:pPr>
        <w:widowControl w:val="0"/>
        <w:spacing w:line="560" w:lineRule="exact"/>
        <w:ind w:firstLineChars="200" w:firstLine="640"/>
        <w:jc w:val="both"/>
        <w:rPr>
          <w:rFonts w:ascii="仿宋_GB2312" w:eastAsia="仿宋_GB2312"/>
        </w:rPr>
      </w:pPr>
      <w:r>
        <w:rPr>
          <w:rFonts w:ascii="仿宋_GB2312" w:eastAsia="仿宋_GB2312" w:hAnsi="仿宋" w:hint="eastAsia"/>
          <w:color w:val="000000"/>
          <w:sz w:val="32"/>
          <w:szCs w:val="32"/>
        </w:rPr>
        <w:lastRenderedPageBreak/>
        <w:t>2017年度度一般公共预算财政拨款基本支出1,566.76万元。其中：人员经费1,382.20万元，包括工资福利支出1161.92万元、对个人和家庭的补助220.28万元；公用经费184.56万元，包括商品服务支出182.87万元、其他资本性支出1.69万元。</w:t>
      </w:r>
    </w:p>
    <w:p w:rsidR="00433C98" w:rsidRDefault="00433C98" w:rsidP="00433C98">
      <w:pPr>
        <w:spacing w:line="600" w:lineRule="atLeast"/>
        <w:ind w:firstLine="640"/>
        <w:jc w:val="both"/>
        <w:rPr>
          <w:rFonts w:ascii="楷体_GB2312" w:eastAsia="楷体_GB2312" w:hAnsi="仿宋"/>
          <w:b/>
          <w:sz w:val="32"/>
          <w:szCs w:val="32"/>
        </w:rPr>
      </w:pPr>
      <w:r>
        <w:rPr>
          <w:rFonts w:ascii="楷体_GB2312" w:eastAsia="楷体_GB2312" w:hAnsi="仿宋" w:hint="eastAsia"/>
          <w:b/>
          <w:sz w:val="32"/>
          <w:szCs w:val="32"/>
        </w:rPr>
        <w:t>（七）政府性基金预算财政拨款收入支出情况</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2017年度政府性基金预算年初结转0万元，本年收入142.67万元，本年支出142.67万元，年末结转0万元。支出具体情况如下：</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其他支出（类）其他政府性基金及对应专项债务收入安排的支出（款）其他政府性基金及对应专项债务收入安排的支出（项）事务支出142.67万元。年初预算并无预算安排，是薪资调整后追加，主要用人员经费支出。</w:t>
      </w:r>
    </w:p>
    <w:p w:rsidR="00433C98" w:rsidRDefault="00433C98" w:rsidP="00433C98">
      <w:pPr>
        <w:spacing w:line="600" w:lineRule="atLeast"/>
        <w:ind w:firstLine="640"/>
        <w:jc w:val="both"/>
        <w:rPr>
          <w:rFonts w:ascii="楷体_GB2312" w:eastAsia="楷体_GB2312" w:hAnsi="仿宋"/>
          <w:b/>
          <w:bCs/>
          <w:sz w:val="32"/>
          <w:szCs w:val="32"/>
        </w:rPr>
      </w:pPr>
      <w:r>
        <w:rPr>
          <w:rFonts w:ascii="楷体_GB2312" w:eastAsia="楷体_GB2312" w:hAnsi="仿宋" w:hint="eastAsia"/>
          <w:b/>
          <w:bCs/>
          <w:sz w:val="32"/>
          <w:szCs w:val="32"/>
        </w:rPr>
        <w:t xml:space="preserve">（八）一般公共预算 “三公”经费决算情况 </w:t>
      </w:r>
    </w:p>
    <w:p w:rsidR="00AA43A1" w:rsidRPr="00AA43A1" w:rsidRDefault="00AA43A1" w:rsidP="00D03A89">
      <w:pPr>
        <w:autoSpaceDE w:val="0"/>
        <w:autoSpaceDN w:val="0"/>
        <w:adjustRightInd w:val="0"/>
        <w:spacing w:line="560" w:lineRule="exact"/>
        <w:ind w:firstLineChars="250" w:firstLine="800"/>
        <w:jc w:val="both"/>
        <w:rPr>
          <w:rFonts w:ascii="仿宋" w:eastAsia="仿宋" w:hAnsi="Times New Roman" w:cs="仿宋"/>
          <w:color w:val="000000"/>
          <w:sz w:val="32"/>
          <w:szCs w:val="32"/>
        </w:rPr>
      </w:pPr>
      <w:r w:rsidRPr="00D03A89">
        <w:rPr>
          <w:rFonts w:ascii="仿宋" w:eastAsia="仿宋" w:hAnsi="Times New Roman" w:cs="仿宋"/>
          <w:sz w:val="32"/>
          <w:szCs w:val="32"/>
        </w:rPr>
        <w:t>2017年</w:t>
      </w:r>
      <w:r w:rsidRPr="00D03A89">
        <w:rPr>
          <w:rFonts w:ascii="仿宋" w:eastAsia="仿宋" w:hAnsi="Times New Roman" w:cs="仿宋" w:hint="eastAsia"/>
          <w:sz w:val="32"/>
          <w:szCs w:val="32"/>
        </w:rPr>
        <w:t>度一般公共预算财政拨款</w:t>
      </w:r>
      <w:r w:rsidRPr="00D03A89">
        <w:rPr>
          <w:rFonts w:ascii="仿宋" w:eastAsia="仿宋" w:hAnsi="Times New Roman" w:cs="仿宋"/>
          <w:color w:val="000000"/>
          <w:sz w:val="32"/>
          <w:szCs w:val="32"/>
        </w:rPr>
        <w:t>“</w:t>
      </w:r>
      <w:r w:rsidRPr="00D03A89">
        <w:rPr>
          <w:rFonts w:ascii="仿宋" w:eastAsia="仿宋" w:hAnsi="Times New Roman" w:cs="仿宋" w:hint="eastAsia"/>
          <w:color w:val="000000"/>
          <w:sz w:val="32"/>
          <w:szCs w:val="32"/>
        </w:rPr>
        <w:t>三公</w:t>
      </w:r>
      <w:r w:rsidRPr="00D03A89">
        <w:rPr>
          <w:rFonts w:ascii="仿宋" w:eastAsia="仿宋" w:hAnsi="Times New Roman" w:cs="仿宋"/>
          <w:color w:val="000000"/>
          <w:sz w:val="32"/>
          <w:szCs w:val="32"/>
        </w:rPr>
        <w:t>”</w:t>
      </w:r>
      <w:r w:rsidRPr="00D03A89">
        <w:rPr>
          <w:rFonts w:ascii="仿宋" w:eastAsia="仿宋" w:hAnsi="Times New Roman" w:cs="仿宋" w:hint="eastAsia"/>
          <w:color w:val="000000"/>
          <w:sz w:val="32"/>
          <w:szCs w:val="32"/>
        </w:rPr>
        <w:t>经费</w:t>
      </w:r>
      <w:r w:rsidRPr="00D03A89">
        <w:rPr>
          <w:rFonts w:ascii="仿宋" w:eastAsia="仿宋" w:hAnsi="Times New Roman" w:cs="仿宋" w:hint="eastAsia"/>
          <w:sz w:val="32"/>
          <w:szCs w:val="32"/>
        </w:rPr>
        <w:t>支出7.76</w:t>
      </w:r>
      <w:r w:rsidRPr="00D03A89">
        <w:rPr>
          <w:rFonts w:ascii="仿宋" w:eastAsia="仿宋" w:hAnsi="Times New Roman" w:cs="仿宋" w:hint="eastAsia"/>
          <w:sz w:val="30"/>
          <w:szCs w:val="30"/>
          <w:lang w:val="zh-CN"/>
        </w:rPr>
        <w:t xml:space="preserve">    </w:t>
      </w:r>
      <w:r w:rsidRPr="00D03A89">
        <w:rPr>
          <w:rFonts w:ascii="仿宋" w:eastAsia="仿宋" w:hAnsi="Times New Roman" w:cs="仿宋" w:hint="eastAsia"/>
          <w:sz w:val="32"/>
          <w:szCs w:val="32"/>
        </w:rPr>
        <w:t>万元，比年初预算减少</w:t>
      </w:r>
      <w:r w:rsidR="007C4C0C" w:rsidRPr="00D03A89">
        <w:rPr>
          <w:rFonts w:ascii="仿宋" w:eastAsia="仿宋" w:hAnsi="Times New Roman" w:cs="仿宋"/>
          <w:sz w:val="32"/>
          <w:szCs w:val="32"/>
        </w:rPr>
        <w:t>1.13</w:t>
      </w:r>
      <w:r w:rsidRPr="00D03A89">
        <w:rPr>
          <w:rFonts w:ascii="仿宋" w:eastAsia="仿宋" w:hAnsi="Times New Roman" w:cs="仿宋" w:hint="eastAsia"/>
          <w:sz w:val="32"/>
          <w:szCs w:val="32"/>
        </w:rPr>
        <w:t>万元，下降</w:t>
      </w:r>
      <w:r w:rsidR="007C4C0C" w:rsidRPr="00D03A89">
        <w:rPr>
          <w:rFonts w:ascii="仿宋" w:eastAsia="仿宋" w:hAnsi="Times New Roman" w:cs="仿宋"/>
          <w:sz w:val="32"/>
          <w:szCs w:val="32"/>
        </w:rPr>
        <w:t>17.04</w:t>
      </w:r>
      <w:r w:rsidRPr="00D03A89">
        <w:rPr>
          <w:rFonts w:ascii="仿宋" w:eastAsia="仿宋" w:hAnsi="Times New Roman" w:cs="仿宋" w:hint="eastAsia"/>
          <w:sz w:val="32"/>
          <w:szCs w:val="32"/>
        </w:rPr>
        <w:t>%，主要原因是厉行节约；比上年决算数减少4</w:t>
      </w:r>
      <w:r w:rsidRPr="00D03A89">
        <w:rPr>
          <w:rFonts w:ascii="仿宋" w:eastAsia="仿宋" w:hAnsi="Times New Roman" w:cs="仿宋"/>
          <w:sz w:val="32"/>
          <w:szCs w:val="32"/>
        </w:rPr>
        <w:t>.27</w:t>
      </w:r>
      <w:r w:rsidRPr="00D03A89">
        <w:rPr>
          <w:rFonts w:ascii="仿宋" w:eastAsia="仿宋" w:hAnsi="Times New Roman" w:cs="仿宋" w:hint="eastAsia"/>
          <w:sz w:val="32"/>
          <w:szCs w:val="32"/>
        </w:rPr>
        <w:t>万元，下降3</w:t>
      </w:r>
      <w:r w:rsidRPr="00D03A89">
        <w:rPr>
          <w:rFonts w:ascii="仿宋" w:eastAsia="仿宋" w:hAnsi="Times New Roman" w:cs="仿宋"/>
          <w:sz w:val="32"/>
          <w:szCs w:val="32"/>
        </w:rPr>
        <w:t>5.49%</w:t>
      </w:r>
      <w:r w:rsidRPr="00D03A89">
        <w:rPr>
          <w:rFonts w:ascii="仿宋" w:eastAsia="仿宋" w:hAnsi="Times New Roman" w:cs="仿宋" w:hint="eastAsia"/>
          <w:sz w:val="32"/>
          <w:szCs w:val="32"/>
        </w:rPr>
        <w:t>，主要原因是厉行节约以及普查</w:t>
      </w:r>
      <w:r w:rsidRPr="00D03A89">
        <w:rPr>
          <w:rFonts w:ascii="仿宋" w:eastAsia="仿宋" w:hAnsi="Times New Roman" w:cs="仿宋"/>
          <w:sz w:val="32"/>
          <w:szCs w:val="32"/>
        </w:rPr>
        <w:t>专用车辆上缴</w:t>
      </w:r>
      <w:r w:rsidRPr="00D03A89">
        <w:rPr>
          <w:rFonts w:ascii="仿宋" w:eastAsia="仿宋" w:hAnsi="Times New Roman" w:cs="仿宋" w:hint="eastAsia"/>
          <w:sz w:val="32"/>
          <w:szCs w:val="32"/>
        </w:rPr>
        <w:t>。</w:t>
      </w:r>
    </w:p>
    <w:p w:rsidR="00433C98" w:rsidRDefault="00433C98" w:rsidP="00433C98">
      <w:pPr>
        <w:widowControl w:val="0"/>
        <w:spacing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1.因公出国（境）费用：根据外事部门安排的因公出国计划和实际工作需要，2017年度一般公共预算财政拨款因公出国（境）支出3.40万元，比年初预算减少0.10万元，下降2.86%，</w:t>
      </w:r>
      <w:r w:rsidR="00170F79">
        <w:rPr>
          <w:rFonts w:ascii="仿宋_GB2312" w:eastAsia="仿宋_GB2312" w:hAnsi="仿宋" w:hint="eastAsia"/>
          <w:sz w:val="32"/>
          <w:szCs w:val="32"/>
        </w:rPr>
        <w:t>主要原因是严格控制支出</w:t>
      </w:r>
      <w:r>
        <w:rPr>
          <w:rFonts w:ascii="仿宋_GB2312" w:eastAsia="仿宋_GB2312" w:hAnsi="仿宋" w:hint="eastAsia"/>
          <w:sz w:val="32"/>
          <w:szCs w:val="32"/>
        </w:rPr>
        <w:t>；比上年决算数减少0.97万元，下降22.28%，主要原因是出访国家、行程、时间不同。</w:t>
      </w:r>
      <w:r>
        <w:rPr>
          <w:rFonts w:ascii="仿宋_GB2312" w:eastAsia="仿宋_GB2312" w:hAnsi="仿宋" w:hint="eastAsia"/>
          <w:sz w:val="32"/>
          <w:szCs w:val="32"/>
        </w:rPr>
        <w:lastRenderedPageBreak/>
        <w:t>因公出国（境）费用主要用于机关及下属预算单位人员的公务出国（境）的住宿费、国际旅费、培训费、公杂费等支出。本部门全年组织因公出国(境)团组</w:t>
      </w:r>
      <w:r w:rsidR="00D03A89">
        <w:rPr>
          <w:rFonts w:ascii="仿宋_GB2312" w:eastAsia="仿宋_GB2312" w:hAnsi="仿宋" w:hint="eastAsia"/>
          <w:sz w:val="32"/>
          <w:szCs w:val="32"/>
        </w:rPr>
        <w:t>0)</w:t>
      </w:r>
      <w:r>
        <w:rPr>
          <w:rFonts w:ascii="仿宋_GB2312" w:eastAsia="仿宋_GB2312" w:hAnsi="仿宋" w:hint="eastAsia"/>
          <w:sz w:val="32"/>
          <w:szCs w:val="32"/>
        </w:rPr>
        <w:t>个；本部门全年因公出国(境)累计1人次。</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2.公务接待费：2017年度一般公共预算财政拨款公务接待费支出4.72万元，比年初预算减少1.03万元，下降17.86%，主要原因是八项规定后接待批次及平均费用均逐年下降；比上年决算数减少1.02万元，下降17.79%，减少的主要原因是八项规定后接待批次及平均费用均逐年下降。公务接待费主要用于接待统计系统上下级来温考察、调研、汇报用餐支出。其中，本部门国内公务接待30批次，192人次，支出4.72万元；国（境）外事接待0批次，0人次，支出0万元。</w:t>
      </w:r>
    </w:p>
    <w:p w:rsidR="007209BC" w:rsidRPr="007209BC" w:rsidRDefault="00433C98" w:rsidP="007209BC">
      <w:pPr>
        <w:shd w:val="clear" w:color="auto" w:fill="FFFFFF"/>
        <w:spacing w:line="600" w:lineRule="atLeast"/>
        <w:ind w:firstLine="640"/>
        <w:jc w:val="both"/>
        <w:rPr>
          <w:lang w:eastAsia="zh-Hans"/>
        </w:rPr>
      </w:pPr>
      <w:r>
        <w:rPr>
          <w:rFonts w:ascii="仿宋_GB2312" w:eastAsia="仿宋_GB2312" w:hAnsi="仿宋" w:hint="eastAsia"/>
          <w:sz w:val="32"/>
          <w:szCs w:val="32"/>
        </w:rPr>
        <w:t>3.</w:t>
      </w:r>
      <w:r w:rsidR="007209BC" w:rsidRPr="007209BC">
        <w:rPr>
          <w:rFonts w:ascii="仿宋" w:eastAsia="仿宋" w:hAnsi="仿宋" w:hint="eastAsia"/>
          <w:sz w:val="32"/>
          <w:szCs w:val="32"/>
          <w:lang w:eastAsia="zh-Hans"/>
        </w:rPr>
        <w:t xml:space="preserve"> 公务用车购置及运行维护费：2017年度一般公共预算财政拨款公务用车购置及运行维护费支出0万元，比年初预算增加（减少）0万元，增长（下降）0%</w:t>
      </w:r>
      <w:r w:rsidR="00170F79">
        <w:rPr>
          <w:rFonts w:ascii="仿宋" w:eastAsia="仿宋" w:hAnsi="仿宋" w:hint="eastAsia"/>
          <w:sz w:val="32"/>
          <w:szCs w:val="32"/>
        </w:rPr>
        <w:t>，主要原因是公车已改革，本部门已无公务用车</w:t>
      </w:r>
      <w:r w:rsidR="007209BC">
        <w:rPr>
          <w:rFonts w:ascii="仿宋" w:eastAsia="仿宋" w:hAnsi="仿宋" w:hint="eastAsia"/>
          <w:sz w:val="32"/>
          <w:szCs w:val="32"/>
          <w:lang w:eastAsia="zh-Hans"/>
        </w:rPr>
        <w:t>；比上年决算数减少</w:t>
      </w:r>
      <w:r w:rsidR="007209BC" w:rsidRPr="007209BC">
        <w:rPr>
          <w:rFonts w:ascii="仿宋" w:eastAsia="仿宋" w:hAnsi="仿宋" w:hint="eastAsia"/>
          <w:sz w:val="32"/>
          <w:szCs w:val="32"/>
          <w:lang w:eastAsia="zh-Hans"/>
        </w:rPr>
        <w:t>2.28万元，</w:t>
      </w:r>
      <w:r w:rsidR="007209BC">
        <w:rPr>
          <w:rFonts w:ascii="仿宋" w:eastAsia="仿宋" w:hAnsi="仿宋" w:hint="eastAsia"/>
          <w:sz w:val="32"/>
          <w:szCs w:val="32"/>
          <w:lang w:eastAsia="zh-Hans"/>
        </w:rPr>
        <w:t>下降</w:t>
      </w:r>
      <w:r w:rsidR="007209BC" w:rsidRPr="007209BC">
        <w:rPr>
          <w:rFonts w:ascii="仿宋" w:eastAsia="仿宋" w:hAnsi="仿宋" w:hint="eastAsia"/>
          <w:sz w:val="32"/>
          <w:szCs w:val="32"/>
          <w:lang w:eastAsia="zh-Hans"/>
        </w:rPr>
        <w:t>100.00%。</w:t>
      </w:r>
      <w:r w:rsidR="007209BC">
        <w:rPr>
          <w:rFonts w:ascii="仿宋" w:eastAsia="仿宋" w:hAnsi="仿宋" w:hint="eastAsia"/>
          <w:sz w:val="32"/>
          <w:szCs w:val="32"/>
          <w:lang w:eastAsia="zh-Hans"/>
        </w:rPr>
        <w:t>减少</w:t>
      </w:r>
      <w:r w:rsidR="007209BC" w:rsidRPr="007209BC">
        <w:rPr>
          <w:rFonts w:ascii="仿宋" w:eastAsia="仿宋" w:hAnsi="仿宋" w:hint="eastAsia"/>
          <w:sz w:val="32"/>
          <w:szCs w:val="32"/>
          <w:lang w:eastAsia="zh-Hans"/>
        </w:rPr>
        <w:t>的主要原因是</w:t>
      </w:r>
      <w:r w:rsidR="007209BC">
        <w:rPr>
          <w:rFonts w:ascii="仿宋" w:eastAsia="仿宋" w:hAnsi="仿宋" w:hint="eastAsia"/>
          <w:sz w:val="32"/>
          <w:szCs w:val="32"/>
          <w:lang w:eastAsia="zh-Hans"/>
        </w:rPr>
        <w:t>普查</w:t>
      </w:r>
      <w:r w:rsidR="007209BC">
        <w:rPr>
          <w:rFonts w:ascii="仿宋" w:eastAsia="仿宋" w:hAnsi="仿宋"/>
          <w:sz w:val="32"/>
          <w:szCs w:val="32"/>
          <w:lang w:eastAsia="zh-Hans"/>
        </w:rPr>
        <w:t>专用</w:t>
      </w:r>
      <w:r w:rsidR="007209BC">
        <w:rPr>
          <w:rFonts w:ascii="仿宋" w:eastAsia="仿宋" w:hAnsi="仿宋" w:hint="eastAsia"/>
          <w:sz w:val="32"/>
          <w:szCs w:val="32"/>
        </w:rPr>
        <w:t>车辆</w:t>
      </w:r>
      <w:r w:rsidR="007209BC">
        <w:rPr>
          <w:rFonts w:ascii="仿宋" w:eastAsia="仿宋" w:hAnsi="仿宋"/>
          <w:sz w:val="32"/>
          <w:szCs w:val="32"/>
        </w:rPr>
        <w:t>归还机关事务管理局</w:t>
      </w:r>
      <w:r w:rsidR="007209BC" w:rsidRPr="007209BC">
        <w:rPr>
          <w:rFonts w:ascii="仿宋" w:eastAsia="仿宋" w:hAnsi="仿宋" w:hint="eastAsia"/>
          <w:sz w:val="32"/>
          <w:szCs w:val="32"/>
          <w:lang w:eastAsia="zh-Hans"/>
        </w:rPr>
        <w:t>。具体内容如下：</w:t>
      </w:r>
    </w:p>
    <w:p w:rsidR="007209BC" w:rsidRPr="007209BC" w:rsidRDefault="007209BC" w:rsidP="007209BC">
      <w:pPr>
        <w:shd w:val="clear" w:color="auto" w:fill="FFFFFF"/>
        <w:spacing w:line="600" w:lineRule="atLeast"/>
        <w:ind w:firstLine="640"/>
        <w:jc w:val="both"/>
        <w:rPr>
          <w:lang w:eastAsia="zh-Hans"/>
        </w:rPr>
      </w:pPr>
      <w:r w:rsidRPr="007209BC">
        <w:rPr>
          <w:rFonts w:ascii="仿宋" w:eastAsia="仿宋" w:hAnsi="仿宋" w:hint="eastAsia"/>
          <w:sz w:val="32"/>
          <w:szCs w:val="32"/>
          <w:lang w:eastAsia="zh-Hans"/>
        </w:rPr>
        <w:t>公务用车购置支出0万元（含购置税等附加费用），主要用于经批准购置的0辆公务用车。</w:t>
      </w:r>
    </w:p>
    <w:p w:rsidR="007209BC" w:rsidRPr="007209BC" w:rsidRDefault="007209BC" w:rsidP="007209BC">
      <w:pPr>
        <w:shd w:val="clear" w:color="auto" w:fill="FFFFFF"/>
        <w:spacing w:line="600" w:lineRule="atLeast"/>
        <w:ind w:firstLine="640"/>
        <w:jc w:val="both"/>
        <w:rPr>
          <w:lang w:eastAsia="zh-Hans"/>
        </w:rPr>
      </w:pPr>
      <w:r w:rsidRPr="007209BC">
        <w:rPr>
          <w:rFonts w:ascii="仿宋" w:eastAsia="仿宋" w:hAnsi="仿宋" w:hint="eastAsia"/>
          <w:sz w:val="32"/>
          <w:szCs w:val="32"/>
          <w:lang w:eastAsia="zh-Hans"/>
        </w:rPr>
        <w:lastRenderedPageBreak/>
        <w:t>公务用车运行维护费支出0万元</w:t>
      </w:r>
      <w:r>
        <w:rPr>
          <w:rFonts w:ascii="仿宋" w:eastAsia="仿宋" w:hAnsi="仿宋" w:hint="eastAsia"/>
          <w:sz w:val="32"/>
          <w:szCs w:val="32"/>
          <w:lang w:eastAsia="zh-Hans"/>
        </w:rPr>
        <w:t>。</w:t>
      </w:r>
      <w:r w:rsidRPr="007209BC">
        <w:rPr>
          <w:rFonts w:ascii="仿宋" w:eastAsia="仿宋" w:hAnsi="仿宋" w:hint="eastAsia"/>
          <w:sz w:val="32"/>
          <w:szCs w:val="32"/>
          <w:lang w:eastAsia="zh-Hans"/>
        </w:rPr>
        <w:t xml:space="preserve"> 2017年度，本级及所属单位使用一般公共预算资金开支费用的公务用车保有量为0辆。</w:t>
      </w:r>
    </w:p>
    <w:p w:rsidR="00433C98" w:rsidRDefault="00433C98" w:rsidP="007209BC">
      <w:pPr>
        <w:widowControl w:val="0"/>
        <w:spacing w:line="560" w:lineRule="exact"/>
        <w:ind w:firstLineChars="200" w:firstLine="643"/>
        <w:jc w:val="both"/>
        <w:rPr>
          <w:rFonts w:ascii="楷体_GB2312" w:eastAsia="楷体_GB2312" w:hAnsi="仿宋"/>
          <w:b/>
          <w:sz w:val="32"/>
          <w:szCs w:val="32"/>
        </w:rPr>
      </w:pPr>
      <w:r>
        <w:rPr>
          <w:rFonts w:ascii="楷体_GB2312" w:eastAsia="楷体_GB2312" w:hAnsi="仿宋" w:hint="eastAsia"/>
          <w:b/>
          <w:sz w:val="32"/>
          <w:szCs w:val="32"/>
        </w:rPr>
        <w:t xml:space="preserve">（九）其他重要事项情况说明 </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1、机关运行经费支出情况2017年度 温州市统计局局机关、所属温州市统计局普查中心、温州市统计局数据管理中心、温州市社会经济调查队等1家行政单位以及所属3家事业单位（2家参公）的机关运行经费支出184.56万元，比上年减少25.70万元，下降12.22%，是由于伙食补助及食堂运行费标准提高，预算规模不变的情况下，商品服务支出在基本支出的比例下降。</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 xml:space="preserve">2、政府采购情况 </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2017年度温州市统计局本级及所属各预算单位政府采购预算17.85万元，采购支出总额17.60万元。其中：货物采购支出17.60万元，占政府采购支出总额100%。</w:t>
      </w:r>
    </w:p>
    <w:p w:rsidR="00433C98" w:rsidRDefault="00433C98" w:rsidP="00433C98">
      <w:pPr>
        <w:shd w:val="clear" w:color="auto" w:fill="FFFFFF"/>
        <w:spacing w:line="600" w:lineRule="atLeast"/>
        <w:ind w:firstLine="640"/>
        <w:jc w:val="both"/>
        <w:rPr>
          <w:rFonts w:ascii="仿宋_GB2312" w:eastAsia="仿宋_GB2312" w:hAnsi="仿宋"/>
          <w:sz w:val="32"/>
          <w:szCs w:val="32"/>
        </w:rPr>
      </w:pPr>
      <w:r>
        <w:rPr>
          <w:rFonts w:ascii="仿宋_GB2312" w:eastAsia="仿宋_GB2312" w:hAnsi="仿宋" w:hint="eastAsia"/>
          <w:sz w:val="32"/>
          <w:szCs w:val="32"/>
        </w:rPr>
        <w:t>3、国有资产占用情况</w:t>
      </w:r>
    </w:p>
    <w:p w:rsidR="00433C98" w:rsidRDefault="00433C98" w:rsidP="00433C98">
      <w:pPr>
        <w:shd w:val="clear" w:color="auto" w:fill="FFFFFF"/>
        <w:spacing w:line="600" w:lineRule="atLeast"/>
        <w:ind w:firstLine="640"/>
        <w:jc w:val="both"/>
        <w:rPr>
          <w:lang w:eastAsia="zh-Hans"/>
        </w:rPr>
      </w:pPr>
      <w:r>
        <w:rPr>
          <w:rFonts w:ascii="仿宋" w:eastAsia="仿宋" w:hAnsi="仿宋" w:hint="eastAsia"/>
          <w:sz w:val="32"/>
          <w:szCs w:val="32"/>
          <w:lang w:eastAsia="zh-Hans"/>
        </w:rPr>
        <w:t>截止2017年底，本单位及所属各预算单位资产合计444.57万元，比上年下降6.73%，主要原因是固定资产正常报废。其中：流动资产53.88万元，占总资产的12.12%；固定资产390.69万元，占总资产的87.88%；在建工程0万元，占总资产的0%。固定资产含：车辆0辆，其中:一般公务用车0辆、一般执法执勤用车0辆、特种专业技术用车0辆、</w:t>
      </w:r>
      <w:r>
        <w:rPr>
          <w:rFonts w:ascii="仿宋" w:eastAsia="仿宋" w:hAnsi="仿宋" w:hint="eastAsia"/>
          <w:sz w:val="32"/>
          <w:szCs w:val="32"/>
          <w:lang w:eastAsia="zh-Hans"/>
        </w:rPr>
        <w:lastRenderedPageBreak/>
        <w:t>其他用车0辆；单位价值50万元（含）以上通用设备0套（台）;单位价值100万元（含）以上专用设备0套（台）。</w:t>
      </w:r>
    </w:p>
    <w:p w:rsidR="00433C98" w:rsidRDefault="00433C98" w:rsidP="00433C98">
      <w:pPr>
        <w:widowControl w:val="0"/>
        <w:spacing w:line="560" w:lineRule="exact"/>
        <w:ind w:firstLineChars="200" w:firstLine="480"/>
        <w:jc w:val="both"/>
        <w:rPr>
          <w:rFonts w:ascii="仿宋_GB2312" w:eastAsia="仿宋_GB2312" w:hAnsi="仿宋"/>
          <w:sz w:val="32"/>
          <w:szCs w:val="32"/>
        </w:rPr>
      </w:pPr>
      <w:r>
        <w:rPr>
          <w:rFonts w:hint="eastAsia"/>
        </w:rPr>
        <w:t>4</w:t>
      </w:r>
      <w:r>
        <w:rPr>
          <w:rFonts w:ascii="仿宋_GB2312" w:eastAsia="仿宋_GB2312" w:hAnsi="仿宋" w:hint="eastAsia"/>
          <w:sz w:val="32"/>
          <w:szCs w:val="32"/>
        </w:rPr>
        <w:t>、绩效评价结果情况</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 xml:space="preserve"> (1)部门开展的绩效自评情况。</w:t>
      </w:r>
    </w:p>
    <w:p w:rsidR="00433C98" w:rsidRDefault="00433C98" w:rsidP="00433C98">
      <w:pPr>
        <w:widowControl w:val="0"/>
        <w:spacing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根据预算管理要求，本部门组织对2017年度一般公共预算项目支出开展了绩效自评，自评项目12个，共涉及资金259.76万元，占项目支出预算总额的93.57%。绩效评价结果显示，自评结果为优秀12个，良好0个，一般0个，较差0个。</w:t>
      </w:r>
    </w:p>
    <w:p w:rsidR="00433C98" w:rsidRDefault="00433C98" w:rsidP="00433C98">
      <w:pPr>
        <w:widowControl w:val="0"/>
        <w:spacing w:line="560" w:lineRule="exact"/>
        <w:ind w:firstLineChars="200" w:firstLine="480"/>
        <w:jc w:val="both"/>
        <w:rPr>
          <w:rFonts w:ascii="仿宋_GB2312" w:eastAsia="仿宋_GB2312"/>
          <w:sz w:val="32"/>
          <w:szCs w:val="32"/>
        </w:rPr>
      </w:pPr>
      <w:r>
        <w:rPr>
          <w:rFonts w:hint="eastAsia"/>
        </w:rPr>
        <w:t xml:space="preserve"> (2)</w:t>
      </w:r>
      <w:r>
        <w:rPr>
          <w:rFonts w:ascii="仿宋_GB2312" w:eastAsia="仿宋_GB2312" w:hAnsi="仿宋" w:hint="eastAsia"/>
          <w:sz w:val="32"/>
          <w:szCs w:val="32"/>
        </w:rPr>
        <w:t>财政部门组织开展的绩效评价情况</w:t>
      </w:r>
    </w:p>
    <w:p w:rsidR="00433C98" w:rsidRDefault="00433C98" w:rsidP="00433C98">
      <w:pPr>
        <w:widowControl w:val="0"/>
        <w:spacing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2017年度满意度调查项目是我局唯一由财政部门选中并组织开展的绩效评价项目。该项目经费主要用于调查员培训、劳务等，全年支出85.44万元，评价结果等次为优秀。</w:t>
      </w:r>
    </w:p>
    <w:p w:rsidR="00433C98" w:rsidRDefault="00433C98" w:rsidP="00433C98">
      <w:pPr>
        <w:spacing w:line="600" w:lineRule="atLeast"/>
        <w:ind w:firstLine="640"/>
        <w:jc w:val="both"/>
        <w:rPr>
          <w:rFonts w:ascii="楷体_GB2312" w:eastAsia="楷体_GB2312" w:hAnsi="仿宋"/>
          <w:b/>
          <w:bCs/>
          <w:sz w:val="32"/>
          <w:szCs w:val="32"/>
        </w:rPr>
      </w:pPr>
      <w:r>
        <w:rPr>
          <w:rFonts w:ascii="楷体_GB2312" w:eastAsia="楷体_GB2312" w:hAnsi="仿宋" w:hint="eastAsia"/>
          <w:b/>
          <w:bCs/>
          <w:sz w:val="32"/>
          <w:szCs w:val="32"/>
        </w:rPr>
        <w:t xml:space="preserve">（十）其他需要公开的事项 </w:t>
      </w:r>
    </w:p>
    <w:p w:rsidR="00433C98" w:rsidRDefault="00433C98" w:rsidP="00433C98">
      <w:pPr>
        <w:widowControl w:val="0"/>
        <w:spacing w:line="560" w:lineRule="exact"/>
        <w:ind w:firstLineChars="200" w:firstLine="640"/>
        <w:jc w:val="both"/>
        <w:rPr>
          <w:rFonts w:ascii="仿宋_GB2312" w:eastAsia="仿宋_GB2312"/>
          <w:sz w:val="32"/>
          <w:szCs w:val="32"/>
        </w:rPr>
      </w:pPr>
      <w:r>
        <w:rPr>
          <w:rFonts w:ascii="仿宋_GB2312" w:eastAsia="仿宋_GB2312" w:hAnsi="仿宋" w:hint="eastAsia"/>
          <w:sz w:val="32"/>
          <w:szCs w:val="32"/>
        </w:rPr>
        <w:t>无</w:t>
      </w:r>
    </w:p>
    <w:p w:rsidR="00433C98" w:rsidRDefault="00433C98" w:rsidP="00433C98">
      <w:pPr>
        <w:spacing w:line="600" w:lineRule="atLeast"/>
        <w:ind w:firstLine="640"/>
        <w:jc w:val="both"/>
        <w:rPr>
          <w:rStyle w:val="a6"/>
          <w:rFonts w:ascii="黑体" w:eastAsia="黑体" w:hAnsi="黑体" w:cs="Arial"/>
          <w:b w:val="0"/>
        </w:rPr>
      </w:pPr>
      <w:r>
        <w:rPr>
          <w:rStyle w:val="a6"/>
          <w:rFonts w:ascii="黑体" w:eastAsia="黑体" w:hAnsi="黑体" w:cs="Arial" w:hint="eastAsia"/>
          <w:b w:val="0"/>
          <w:sz w:val="32"/>
          <w:szCs w:val="32"/>
        </w:rPr>
        <w:t>四、名词解释</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1.财政拨款收入：</w:t>
      </w:r>
      <w:r>
        <w:rPr>
          <w:rFonts w:ascii="仿宋_GB2312" w:eastAsia="仿宋_GB2312" w:hAnsi="仿宋" w:hint="eastAsia"/>
          <w:sz w:val="32"/>
          <w:szCs w:val="32"/>
        </w:rPr>
        <w:t>从同级财政部门取得的财政拨款，包括一般公共预算财政拨款和政府性基金预算财政拨款。</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2.事业收入：</w:t>
      </w:r>
      <w:r>
        <w:rPr>
          <w:rFonts w:ascii="仿宋_GB2312" w:eastAsia="仿宋_GB2312" w:hAnsi="仿宋" w:hint="eastAsia"/>
          <w:sz w:val="32"/>
          <w:szCs w:val="32"/>
        </w:rPr>
        <w:t xml:space="preserve">事业单位开展专业业务活动及辅助活动所取得的收入（含事业单位收到的财政专户实际核拨的资金）。 </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3.经营收入：</w:t>
      </w:r>
      <w:r>
        <w:rPr>
          <w:rFonts w:ascii="仿宋_GB2312" w:eastAsia="仿宋_GB2312" w:hAnsi="仿宋" w:hint="eastAsia"/>
          <w:sz w:val="32"/>
          <w:szCs w:val="32"/>
        </w:rPr>
        <w:t xml:space="preserve">事业单位在专业业务活动及辅助活动之外开展非独立核算经营活动取得的收入。 </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4.其他收入：</w:t>
      </w:r>
      <w:r>
        <w:rPr>
          <w:rFonts w:ascii="仿宋_GB2312" w:eastAsia="仿宋_GB2312" w:hAnsi="仿宋" w:hint="eastAsia"/>
          <w:sz w:val="32"/>
          <w:szCs w:val="32"/>
        </w:rPr>
        <w:t>预算单位在“财政拨款”、“事业收入”、</w:t>
      </w:r>
      <w:r>
        <w:rPr>
          <w:rFonts w:ascii="仿宋_GB2312" w:eastAsia="仿宋_GB2312" w:hAnsi="仿宋" w:hint="eastAsia"/>
          <w:sz w:val="32"/>
          <w:szCs w:val="32"/>
        </w:rPr>
        <w:lastRenderedPageBreak/>
        <w:t>“经营收入”、“附属单位上缴收入”等之外取得的各项收入。</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5.用事业基金弥补收支差额：</w:t>
      </w:r>
      <w:r>
        <w:rPr>
          <w:rFonts w:ascii="仿宋_GB2312" w:eastAsia="仿宋_GB2312" w:hAnsi="仿宋" w:hint="eastAsia"/>
          <w:sz w:val="32"/>
          <w:szCs w:val="32"/>
        </w:rPr>
        <w:t>事业单位在当年收入不足以安排当年支出情况下，使用以前年度积累的事业基金弥补本年收支缺口的资金。</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6.年初结转和结余：</w:t>
      </w:r>
      <w:r>
        <w:rPr>
          <w:rFonts w:ascii="仿宋_GB2312" w:eastAsia="仿宋_GB2312" w:hAnsi="仿宋" w:hint="eastAsia"/>
          <w:sz w:val="32"/>
          <w:szCs w:val="32"/>
        </w:rPr>
        <w:t>预算单位以前年度尚未完成、结转到本年按有关规定继续使用的资金。</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7.结余分配：</w:t>
      </w:r>
      <w:r>
        <w:rPr>
          <w:rFonts w:ascii="仿宋_GB2312" w:eastAsia="仿宋_GB2312" w:hAnsi="仿宋" w:hint="eastAsia"/>
          <w:sz w:val="32"/>
          <w:szCs w:val="32"/>
        </w:rPr>
        <w:t xml:space="preserve">事业单位按照国家规定应交所得税和提取事业基金、专用基金的分配情况和结果。 </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8.年末结转和结余：</w:t>
      </w:r>
      <w:r>
        <w:rPr>
          <w:rFonts w:ascii="仿宋_GB2312" w:eastAsia="仿宋_GB2312" w:hAnsi="仿宋" w:hint="eastAsia"/>
          <w:sz w:val="32"/>
          <w:szCs w:val="32"/>
        </w:rPr>
        <w:t>指单位按有关规定结转到下年或以后年度继续使用的资金。</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9.基本支出：</w:t>
      </w:r>
      <w:r>
        <w:rPr>
          <w:rFonts w:ascii="仿宋_GB2312" w:eastAsia="仿宋_GB2312" w:hAnsi="仿宋" w:hint="eastAsia"/>
          <w:sz w:val="32"/>
          <w:szCs w:val="32"/>
        </w:rPr>
        <w:t>是预算单位为保障其正常运转，完成日常工作任务所发生的支出，包括人员支出和日常公用支出。</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10.项目支出：</w:t>
      </w:r>
      <w:r>
        <w:rPr>
          <w:rFonts w:ascii="仿宋_GB2312" w:eastAsia="仿宋_GB2312" w:hAnsi="仿宋" w:hint="eastAsia"/>
          <w:sz w:val="32"/>
          <w:szCs w:val="32"/>
        </w:rPr>
        <w:t xml:space="preserve">是预算单位为完成其特定的行政工作任务或事业发展目标，在基本支出之外发生的各项支出。 </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11.事业单位经营支出：</w:t>
      </w:r>
      <w:r>
        <w:rPr>
          <w:rFonts w:ascii="仿宋_GB2312" w:eastAsia="仿宋_GB2312" w:hAnsi="仿宋" w:hint="eastAsia"/>
          <w:sz w:val="32"/>
          <w:szCs w:val="32"/>
        </w:rPr>
        <w:t xml:space="preserve">指事业单位在专业业务活动及其辅助活动之外开展非独立核算经营活动发生的支出。 </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12.因公出国（境）费用：</w:t>
      </w:r>
      <w:r>
        <w:rPr>
          <w:rFonts w:ascii="仿宋_GB2312" w:eastAsia="仿宋_GB2312" w:hAnsi="仿宋" w:hint="eastAsia"/>
          <w:sz w:val="32"/>
          <w:szCs w:val="32"/>
        </w:rPr>
        <w:t>反映单位公务出国（境）的国际旅费、国外城市间交通费、住宿费、伙食费、培训费、公杂费等支出。</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13.公务接待费：</w:t>
      </w:r>
      <w:r>
        <w:rPr>
          <w:rFonts w:ascii="仿宋_GB2312" w:eastAsia="仿宋_GB2312" w:hAnsi="仿宋" w:hint="eastAsia"/>
          <w:sz w:val="32"/>
          <w:szCs w:val="32"/>
        </w:rPr>
        <w:t>反映单位按规定开支的各类公务接待（含外宾接待）费用。</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14.公务用车购置：</w:t>
      </w:r>
      <w:r>
        <w:rPr>
          <w:rFonts w:ascii="仿宋_GB2312" w:eastAsia="仿宋_GB2312" w:hAnsi="仿宋" w:hint="eastAsia"/>
          <w:sz w:val="32"/>
          <w:szCs w:val="32"/>
        </w:rPr>
        <w:t>反映公务用车购置支出（含车辆购</w:t>
      </w:r>
      <w:r>
        <w:rPr>
          <w:rFonts w:ascii="仿宋_GB2312" w:eastAsia="仿宋_GB2312" w:hAnsi="仿宋" w:hint="eastAsia"/>
          <w:sz w:val="32"/>
          <w:szCs w:val="32"/>
        </w:rPr>
        <w:lastRenderedPageBreak/>
        <w:t>置税、牌照费）。</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15.公务用车运行维护费：</w:t>
      </w:r>
      <w:r>
        <w:rPr>
          <w:rFonts w:ascii="仿宋_GB2312" w:eastAsia="仿宋_GB2312" w:hAnsi="仿宋" w:hint="eastAsia"/>
          <w:sz w:val="32"/>
          <w:szCs w:val="32"/>
        </w:rPr>
        <w:t>反映按规定保留的公务用车燃料费、维修费、过桥过路费、保险费、安全奖励费用等支出。</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16.机关运行经费：</w:t>
      </w:r>
      <w:r>
        <w:rPr>
          <w:rFonts w:ascii="仿宋_GB2312" w:eastAsia="仿宋_GB2312" w:hAnsi="仿宋" w:hint="eastAsia"/>
          <w:sz w:val="32"/>
          <w:szCs w:val="32"/>
        </w:rPr>
        <w:t>为保障行政单位和参照公务员法管理的事业单位运行使用一般公共预算财政拨款资金购买货物和服务的各项经费，即使用一般公共预算财政拨款资金安排的基本支出中的日常公用经费。</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17.流动资产：</w:t>
      </w:r>
      <w:r>
        <w:rPr>
          <w:rFonts w:ascii="仿宋_GB2312" w:eastAsia="仿宋_GB2312" w:hAnsi="仿宋" w:hint="eastAsia"/>
          <w:sz w:val="32"/>
          <w:szCs w:val="32"/>
        </w:rPr>
        <w:t>是指一年以内变现或耗用的资产，包括库存现金、银行存款、零余额用款额度、财政应返还额度、应收及预付款项、存货等。</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18.固定资产：</w:t>
      </w:r>
      <w:r>
        <w:rPr>
          <w:rFonts w:ascii="仿宋_GB2312" w:eastAsia="仿宋_GB2312" w:hAnsi="仿宋" w:hint="eastAsia"/>
          <w:sz w:val="32"/>
          <w:szCs w:val="32"/>
        </w:rPr>
        <w:t>是指使用期限超过1年（不含1年），单位价值在规定标准以上，并且在使用过程中基本保持原有物质形态的资产。</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19.在建工程：</w:t>
      </w:r>
      <w:r>
        <w:rPr>
          <w:rFonts w:ascii="仿宋_GB2312" w:eastAsia="仿宋_GB2312" w:hAnsi="仿宋" w:hint="eastAsia"/>
          <w:sz w:val="32"/>
          <w:szCs w:val="32"/>
        </w:rPr>
        <w:t>是指单位已经发生必要支出，但尚未完工交付使用的各种建筑（包括新建、改建、扩建、修缮等）、设备安装工程和信息系统建设工程。</w:t>
      </w:r>
    </w:p>
    <w:p w:rsidR="00433C98" w:rsidRDefault="00433C98" w:rsidP="00433C98">
      <w:pPr>
        <w:widowControl w:val="0"/>
        <w:spacing w:line="560" w:lineRule="exact"/>
        <w:ind w:firstLineChars="200" w:firstLine="643"/>
        <w:jc w:val="both"/>
        <w:rPr>
          <w:rFonts w:ascii="仿宋_GB2312" w:eastAsia="仿宋_GB2312"/>
          <w:sz w:val="32"/>
          <w:szCs w:val="32"/>
        </w:rPr>
      </w:pPr>
      <w:r>
        <w:rPr>
          <w:rFonts w:ascii="楷体_GB2312" w:eastAsia="楷体_GB2312" w:hAnsi="仿宋" w:hint="eastAsia"/>
          <w:b/>
          <w:sz w:val="32"/>
          <w:szCs w:val="32"/>
        </w:rPr>
        <w:t>20.无形资产：</w:t>
      </w:r>
      <w:r>
        <w:rPr>
          <w:rFonts w:ascii="仿宋_GB2312" w:eastAsia="仿宋_GB2312" w:hAnsi="仿宋" w:hint="eastAsia"/>
          <w:sz w:val="32"/>
          <w:szCs w:val="32"/>
        </w:rPr>
        <w:t>是指不具有实物形态而能为单位提供某种权利的非货币性资产。包括计算机软件、土地使用权、著作权、专利权、非专利技术等。</w:t>
      </w:r>
    </w:p>
    <w:p w:rsidR="00433C98" w:rsidRDefault="00433C98" w:rsidP="00433C98">
      <w:pPr>
        <w:spacing w:line="600" w:lineRule="atLeast"/>
        <w:ind w:firstLine="640"/>
        <w:jc w:val="both"/>
      </w:pPr>
    </w:p>
    <w:p w:rsidR="009D79D0" w:rsidRPr="00433C98" w:rsidRDefault="009D79D0"/>
    <w:sectPr w:rsidR="009D79D0" w:rsidRPr="00433C98">
      <w:pgSz w:w="11907" w:h="16840"/>
      <w:pgMar w:top="2007" w:right="1797" w:bottom="1644" w:left="1797" w:header="851" w:footer="127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DF" w:rsidRDefault="002D3FDF" w:rsidP="00433C98">
      <w:r>
        <w:separator/>
      </w:r>
    </w:p>
  </w:endnote>
  <w:endnote w:type="continuationSeparator" w:id="0">
    <w:p w:rsidR="002D3FDF" w:rsidRDefault="002D3FDF" w:rsidP="004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DF" w:rsidRDefault="002D3FDF" w:rsidP="00433C98">
      <w:r>
        <w:separator/>
      </w:r>
    </w:p>
  </w:footnote>
  <w:footnote w:type="continuationSeparator" w:id="0">
    <w:p w:rsidR="002D3FDF" w:rsidRDefault="002D3FDF" w:rsidP="0043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A7"/>
    <w:rsid w:val="00097E77"/>
    <w:rsid w:val="00170F79"/>
    <w:rsid w:val="001F6223"/>
    <w:rsid w:val="002D3FDF"/>
    <w:rsid w:val="00347669"/>
    <w:rsid w:val="003A3479"/>
    <w:rsid w:val="003D41CC"/>
    <w:rsid w:val="00433C98"/>
    <w:rsid w:val="004942B7"/>
    <w:rsid w:val="00495103"/>
    <w:rsid w:val="00550382"/>
    <w:rsid w:val="00596587"/>
    <w:rsid w:val="006C6CDF"/>
    <w:rsid w:val="007001E1"/>
    <w:rsid w:val="007209BC"/>
    <w:rsid w:val="007928A1"/>
    <w:rsid w:val="007C4C0C"/>
    <w:rsid w:val="008C2FAD"/>
    <w:rsid w:val="009B2FBF"/>
    <w:rsid w:val="009D79D0"/>
    <w:rsid w:val="00A20846"/>
    <w:rsid w:val="00AA43A1"/>
    <w:rsid w:val="00B232BE"/>
    <w:rsid w:val="00B34E0E"/>
    <w:rsid w:val="00B85E27"/>
    <w:rsid w:val="00BB5ECE"/>
    <w:rsid w:val="00C05880"/>
    <w:rsid w:val="00C06341"/>
    <w:rsid w:val="00C37FC7"/>
    <w:rsid w:val="00CE7EAD"/>
    <w:rsid w:val="00D03A89"/>
    <w:rsid w:val="00D40693"/>
    <w:rsid w:val="00E87EEB"/>
    <w:rsid w:val="00EE30A7"/>
    <w:rsid w:val="00FB5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A173B-C3A7-42A5-B8F9-5DEF7989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C9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C9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33C98"/>
    <w:rPr>
      <w:sz w:val="18"/>
      <w:szCs w:val="18"/>
    </w:rPr>
  </w:style>
  <w:style w:type="paragraph" w:styleId="a4">
    <w:name w:val="footer"/>
    <w:basedOn w:val="a"/>
    <w:link w:val="Char0"/>
    <w:uiPriority w:val="99"/>
    <w:unhideWhenUsed/>
    <w:rsid w:val="00433C9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33C98"/>
    <w:rPr>
      <w:sz w:val="18"/>
      <w:szCs w:val="18"/>
    </w:rPr>
  </w:style>
  <w:style w:type="paragraph" w:styleId="a5">
    <w:name w:val="Normal (Web)"/>
    <w:basedOn w:val="a"/>
    <w:uiPriority w:val="99"/>
    <w:semiHidden/>
    <w:unhideWhenUsed/>
    <w:rsid w:val="00433C98"/>
    <w:pPr>
      <w:spacing w:before="100" w:beforeAutospacing="1" w:after="100" w:afterAutospacing="1"/>
    </w:pPr>
  </w:style>
  <w:style w:type="character" w:styleId="a6">
    <w:name w:val="Strong"/>
    <w:basedOn w:val="a0"/>
    <w:uiPriority w:val="22"/>
    <w:qFormat/>
    <w:rsid w:val="00433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0493">
      <w:bodyDiv w:val="1"/>
      <w:marLeft w:val="0"/>
      <w:marRight w:val="0"/>
      <w:marTop w:val="0"/>
      <w:marBottom w:val="0"/>
      <w:divBdr>
        <w:top w:val="none" w:sz="0" w:space="0" w:color="auto"/>
        <w:left w:val="none" w:sz="0" w:space="0" w:color="auto"/>
        <w:bottom w:val="none" w:sz="0" w:space="0" w:color="auto"/>
        <w:right w:val="none" w:sz="0" w:space="0" w:color="auto"/>
      </w:divBdr>
      <w:divsChild>
        <w:div w:id="869100520">
          <w:marLeft w:val="0"/>
          <w:marRight w:val="0"/>
          <w:marTop w:val="0"/>
          <w:marBottom w:val="0"/>
          <w:divBdr>
            <w:top w:val="none" w:sz="0" w:space="0" w:color="auto"/>
            <w:left w:val="none" w:sz="0" w:space="0" w:color="auto"/>
            <w:bottom w:val="none" w:sz="0" w:space="0" w:color="auto"/>
            <w:right w:val="none" w:sz="0" w:space="0" w:color="auto"/>
          </w:divBdr>
          <w:divsChild>
            <w:div w:id="2112385297">
              <w:marLeft w:val="0"/>
              <w:marRight w:val="0"/>
              <w:marTop w:val="0"/>
              <w:marBottom w:val="0"/>
              <w:divBdr>
                <w:top w:val="none" w:sz="0" w:space="0" w:color="auto"/>
                <w:left w:val="none" w:sz="0" w:space="0" w:color="auto"/>
                <w:bottom w:val="none" w:sz="0" w:space="0" w:color="auto"/>
                <w:right w:val="none" w:sz="0" w:space="0" w:color="auto"/>
              </w:divBdr>
              <w:divsChild>
                <w:div w:id="1277444444">
                  <w:marLeft w:val="0"/>
                  <w:marRight w:val="75"/>
                  <w:marTop w:val="0"/>
                  <w:marBottom w:val="0"/>
                  <w:divBdr>
                    <w:top w:val="none" w:sz="0" w:space="0" w:color="auto"/>
                    <w:left w:val="none" w:sz="0" w:space="0" w:color="auto"/>
                    <w:bottom w:val="none" w:sz="0" w:space="0" w:color="auto"/>
                    <w:right w:val="none" w:sz="0" w:space="0" w:color="auto"/>
                  </w:divBdr>
                  <w:divsChild>
                    <w:div w:id="1296568516">
                      <w:marLeft w:val="0"/>
                      <w:marRight w:val="0"/>
                      <w:marTop w:val="0"/>
                      <w:marBottom w:val="0"/>
                      <w:divBdr>
                        <w:top w:val="single" w:sz="2" w:space="0" w:color="808080"/>
                        <w:left w:val="single" w:sz="2" w:space="0" w:color="808080"/>
                        <w:bottom w:val="single" w:sz="2" w:space="0" w:color="808080"/>
                        <w:right w:val="single" w:sz="2" w:space="0" w:color="808080"/>
                      </w:divBdr>
                      <w:divsChild>
                        <w:div w:id="367921815">
                          <w:marLeft w:val="0"/>
                          <w:marRight w:val="0"/>
                          <w:marTop w:val="0"/>
                          <w:marBottom w:val="0"/>
                          <w:divBdr>
                            <w:top w:val="none" w:sz="0" w:space="0" w:color="auto"/>
                            <w:left w:val="none" w:sz="0" w:space="0" w:color="auto"/>
                            <w:bottom w:val="none" w:sz="0" w:space="0" w:color="auto"/>
                            <w:right w:val="none" w:sz="0" w:space="0" w:color="auto"/>
                          </w:divBdr>
                          <w:divsChild>
                            <w:div w:id="893345832">
                              <w:marLeft w:val="0"/>
                              <w:marRight w:val="0"/>
                              <w:marTop w:val="0"/>
                              <w:marBottom w:val="0"/>
                              <w:divBdr>
                                <w:top w:val="none" w:sz="0" w:space="0" w:color="auto"/>
                                <w:left w:val="none" w:sz="0" w:space="0" w:color="auto"/>
                                <w:bottom w:val="none" w:sz="0" w:space="0" w:color="auto"/>
                                <w:right w:val="none" w:sz="0" w:space="0" w:color="auto"/>
                              </w:divBdr>
                              <w:divsChild>
                                <w:div w:id="544634426">
                                  <w:marLeft w:val="0"/>
                                  <w:marRight w:val="0"/>
                                  <w:marTop w:val="0"/>
                                  <w:marBottom w:val="0"/>
                                  <w:divBdr>
                                    <w:top w:val="single" w:sz="6" w:space="0" w:color="A8D3F3"/>
                                    <w:left w:val="single" w:sz="6" w:space="0" w:color="A8D3F3"/>
                                    <w:bottom w:val="single" w:sz="6" w:space="0" w:color="A8D3F3"/>
                                    <w:right w:val="single" w:sz="6" w:space="0" w:color="A8D3F3"/>
                                  </w:divBdr>
                                  <w:divsChild>
                                    <w:div w:id="614018352">
                                      <w:marLeft w:val="0"/>
                                      <w:marRight w:val="0"/>
                                      <w:marTop w:val="0"/>
                                      <w:marBottom w:val="0"/>
                                      <w:divBdr>
                                        <w:top w:val="none" w:sz="0" w:space="0" w:color="auto"/>
                                        <w:left w:val="none" w:sz="0" w:space="0" w:color="auto"/>
                                        <w:bottom w:val="none" w:sz="0" w:space="0" w:color="auto"/>
                                        <w:right w:val="none" w:sz="0" w:space="0" w:color="auto"/>
                                      </w:divBdr>
                                      <w:divsChild>
                                        <w:div w:id="1132671187">
                                          <w:marLeft w:val="0"/>
                                          <w:marRight w:val="0"/>
                                          <w:marTop w:val="0"/>
                                          <w:marBottom w:val="0"/>
                                          <w:divBdr>
                                            <w:top w:val="none" w:sz="0" w:space="0" w:color="auto"/>
                                            <w:left w:val="none" w:sz="0" w:space="0" w:color="auto"/>
                                            <w:bottom w:val="none" w:sz="0" w:space="0" w:color="auto"/>
                                            <w:right w:val="none" w:sz="0" w:space="0" w:color="auto"/>
                                          </w:divBdr>
                                          <w:divsChild>
                                            <w:div w:id="875461829">
                                              <w:marLeft w:val="0"/>
                                              <w:marRight w:val="0"/>
                                              <w:marTop w:val="0"/>
                                              <w:marBottom w:val="0"/>
                                              <w:divBdr>
                                                <w:top w:val="none" w:sz="0" w:space="0" w:color="auto"/>
                                                <w:left w:val="none" w:sz="0" w:space="0" w:color="auto"/>
                                                <w:bottom w:val="none" w:sz="0" w:space="0" w:color="auto"/>
                                                <w:right w:val="none" w:sz="0" w:space="0" w:color="auto"/>
                                              </w:divBdr>
                                              <w:divsChild>
                                                <w:div w:id="14971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54C1123-C835-498F-9DF4-18F42D2C1B64}">
  <ds:schemaRefs>
    <ds:schemaRef ds:uri="http://www.yonyou.com/datasource"/>
  </ds:schemaRefs>
</ds:datastoreItem>
</file>

<file path=customXml/itemProps2.xml><?xml version="1.0" encoding="utf-8"?>
<ds:datastoreItem xmlns:ds="http://schemas.openxmlformats.org/officeDocument/2006/customXml" ds:itemID="{FED09434-6755-4E88-8B15-A236AB87D52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824</Words>
  <Characters>4697</Characters>
  <Application>Microsoft Office Word</Application>
  <DocSecurity>0</DocSecurity>
  <Lines>39</Lines>
  <Paragraphs>11</Paragraphs>
  <ScaleCrop>false</ScaleCrop>
  <Company>国家统计局</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zhanglei</dc:creator>
  <cp:keywords/>
  <dc:description/>
  <cp:lastModifiedBy>zhanglei</cp:lastModifiedBy>
  <cp:revision>17</cp:revision>
  <dcterms:created xsi:type="dcterms:W3CDTF">2019-01-31T03:16:00Z</dcterms:created>
  <dcterms:modified xsi:type="dcterms:W3CDTF">2019-02-14T00:37:00Z</dcterms:modified>
</cp:coreProperties>
</file>