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0" w:lineRule="exact"/>
        <w:rPr>
          <w:rFonts w:ascii="黑体" w:hAnsi="黑体" w:eastAsia="黑体"/>
          <w:snapToGrid w:val="0"/>
          <w:kern w:val="0"/>
          <w:sz w:val="32"/>
          <w:szCs w:val="32"/>
        </w:rPr>
      </w:pPr>
      <w:r>
        <w:rPr>
          <w:rFonts w:hint="eastAsia" w:ascii="黑体" w:hAnsi="黑体" w:eastAsia="黑体"/>
          <w:snapToGrid w:val="0"/>
          <w:kern w:val="0"/>
          <w:sz w:val="32"/>
          <w:szCs w:val="32"/>
        </w:rPr>
        <w:t>附件</w:t>
      </w:r>
      <w:r>
        <w:rPr>
          <w:rFonts w:hint="eastAsia" w:eastAsia="黑体"/>
          <w:snapToGrid w:val="0"/>
          <w:kern w:val="0"/>
          <w:sz w:val="32"/>
          <w:szCs w:val="32"/>
        </w:rPr>
        <w:t>2</w:t>
      </w:r>
    </w:p>
    <w:p>
      <w:pPr>
        <w:overflowPunct w:val="0"/>
        <w:adjustRightInd w:val="0"/>
        <w:snapToGrid w:val="0"/>
        <w:spacing w:line="570" w:lineRule="exact"/>
        <w:rPr>
          <w:rFonts w:hint="eastAsia" w:ascii="方正大标宋_GBK" w:hAnsi="方正大标宋_GBK" w:eastAsia="方正大标宋_GBK" w:cs="方正大标宋_GBK"/>
          <w:snapToGrid w:val="0"/>
          <w:kern w:val="0"/>
          <w:sz w:val="44"/>
          <w:szCs w:val="44"/>
          <w:lang w:val="en"/>
        </w:rPr>
      </w:pPr>
      <w:bookmarkStart w:id="0" w:name="_Hlk144402369"/>
    </w:p>
    <w:p>
      <w:pPr>
        <w:overflowPunct w:val="0"/>
        <w:adjustRightInd w:val="0"/>
        <w:snapToGrid w:val="0"/>
        <w:spacing w:line="570" w:lineRule="exact"/>
        <w:jc w:val="center"/>
        <w:rPr>
          <w:rFonts w:ascii="方正大标宋_GBK" w:hAnsi="方正大标宋_GBK" w:eastAsia="方正大标宋_GBK" w:cs="方正大标宋_GBK"/>
          <w:snapToGrid w:val="0"/>
          <w:kern w:val="0"/>
          <w:sz w:val="44"/>
          <w:szCs w:val="44"/>
          <w:lang w:val="en"/>
        </w:rPr>
      </w:pPr>
      <w:bookmarkStart w:id="1" w:name="_GoBack"/>
      <w:r>
        <w:rPr>
          <w:rFonts w:hint="eastAsia" w:ascii="方正大标宋_GBK" w:hAnsi="方正大标宋_GBK" w:eastAsia="方正大标宋_GBK" w:cs="方正大标宋_GBK"/>
          <w:snapToGrid w:val="0"/>
          <w:kern w:val="0"/>
          <w:sz w:val="44"/>
          <w:szCs w:val="44"/>
          <w:lang w:val="en"/>
        </w:rPr>
        <w:t>温州市临床专科能力提升专项行动措施</w:t>
      </w:r>
      <w:bookmarkEnd w:id="1"/>
    </w:p>
    <w:bookmarkEnd w:id="0"/>
    <w:p>
      <w:pPr>
        <w:overflowPunct w:val="0"/>
        <w:adjustRightInd w:val="0"/>
        <w:snapToGrid w:val="0"/>
        <w:spacing w:line="570" w:lineRule="exact"/>
        <w:ind w:firstLine="640" w:firstLineChars="200"/>
        <w:rPr>
          <w:rFonts w:ascii="仿宋" w:hAnsi="仿宋" w:eastAsia="仿宋"/>
          <w:snapToGrid w:val="0"/>
          <w:kern w:val="0"/>
          <w:sz w:val="32"/>
          <w:szCs w:val="32"/>
        </w:rPr>
      </w:pPr>
    </w:p>
    <w:p>
      <w:pPr>
        <w:overflowPunct w:val="0"/>
        <w:adjustRightInd w:val="0"/>
        <w:snapToGrid w:val="0"/>
        <w:spacing w:line="570" w:lineRule="exact"/>
        <w:ind w:firstLine="632" w:firstLineChars="200"/>
        <w:rPr>
          <w:rFonts w:hint="eastAsia" w:ascii="仿宋_GB2312" w:hAnsi="仿宋" w:eastAsia="仿宋_GB2312"/>
          <w:snapToGrid w:val="0"/>
          <w:spacing w:val="-2"/>
          <w:kern w:val="0"/>
          <w:sz w:val="32"/>
          <w:szCs w:val="32"/>
        </w:rPr>
      </w:pPr>
      <w:r>
        <w:rPr>
          <w:rFonts w:hint="eastAsia" w:ascii="仿宋_GB2312" w:hAnsi="仿宋" w:eastAsia="仿宋_GB2312"/>
          <w:snapToGrid w:val="0"/>
          <w:spacing w:val="-2"/>
          <w:kern w:val="0"/>
          <w:sz w:val="32"/>
          <w:szCs w:val="32"/>
        </w:rPr>
        <w:t>为做好我市临床专科能力建设相关工作，根据《国家卫生健康委关于推动临床专科能力建设的指导意见》（国卫医政发〔</w:t>
      </w:r>
      <w:r>
        <w:rPr>
          <w:rFonts w:hint="eastAsia" w:eastAsia="仿宋_GB2312"/>
          <w:snapToGrid w:val="0"/>
          <w:spacing w:val="-2"/>
          <w:kern w:val="0"/>
          <w:sz w:val="32"/>
          <w:szCs w:val="32"/>
        </w:rPr>
        <w:t>2023</w:t>
      </w:r>
      <w:r>
        <w:rPr>
          <w:rFonts w:hint="eastAsia" w:ascii="仿宋_GB2312" w:hAnsi="仿宋" w:eastAsia="仿宋_GB2312"/>
          <w:snapToGrid w:val="0"/>
          <w:spacing w:val="-2"/>
          <w:kern w:val="0"/>
          <w:sz w:val="32"/>
          <w:szCs w:val="32"/>
        </w:rPr>
        <w:t>〕</w:t>
      </w:r>
      <w:r>
        <w:rPr>
          <w:rFonts w:hint="eastAsia" w:eastAsia="仿宋_GB2312"/>
          <w:snapToGrid w:val="0"/>
          <w:spacing w:val="-2"/>
          <w:kern w:val="0"/>
          <w:sz w:val="32"/>
          <w:szCs w:val="32"/>
        </w:rPr>
        <w:t>22</w:t>
      </w:r>
      <w:r>
        <w:rPr>
          <w:rFonts w:hint="eastAsia" w:ascii="仿宋_GB2312" w:hAnsi="仿宋" w:eastAsia="仿宋_GB2312"/>
          <w:snapToGrid w:val="0"/>
          <w:spacing w:val="-2"/>
          <w:kern w:val="0"/>
          <w:sz w:val="32"/>
          <w:szCs w:val="32"/>
        </w:rPr>
        <w:t>号）文件要求，结合我市工作实际，制定本行动措施。</w:t>
      </w:r>
    </w:p>
    <w:p>
      <w:pPr>
        <w:overflowPunct w:val="0"/>
        <w:adjustRightInd w:val="0"/>
        <w:snapToGrid w:val="0"/>
        <w:spacing w:line="570" w:lineRule="exact"/>
        <w:ind w:firstLine="640" w:firstLineChars="200"/>
        <w:rPr>
          <w:rFonts w:hint="eastAsia" w:ascii="黑体" w:hAnsi="黑体" w:eastAsia="黑体"/>
          <w:snapToGrid w:val="0"/>
          <w:kern w:val="0"/>
          <w:sz w:val="32"/>
          <w:szCs w:val="32"/>
        </w:rPr>
      </w:pPr>
      <w:r>
        <w:rPr>
          <w:rFonts w:hint="eastAsia" w:ascii="黑体" w:hAnsi="黑体" w:eastAsia="黑体" w:cs="黑体"/>
          <w:snapToGrid w:val="0"/>
          <w:kern w:val="0"/>
          <w:sz w:val="32"/>
          <w:szCs w:val="32"/>
        </w:rPr>
        <w:t>一、优化专科建设布局</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1</w:t>
      </w:r>
      <w:r>
        <w:rPr>
          <w:rFonts w:hint="eastAsia" w:ascii="楷体_GB2312" w:hAnsi="仿宋" w:eastAsia="楷体_GB2312"/>
          <w:snapToGrid w:val="0"/>
          <w:kern w:val="0"/>
          <w:sz w:val="32"/>
          <w:szCs w:val="32"/>
        </w:rPr>
        <w:t>.打造高水平专科。</w:t>
      </w:r>
      <w:r>
        <w:rPr>
          <w:rFonts w:hint="eastAsia" w:ascii="仿宋_GB2312" w:hAnsi="仿宋" w:eastAsia="仿宋_GB2312"/>
          <w:snapToGrid w:val="0"/>
          <w:kern w:val="0"/>
          <w:sz w:val="32"/>
          <w:szCs w:val="32"/>
        </w:rPr>
        <w:t>依托温医大附属眼视光医院争创眼科国家医学中心；温医大附属第一医院争创创面修复国家区域医疗中心。加强与省中医院合作，温州市中西医结合医院滨江院区纳入建设类国家区域医疗中心。支持温医大附属第二医院对标国内一流、国际先进开展骨科、儿科专科能力建设。依托儿童呼吸科、普外科、眼科等</w:t>
      </w:r>
      <w:r>
        <w:rPr>
          <w:rFonts w:hint="eastAsia" w:eastAsia="仿宋_GB2312"/>
          <w:snapToGrid w:val="0"/>
          <w:kern w:val="0"/>
          <w:sz w:val="32"/>
          <w:szCs w:val="32"/>
        </w:rPr>
        <w:t>9</w:t>
      </w:r>
      <w:r>
        <w:rPr>
          <w:rFonts w:hint="eastAsia" w:ascii="仿宋_GB2312" w:hAnsi="仿宋" w:eastAsia="仿宋_GB2312"/>
          <w:snapToGrid w:val="0"/>
          <w:kern w:val="0"/>
          <w:sz w:val="32"/>
          <w:szCs w:val="32"/>
        </w:rPr>
        <w:t>个国家临床重点专科和妇科、儿科、康复等</w:t>
      </w:r>
      <w:r>
        <w:rPr>
          <w:rFonts w:hint="eastAsia" w:eastAsia="仿宋_GB2312"/>
          <w:snapToGrid w:val="0"/>
          <w:kern w:val="0"/>
          <w:sz w:val="32"/>
          <w:szCs w:val="32"/>
        </w:rPr>
        <w:t>9</w:t>
      </w:r>
      <w:r>
        <w:rPr>
          <w:rFonts w:hint="eastAsia" w:ascii="仿宋_GB2312" w:hAnsi="仿宋" w:eastAsia="仿宋_GB2312"/>
          <w:snapToGrid w:val="0"/>
          <w:kern w:val="0"/>
          <w:sz w:val="32"/>
          <w:szCs w:val="32"/>
        </w:rPr>
        <w:t>个国家中医药重点专科，打造我市高水平学科群。将市中心医院传染病科、市人民医院（市妇幼保健院〈筹〉）妇女儿童保健作为国家临床重点专科培育对象。支持温医大附属综合医院针对我市外流较多的病种，对标国内一流水平开展临床能力建设，充分发挥医学院校优势，力争在高精尖技术方面有所突破。到</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年，力争纳入国家临床重点专科项目</w:t>
      </w:r>
      <w:r>
        <w:rPr>
          <w:rFonts w:hint="eastAsia" w:eastAsia="仿宋_GB2312"/>
          <w:snapToGrid w:val="0"/>
          <w:kern w:val="0"/>
          <w:sz w:val="32"/>
          <w:szCs w:val="32"/>
        </w:rPr>
        <w:t>10</w:t>
      </w:r>
      <w:r>
        <w:rPr>
          <w:rFonts w:hint="eastAsia" w:ascii="仿宋_GB2312" w:hAnsi="仿宋" w:eastAsia="仿宋_GB2312"/>
          <w:snapToGrid w:val="0"/>
          <w:kern w:val="0"/>
          <w:sz w:val="32"/>
          <w:szCs w:val="32"/>
        </w:rPr>
        <w:t>个以上。</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2</w:t>
      </w:r>
      <w:r>
        <w:rPr>
          <w:rFonts w:hint="eastAsia" w:ascii="楷体_GB2312" w:hAnsi="仿宋" w:eastAsia="楷体_GB2312"/>
          <w:snapToGrid w:val="0"/>
          <w:kern w:val="0"/>
          <w:sz w:val="32"/>
          <w:szCs w:val="32"/>
        </w:rPr>
        <w:t>.培育优势专科。</w:t>
      </w:r>
      <w:r>
        <w:rPr>
          <w:rFonts w:hint="eastAsia" w:ascii="仿宋_GB2312" w:hAnsi="仿宋" w:eastAsia="仿宋_GB2312"/>
          <w:snapToGrid w:val="0"/>
          <w:kern w:val="0"/>
          <w:sz w:val="32"/>
          <w:szCs w:val="32"/>
        </w:rPr>
        <w:t>确定温医大附属第一医院重症医学、呼吸内科、急诊医学，温医大附属第二医院宫内儿科疾病、妇产科、变态反应与临床免疫疾病，温医大附属眼视光医院葡萄膜眼病、中医眼科、遗传眼病，温医大附属口腔医院口腔颌面外科、口腔种植科、正颌正畸为我市特色专科。温州市中心医院神经系统疾病、肿瘤放化疗、消化道内镜、糖尿病肾病、肺结核，温州市人民医院泌尿系疾病、血友病、儿童过敏性疾病、帕金森及眩晕、盆底功能障碍性疾病，温州市中医院中医妇科、肾病、康复、神志病、骨伤，温州市中西医结合医院骨伤、运动医学、医学美容、康复，针灸推拿，温州市第七人民医院临床心理、行为医学、儿童精神，温州康宁医院儿童青少年心理、老年精神、心身医学等专科建设我市特色专病中心。乐清市、瑞安市、平阳县、苍南县内三级医院立足呼吸系统疾病、消化系统疾病、外科创伤性疾病等常见病、多发病加强能力建设。相关医院要对标省内一流、国内先进水平开展临床能力建设。到</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年，力争纳入省级临床重点专科项目</w:t>
      </w:r>
      <w:r>
        <w:rPr>
          <w:rFonts w:hint="eastAsia" w:eastAsia="仿宋_GB2312"/>
          <w:snapToGrid w:val="0"/>
          <w:kern w:val="0"/>
          <w:sz w:val="32"/>
          <w:szCs w:val="32"/>
        </w:rPr>
        <w:t>20</w:t>
      </w:r>
      <w:r>
        <w:rPr>
          <w:rFonts w:hint="eastAsia" w:ascii="仿宋_GB2312" w:hAnsi="仿宋" w:eastAsia="仿宋_GB2312"/>
          <w:snapToGrid w:val="0"/>
          <w:kern w:val="0"/>
          <w:sz w:val="32"/>
          <w:szCs w:val="32"/>
        </w:rPr>
        <w:t>个以上，建设市级临床重点专科</w:t>
      </w:r>
      <w:r>
        <w:rPr>
          <w:rFonts w:hint="eastAsia" w:eastAsia="仿宋_GB2312"/>
          <w:snapToGrid w:val="0"/>
          <w:kern w:val="0"/>
          <w:sz w:val="32"/>
          <w:szCs w:val="32"/>
        </w:rPr>
        <w:t>40</w:t>
      </w:r>
      <w:r>
        <w:rPr>
          <w:rFonts w:hint="eastAsia" w:ascii="仿宋_GB2312" w:hAnsi="仿宋" w:eastAsia="仿宋_GB2312"/>
          <w:snapToGrid w:val="0"/>
          <w:kern w:val="0"/>
          <w:sz w:val="32"/>
          <w:szCs w:val="32"/>
        </w:rPr>
        <w:t>个以上。</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3</w:t>
      </w:r>
      <w:r>
        <w:rPr>
          <w:rFonts w:hint="eastAsia" w:ascii="楷体_GB2312" w:hAnsi="仿宋" w:eastAsia="楷体_GB2312"/>
          <w:snapToGrid w:val="0"/>
          <w:kern w:val="0"/>
          <w:sz w:val="32"/>
          <w:szCs w:val="32"/>
        </w:rPr>
        <w:t>.夯实基础平台学科。</w:t>
      </w:r>
      <w:r>
        <w:rPr>
          <w:rFonts w:hint="eastAsia" w:ascii="仿宋_GB2312" w:hAnsi="仿宋" w:eastAsia="仿宋_GB2312"/>
          <w:snapToGrid w:val="0"/>
          <w:kern w:val="0"/>
          <w:sz w:val="32"/>
          <w:szCs w:val="32"/>
        </w:rPr>
        <w:t>二级以上综合医院全面提升内科、外科、妇产科、儿科、急诊、精神科等人民群众就诊需求高、就诊量大的基础学科服务能力，满足人民群众基本看病就医需求。全面强化麻醉、影像、检验、重症、病理、营养、输血、核医学等平台学科的专业技术水平，提升平台学科医疗服务支撑作用。加强城市医联体、县域医共体内医疗健康数据标准化建设，提升县域病理、影像、心电等平台医疗数据质量，实现县域医共体内健康信息统一储存和管理、成员间信息与数据联通共享。依托麻醉、影像、检验、重症、病理质控中心强化人员培训，实现二级以上综合医院培训全覆盖。二级以上综合医院全面开展卒中中心、胸痛中心、创伤中心能力建设，对于服务人口较多的基层医疗机构设立卒中单元、胸痛单元，力争在</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年前全面建成全市卒中、胸痛“半小时抢救圈”。</w:t>
      </w:r>
    </w:p>
    <w:p>
      <w:pPr>
        <w:pStyle w:val="4"/>
        <w:overflowPunct w:val="0"/>
        <w:adjustRightInd w:val="0"/>
        <w:snapToGrid w:val="0"/>
        <w:spacing w:line="570" w:lineRule="exact"/>
        <w:ind w:firstLine="640"/>
        <w:rPr>
          <w:rFonts w:hint="eastAsia" w:ascii="仿宋_GB2312" w:hAnsi="仿宋" w:eastAsia="仿宋_GB2312"/>
          <w:snapToGrid w:val="0"/>
          <w:kern w:val="0"/>
          <w:sz w:val="32"/>
          <w:szCs w:val="32"/>
        </w:rPr>
      </w:pPr>
      <w:r>
        <w:rPr>
          <w:rFonts w:hint="eastAsia" w:ascii="Times New Roman" w:hAnsi="Times New Roman" w:eastAsia="楷体_GB2312"/>
          <w:snapToGrid w:val="0"/>
          <w:kern w:val="0"/>
          <w:sz w:val="32"/>
          <w:szCs w:val="32"/>
        </w:rPr>
        <w:t>4</w:t>
      </w:r>
      <w:r>
        <w:rPr>
          <w:rFonts w:hint="eastAsia" w:ascii="楷体_GB2312" w:hAnsi="仿宋" w:eastAsia="楷体_GB2312"/>
          <w:snapToGrid w:val="0"/>
          <w:kern w:val="0"/>
          <w:sz w:val="32"/>
          <w:szCs w:val="32"/>
        </w:rPr>
        <w:t>.推进中医药服务。</w:t>
      </w:r>
      <w:r>
        <w:rPr>
          <w:rFonts w:hint="eastAsia" w:ascii="仿宋_GB2312" w:hAnsi="仿宋" w:eastAsia="仿宋_GB2312"/>
          <w:snapToGrid w:val="0"/>
          <w:kern w:val="0"/>
          <w:sz w:val="32"/>
          <w:szCs w:val="32"/>
        </w:rPr>
        <w:t>深化温州市中医院与浙江中医药大学合作，建设浙江中医药大学同质化医院，共建中医药科研平台，进一步提高医院科研能力、教学水平。深化温州市中西结合医院与浙江省中医院合作，争创中医类国家区域医疗中心（建设类），推进重大疾病诊疗领域的中西医优势专科或特色专科建设，加快优势专科、亚专科培育。加强省、市医院结对帮扶，引导优质医疗资源向薄弱的县市区延伸。到</w:t>
      </w:r>
      <w:r>
        <w:rPr>
          <w:rFonts w:hint="eastAsia" w:ascii="Times New Roman" w:hAnsi="Times New Roman" w:eastAsia="仿宋_GB2312"/>
          <w:snapToGrid w:val="0"/>
          <w:kern w:val="0"/>
          <w:sz w:val="32"/>
          <w:szCs w:val="32"/>
        </w:rPr>
        <w:t>2025</w:t>
      </w:r>
      <w:r>
        <w:rPr>
          <w:rFonts w:hint="eastAsia" w:ascii="仿宋_GB2312" w:hAnsi="仿宋" w:eastAsia="仿宋_GB2312"/>
          <w:snapToGrid w:val="0"/>
          <w:kern w:val="0"/>
          <w:sz w:val="32"/>
          <w:szCs w:val="32"/>
        </w:rPr>
        <w:t>年，全市建成</w:t>
      </w:r>
      <w:r>
        <w:rPr>
          <w:rFonts w:hint="eastAsia" w:ascii="Times New Roman" w:hAnsi="Times New Roman" w:eastAsia="仿宋_GB2312"/>
          <w:snapToGrid w:val="0"/>
          <w:kern w:val="0"/>
          <w:sz w:val="32"/>
          <w:szCs w:val="32"/>
        </w:rPr>
        <w:t>6</w:t>
      </w:r>
      <w:r>
        <w:rPr>
          <w:rFonts w:hint="eastAsia" w:ascii="仿宋_GB2312" w:hAnsi="仿宋" w:eastAsia="仿宋_GB2312"/>
          <w:snapToGrid w:val="0"/>
          <w:kern w:val="0"/>
          <w:sz w:val="32"/>
          <w:szCs w:val="32"/>
        </w:rPr>
        <w:t>个国家中医药优势专科和</w:t>
      </w:r>
      <w:r>
        <w:rPr>
          <w:rFonts w:hint="eastAsia" w:ascii="Times New Roman" w:hAnsi="Times New Roman" w:eastAsia="仿宋_GB2312"/>
          <w:snapToGrid w:val="0"/>
          <w:kern w:val="0"/>
          <w:sz w:val="32"/>
          <w:szCs w:val="32"/>
        </w:rPr>
        <w:t>15</w:t>
      </w:r>
      <w:r>
        <w:rPr>
          <w:rFonts w:hint="eastAsia" w:ascii="仿宋_GB2312" w:hAnsi="仿宋" w:eastAsia="仿宋_GB2312"/>
          <w:snapToGrid w:val="0"/>
          <w:kern w:val="0"/>
          <w:sz w:val="32"/>
          <w:szCs w:val="32"/>
        </w:rPr>
        <w:t>个国家重点专科，每个专科做强</w:t>
      </w:r>
      <w:r>
        <w:rPr>
          <w:rFonts w:hint="eastAsia" w:ascii="Times New Roman" w:hAnsi="Times New Roman" w:eastAsia="仿宋_GB2312"/>
          <w:snapToGrid w:val="0"/>
          <w:kern w:val="0"/>
          <w:sz w:val="32"/>
          <w:szCs w:val="32"/>
        </w:rPr>
        <w:t>5</w:t>
      </w:r>
      <w:r>
        <w:rPr>
          <w:rFonts w:hint="eastAsia" w:ascii="仿宋_GB2312" w:hAnsi="仿宋" w:eastAsia="仿宋_GB2312"/>
          <w:snapToGrid w:val="0"/>
          <w:kern w:val="0"/>
          <w:sz w:val="32"/>
          <w:szCs w:val="32"/>
        </w:rPr>
        <w:t>个以上亚专科。二甲以上中医院全部完成胸痛、卒中、创伤建设和“两专科一中心”建设，建好</w:t>
      </w:r>
      <w:r>
        <w:rPr>
          <w:rFonts w:hint="eastAsia" w:ascii="Times New Roman" w:hAnsi="Times New Roman" w:eastAsia="仿宋_GB2312"/>
          <w:snapToGrid w:val="0"/>
          <w:kern w:val="0"/>
          <w:sz w:val="32"/>
          <w:szCs w:val="32"/>
        </w:rPr>
        <w:t>2</w:t>
      </w:r>
      <w:r>
        <w:rPr>
          <w:rFonts w:hint="eastAsia" w:ascii="仿宋_GB2312" w:hAnsi="仿宋" w:eastAsia="仿宋_GB2312"/>
          <w:snapToGrid w:val="0"/>
          <w:kern w:val="0"/>
          <w:sz w:val="32"/>
          <w:szCs w:val="32"/>
        </w:rPr>
        <w:t>个以上中医特色优势专科和</w:t>
      </w:r>
      <w:r>
        <w:rPr>
          <w:rFonts w:hint="eastAsia" w:ascii="Times New Roman" w:hAnsi="Times New Roman" w:eastAsia="仿宋_GB2312"/>
          <w:snapToGrid w:val="0"/>
          <w:kern w:val="0"/>
          <w:sz w:val="32"/>
          <w:szCs w:val="32"/>
        </w:rPr>
        <w:t>1</w:t>
      </w:r>
      <w:r>
        <w:rPr>
          <w:rFonts w:hint="eastAsia" w:ascii="仿宋_GB2312" w:hAnsi="仿宋" w:eastAsia="仿宋_GB2312"/>
          <w:snapToGrid w:val="0"/>
          <w:kern w:val="0"/>
          <w:sz w:val="32"/>
          <w:szCs w:val="32"/>
        </w:rPr>
        <w:t>个县域中医药适宜技术推广中心。</w:t>
      </w:r>
    </w:p>
    <w:p>
      <w:pPr>
        <w:overflowPunct w:val="0"/>
        <w:adjustRightInd w:val="0"/>
        <w:snapToGrid w:val="0"/>
        <w:spacing w:line="570" w:lineRule="exact"/>
        <w:ind w:firstLine="640" w:firstLineChars="200"/>
        <w:rPr>
          <w:rFonts w:hint="eastAsia" w:ascii="黑体" w:hAnsi="黑体" w:eastAsia="黑体"/>
          <w:snapToGrid w:val="0"/>
          <w:kern w:val="0"/>
          <w:sz w:val="32"/>
          <w:szCs w:val="32"/>
        </w:rPr>
      </w:pPr>
      <w:r>
        <w:rPr>
          <w:rFonts w:hint="eastAsia" w:ascii="黑体" w:hAnsi="黑体" w:eastAsia="黑体" w:cs="黑体"/>
          <w:snapToGrid w:val="0"/>
          <w:kern w:val="0"/>
          <w:sz w:val="32"/>
          <w:szCs w:val="32"/>
        </w:rPr>
        <w:t>二、创新专科管理模式</w:t>
      </w:r>
    </w:p>
    <w:p>
      <w:pPr>
        <w:overflowPunct w:val="0"/>
        <w:adjustRightInd w:val="0"/>
        <w:snapToGrid w:val="0"/>
        <w:spacing w:line="570" w:lineRule="exact"/>
        <w:ind w:firstLine="640" w:firstLineChars="200"/>
        <w:rPr>
          <w:rFonts w:hint="eastAsia" w:ascii="仿宋_GB2312" w:hAnsi="仿宋" w:eastAsia="仿宋_GB2312"/>
          <w:snapToGrid w:val="0"/>
          <w:spacing w:val="2"/>
          <w:kern w:val="0"/>
          <w:sz w:val="32"/>
          <w:szCs w:val="32"/>
        </w:rPr>
      </w:pPr>
      <w:r>
        <w:rPr>
          <w:rFonts w:hint="eastAsia" w:eastAsia="楷体_GB2312"/>
          <w:snapToGrid w:val="0"/>
          <w:kern w:val="0"/>
          <w:sz w:val="32"/>
          <w:szCs w:val="32"/>
        </w:rPr>
        <w:t>5</w:t>
      </w:r>
      <w:r>
        <w:rPr>
          <w:rFonts w:hint="eastAsia" w:ascii="楷体_GB2312" w:hAnsi="仿宋" w:eastAsia="楷体_GB2312"/>
          <w:snapToGrid w:val="0"/>
          <w:kern w:val="0"/>
          <w:sz w:val="32"/>
          <w:szCs w:val="32"/>
        </w:rPr>
        <w:t>.创新诊疗模式。</w:t>
      </w:r>
      <w:r>
        <w:rPr>
          <w:rFonts w:hint="eastAsia" w:ascii="仿宋_GB2312" w:hAnsi="仿宋" w:eastAsia="仿宋_GB2312"/>
          <w:snapToGrid w:val="0"/>
          <w:kern w:val="0"/>
          <w:sz w:val="32"/>
          <w:szCs w:val="32"/>
        </w:rPr>
        <w:t>针对老年疾病、肿瘤等疑难复杂疾病，全面推行</w:t>
      </w:r>
      <w:r>
        <w:rPr>
          <w:rFonts w:hint="eastAsia" w:eastAsia="仿宋_GB2312"/>
          <w:snapToGrid w:val="0"/>
          <w:kern w:val="0"/>
          <w:sz w:val="32"/>
          <w:szCs w:val="32"/>
        </w:rPr>
        <w:t>MDT</w:t>
      </w:r>
      <w:r>
        <w:rPr>
          <w:rFonts w:hint="eastAsia" w:ascii="仿宋_GB2312" w:hAnsi="仿宋" w:eastAsia="仿宋_GB2312"/>
          <w:snapToGrid w:val="0"/>
          <w:kern w:val="0"/>
          <w:sz w:val="32"/>
          <w:szCs w:val="32"/>
        </w:rPr>
        <w:t>诊疗模式，多科协作、攻坚克难，充分发挥多学科联合诊疗的优势。以优势专科和（或）重点扶持专科为主体，融合其他相关学科共同参与专病中心建设。坚持“以患者为中心，以疾病诊疗为链条”，探索打破原有的医学学科和诊疗科目壁垒，</w:t>
      </w:r>
      <w:r>
        <w:rPr>
          <w:rFonts w:hint="eastAsia" w:ascii="仿宋_GB2312" w:hAnsi="仿宋" w:eastAsia="仿宋_GB2312"/>
          <w:snapToGrid w:val="0"/>
          <w:spacing w:val="2"/>
          <w:kern w:val="0"/>
          <w:sz w:val="32"/>
          <w:szCs w:val="32"/>
        </w:rPr>
        <w:t>科室设置从诊疗科目向疾病病种转变，全面梳理诊疗所需的医务人员组成、设备设施条件、医疗技术和药品器械等要素需求并合理配置，组建相关重大疾病临床专科，不断提升诊疗能力和效率。实行主诊主任负责制（由</w:t>
      </w:r>
      <w:r>
        <w:rPr>
          <w:rFonts w:hint="eastAsia" w:eastAsia="仿宋_GB2312"/>
          <w:snapToGrid w:val="0"/>
          <w:spacing w:val="2"/>
          <w:kern w:val="0"/>
          <w:sz w:val="32"/>
          <w:szCs w:val="32"/>
        </w:rPr>
        <w:t>1</w:t>
      </w:r>
      <w:r>
        <w:rPr>
          <w:rFonts w:hint="eastAsia" w:ascii="仿宋_GB2312" w:hAnsi="仿宋" w:eastAsia="仿宋_GB2312"/>
          <w:snapToGrid w:val="0"/>
          <w:spacing w:val="2"/>
          <w:kern w:val="0"/>
          <w:sz w:val="32"/>
          <w:szCs w:val="32"/>
        </w:rPr>
        <w:t>名主诊主任、</w:t>
      </w:r>
      <w:r>
        <w:rPr>
          <w:rFonts w:hint="eastAsia" w:eastAsia="仿宋_GB2312"/>
          <w:snapToGrid w:val="0"/>
          <w:spacing w:val="2"/>
          <w:kern w:val="0"/>
          <w:sz w:val="32"/>
          <w:szCs w:val="32"/>
        </w:rPr>
        <w:t>1</w:t>
      </w:r>
      <w:r>
        <w:rPr>
          <w:rFonts w:hint="eastAsia" w:ascii="仿宋_GB2312" w:hAnsi="仿宋" w:eastAsia="仿宋_GB2312"/>
          <w:snapToGrid w:val="0"/>
          <w:spacing w:val="2"/>
          <w:kern w:val="0"/>
          <w:sz w:val="32"/>
          <w:szCs w:val="32"/>
        </w:rPr>
        <w:t>名主管医师和若干名住院医师组成</w:t>
      </w:r>
      <w:r>
        <w:rPr>
          <w:rFonts w:hint="eastAsia" w:eastAsia="仿宋_GB2312"/>
          <w:snapToGrid w:val="0"/>
          <w:spacing w:val="2"/>
          <w:kern w:val="0"/>
          <w:sz w:val="32"/>
          <w:szCs w:val="32"/>
        </w:rPr>
        <w:t>1</w:t>
      </w:r>
      <w:r>
        <w:rPr>
          <w:rFonts w:hint="eastAsia" w:ascii="仿宋_GB2312" w:hAnsi="仿宋" w:eastAsia="仿宋_GB2312"/>
          <w:snapToGrid w:val="0"/>
          <w:spacing w:val="2"/>
          <w:kern w:val="0"/>
          <w:sz w:val="32"/>
          <w:szCs w:val="32"/>
        </w:rPr>
        <w:t>个医疗组），建立“五专”（专科、专病、专收、专治、专研）发展模式，提供高水平服务供给，提高疑难重症诊治能力。到</w:t>
      </w:r>
      <w:r>
        <w:rPr>
          <w:rFonts w:hint="eastAsia" w:eastAsia="仿宋_GB2312"/>
          <w:snapToGrid w:val="0"/>
          <w:spacing w:val="2"/>
          <w:kern w:val="0"/>
          <w:sz w:val="32"/>
          <w:szCs w:val="32"/>
        </w:rPr>
        <w:t>2025</w:t>
      </w:r>
      <w:r>
        <w:rPr>
          <w:rFonts w:hint="eastAsia" w:ascii="仿宋_GB2312" w:hAnsi="仿宋" w:eastAsia="仿宋_GB2312"/>
          <w:snapToGrid w:val="0"/>
          <w:spacing w:val="2"/>
          <w:kern w:val="0"/>
          <w:sz w:val="32"/>
          <w:szCs w:val="32"/>
        </w:rPr>
        <w:t>年，三级综合医院</w:t>
      </w:r>
      <w:r>
        <w:rPr>
          <w:rFonts w:hint="eastAsia" w:eastAsia="仿宋_GB2312"/>
          <w:snapToGrid w:val="0"/>
          <w:spacing w:val="2"/>
          <w:kern w:val="0"/>
          <w:sz w:val="32"/>
          <w:szCs w:val="32"/>
        </w:rPr>
        <w:t>MDT</w:t>
      </w:r>
      <w:r>
        <w:rPr>
          <w:rFonts w:hint="eastAsia" w:ascii="仿宋_GB2312" w:hAnsi="仿宋" w:eastAsia="仿宋_GB2312"/>
          <w:snapToGrid w:val="0"/>
          <w:spacing w:val="2"/>
          <w:kern w:val="0"/>
          <w:sz w:val="32"/>
          <w:szCs w:val="32"/>
        </w:rPr>
        <w:t>门诊服务全覆盖。</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6</w:t>
      </w:r>
      <w:r>
        <w:rPr>
          <w:rFonts w:hint="eastAsia" w:ascii="楷体_GB2312" w:hAnsi="仿宋" w:eastAsia="楷体_GB2312"/>
          <w:snapToGrid w:val="0"/>
          <w:kern w:val="0"/>
          <w:sz w:val="32"/>
          <w:szCs w:val="32"/>
        </w:rPr>
        <w:t>.鼓励强强联合。</w:t>
      </w:r>
      <w:r>
        <w:rPr>
          <w:rFonts w:hint="eastAsia" w:ascii="仿宋_GB2312" w:hAnsi="仿宋" w:eastAsia="仿宋_GB2312"/>
          <w:snapToGrid w:val="0"/>
          <w:kern w:val="0"/>
          <w:sz w:val="32"/>
          <w:szCs w:val="32"/>
        </w:rPr>
        <w:t>鼓励医疗机构间开展优势学科合作，可依托专科联盟、医院间资源整合等方式集中优势力量，优化专科发展路径。探索市级医疗资源整合，鼓励市级医院间科室能力相近的专科通过整合并揭榜挂帅确定专科建设总负责人，实行主诊主任负责制，逐步培养单病种首席专家，统筹安排各医院间医务人员轮岗，合力共建临床专科。探索优质专科整合后按院区分布，引导院区差异化发展。到</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年，全市建成</w:t>
      </w:r>
      <w:r>
        <w:rPr>
          <w:rFonts w:hint="eastAsia" w:eastAsia="仿宋_GB2312"/>
          <w:snapToGrid w:val="0"/>
          <w:kern w:val="0"/>
          <w:sz w:val="32"/>
          <w:szCs w:val="32"/>
        </w:rPr>
        <w:t>10</w:t>
      </w:r>
      <w:r>
        <w:rPr>
          <w:rFonts w:hint="eastAsia" w:ascii="仿宋_GB2312" w:hAnsi="仿宋" w:eastAsia="仿宋_GB2312"/>
          <w:snapToGrid w:val="0"/>
          <w:kern w:val="0"/>
          <w:sz w:val="32"/>
          <w:szCs w:val="32"/>
        </w:rPr>
        <w:t>个专科联盟。</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7</w:t>
      </w:r>
      <w:r>
        <w:rPr>
          <w:rFonts w:hint="eastAsia" w:ascii="楷体_GB2312" w:hAnsi="仿宋" w:eastAsia="楷体_GB2312"/>
          <w:snapToGrid w:val="0"/>
          <w:kern w:val="0"/>
          <w:sz w:val="32"/>
          <w:szCs w:val="32"/>
        </w:rPr>
        <w:t>.健全质控体系。</w:t>
      </w:r>
      <w:r>
        <w:rPr>
          <w:rFonts w:hint="eastAsia" w:ascii="仿宋_GB2312" w:hAnsi="仿宋" w:eastAsia="仿宋_GB2312"/>
          <w:snapToGrid w:val="0"/>
          <w:kern w:val="0"/>
          <w:sz w:val="32"/>
          <w:szCs w:val="32"/>
        </w:rPr>
        <w:t>持续完善市县两级质控网络布局，依托质控中心优化质控标准、强化质控培训。二级以上医院设置临床专科质控专员，持续优化质控制度，强化医疗质量安全问题收集、分析、反馈、上报等工作，至少每季度形成医疗质量安全改进计划，对上一季度出现的医疗安全问题进行分析、总结、整改，持续做好医疗质量安全问题回头看。不断提升临床专科医疗质量管理的科学化、精细化、规范化水平。到</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年，市县两级质控网络基本完善，市级质控中心数量达</w:t>
      </w:r>
      <w:r>
        <w:rPr>
          <w:rFonts w:hint="eastAsia" w:eastAsia="仿宋_GB2312"/>
          <w:snapToGrid w:val="0"/>
          <w:kern w:val="0"/>
          <w:sz w:val="32"/>
          <w:szCs w:val="32"/>
        </w:rPr>
        <w:t>50</w:t>
      </w:r>
      <w:r>
        <w:rPr>
          <w:rFonts w:hint="eastAsia" w:ascii="仿宋_GB2312" w:hAnsi="仿宋" w:eastAsia="仿宋_GB2312"/>
          <w:snapToGrid w:val="0"/>
          <w:kern w:val="0"/>
          <w:sz w:val="32"/>
          <w:szCs w:val="32"/>
        </w:rPr>
        <w:t>个。</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8</w:t>
      </w:r>
      <w:r>
        <w:rPr>
          <w:rFonts w:hint="eastAsia" w:ascii="楷体_GB2312" w:hAnsi="仿宋" w:eastAsia="楷体_GB2312"/>
          <w:snapToGrid w:val="0"/>
          <w:kern w:val="0"/>
          <w:sz w:val="32"/>
          <w:szCs w:val="32"/>
        </w:rPr>
        <w:t>.促进融合发展。</w:t>
      </w:r>
      <w:r>
        <w:rPr>
          <w:rFonts w:hint="eastAsia" w:ascii="仿宋_GB2312" w:hAnsi="仿宋" w:eastAsia="仿宋_GB2312"/>
          <w:snapToGrid w:val="0"/>
          <w:kern w:val="0"/>
          <w:sz w:val="32"/>
          <w:szCs w:val="32"/>
        </w:rPr>
        <w:t>加快推进内镜、介入、局部微创治疗和改良外科手术方式在内的微创医疗技术的综合应用，探索开展术中放疗、术中化疗、杂交手术等新诊疗模式应用，重视培育临床专科技术特色，做好适宜技术推广应用。围绕重大疾病和关键技术，以解决临床实际问题为导向，加强临床诊疗技术创新、应用研究和成果转化，强化临床与基础研究交叉融合、医工交叉融合等跨领域联合攻关，争取在再生医学、精准医疗、生物医学新技术等前沿热点领域取得突破。到</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年，每个县至少有</w:t>
      </w:r>
      <w:r>
        <w:rPr>
          <w:rFonts w:hint="eastAsia" w:eastAsia="仿宋_GB2312"/>
          <w:snapToGrid w:val="0"/>
          <w:kern w:val="0"/>
          <w:sz w:val="32"/>
          <w:szCs w:val="32"/>
        </w:rPr>
        <w:t>1</w:t>
      </w:r>
      <w:r>
        <w:rPr>
          <w:rFonts w:hint="eastAsia" w:ascii="仿宋_GB2312" w:hAnsi="仿宋" w:eastAsia="仿宋_GB2312"/>
          <w:snapToGrid w:val="0"/>
          <w:kern w:val="0"/>
          <w:sz w:val="32"/>
          <w:szCs w:val="32"/>
        </w:rPr>
        <w:t>家医院主要医疗技术和服务能力达到三级医院水平。建设温州健康医疗大数据中心，加快数字家医（慢病智管）开发应用，推进“云中医”“云中药”等平台建设。引进国内先进医学人工智能，迭代升级温州市医学影像云平台，建设完善温州市区域影像诊断中心，打造“健康云检”模式。到</w:t>
      </w:r>
      <w:r>
        <w:rPr>
          <w:rFonts w:hint="eastAsia" w:eastAsia="仿宋_GB2312"/>
          <w:snapToGrid w:val="0"/>
          <w:kern w:val="0"/>
          <w:sz w:val="32"/>
          <w:szCs w:val="32"/>
        </w:rPr>
        <w:t>2025</w:t>
      </w:r>
      <w:r>
        <w:rPr>
          <w:rFonts w:hint="eastAsia" w:ascii="仿宋_GB2312" w:hAnsi="仿宋" w:eastAsia="仿宋_GB2312"/>
          <w:snapToGrid w:val="0"/>
          <w:kern w:val="0"/>
          <w:sz w:val="32"/>
          <w:szCs w:val="32"/>
        </w:rPr>
        <w:t>年，建成国内医疗健康数据要素市场化和数据治理的一流高能级创新平台和创新引领基地，推广应用医学人工智能</w:t>
      </w:r>
      <w:r>
        <w:rPr>
          <w:rFonts w:hint="eastAsia" w:eastAsia="仿宋_GB2312"/>
          <w:snapToGrid w:val="0"/>
          <w:kern w:val="0"/>
          <w:sz w:val="32"/>
          <w:szCs w:val="32"/>
        </w:rPr>
        <w:t>10</w:t>
      </w:r>
      <w:r>
        <w:rPr>
          <w:rFonts w:hint="eastAsia" w:ascii="仿宋_GB2312" w:hAnsi="仿宋" w:eastAsia="仿宋_GB2312"/>
          <w:snapToGrid w:val="0"/>
          <w:kern w:val="0"/>
          <w:sz w:val="32"/>
          <w:szCs w:val="32"/>
        </w:rPr>
        <w:t>个以上。</w:t>
      </w:r>
    </w:p>
    <w:p>
      <w:pPr>
        <w:overflowPunct w:val="0"/>
        <w:adjustRightInd w:val="0"/>
        <w:snapToGrid w:val="0"/>
        <w:spacing w:line="570" w:lineRule="exact"/>
        <w:ind w:firstLine="640" w:firstLineChars="200"/>
        <w:rPr>
          <w:rFonts w:hint="eastAsia" w:ascii="黑体" w:hAnsi="黑体" w:eastAsia="黑体"/>
          <w:snapToGrid w:val="0"/>
          <w:kern w:val="0"/>
          <w:sz w:val="32"/>
          <w:szCs w:val="32"/>
        </w:rPr>
      </w:pPr>
      <w:r>
        <w:rPr>
          <w:rFonts w:hint="eastAsia" w:ascii="黑体" w:hAnsi="黑体" w:eastAsia="黑体" w:cs="黑体"/>
          <w:snapToGrid w:val="0"/>
          <w:kern w:val="0"/>
          <w:sz w:val="32"/>
          <w:szCs w:val="32"/>
        </w:rPr>
        <w:t>三、协同推动专科发展</w:t>
      </w:r>
    </w:p>
    <w:p>
      <w:pPr>
        <w:overflowPunct w:val="0"/>
        <w:adjustRightInd w:val="0"/>
        <w:snapToGrid w:val="0"/>
        <w:spacing w:line="570" w:lineRule="exact"/>
        <w:ind w:firstLine="640" w:firstLineChars="200"/>
        <w:rPr>
          <w:rFonts w:hint="eastAsia" w:ascii="仿宋_GB2312" w:hAnsi="仿宋" w:eastAsia="仿宋_GB2312"/>
          <w:snapToGrid w:val="0"/>
          <w:kern w:val="0"/>
          <w:sz w:val="32"/>
          <w:szCs w:val="32"/>
        </w:rPr>
      </w:pPr>
      <w:r>
        <w:rPr>
          <w:rFonts w:hint="eastAsia" w:eastAsia="楷体_GB2312"/>
          <w:snapToGrid w:val="0"/>
          <w:kern w:val="0"/>
          <w:sz w:val="32"/>
          <w:szCs w:val="32"/>
        </w:rPr>
        <w:t>9</w:t>
      </w:r>
      <w:r>
        <w:rPr>
          <w:rFonts w:hint="eastAsia" w:ascii="楷体_GB2312" w:hAnsi="仿宋" w:eastAsia="楷体_GB2312"/>
          <w:snapToGrid w:val="0"/>
          <w:kern w:val="0"/>
          <w:sz w:val="32"/>
          <w:szCs w:val="32"/>
        </w:rPr>
        <w:t>.创新绩效分配。</w:t>
      </w:r>
      <w:r>
        <w:rPr>
          <w:rFonts w:hint="eastAsia" w:ascii="仿宋_GB2312" w:hAnsi="仿宋" w:eastAsia="仿宋_GB2312"/>
          <w:snapToGrid w:val="0"/>
          <w:kern w:val="0"/>
          <w:sz w:val="32"/>
          <w:szCs w:val="32"/>
        </w:rPr>
        <w:t>创新临床考核评价激励机制，引导重点专科合理研究本专业专病发展路径和目标，注重专病集成发展，打造优势特色专病中心，形成专科专病群。在传统人力资源管理基础上，探索开展医务人员“学科专科双聘”新型管理模式，鼓励医务人员积极开展临床专科管理模式探索，鼓励医疗机构探索建立专科内部二次分配的机制，建立完善以临床专科为单元的绩效分配制度，激活专科内生动力。各医院可结合实际对聘用的急需紧缺、业内认可、业绩突出的医学类专业高层次人才，实行人才薪酬分配激励政策。</w:t>
      </w:r>
    </w:p>
    <w:p>
      <w:pPr>
        <w:overflowPunct w:val="0"/>
        <w:adjustRightInd w:val="0"/>
        <w:snapToGrid w:val="0"/>
        <w:spacing w:line="570" w:lineRule="exact"/>
        <w:ind w:firstLine="648" w:firstLineChars="200"/>
        <w:rPr>
          <w:rFonts w:hint="eastAsia" w:ascii="仿宋_GB2312" w:hAnsi="仿宋" w:eastAsia="仿宋_GB2312"/>
          <w:snapToGrid w:val="0"/>
          <w:spacing w:val="2"/>
          <w:kern w:val="0"/>
          <w:sz w:val="32"/>
          <w:szCs w:val="32"/>
        </w:rPr>
      </w:pPr>
      <w:r>
        <w:rPr>
          <w:rFonts w:hint="eastAsia" w:eastAsia="楷体_GB2312"/>
          <w:snapToGrid w:val="0"/>
          <w:spacing w:val="2"/>
          <w:kern w:val="0"/>
          <w:sz w:val="32"/>
          <w:szCs w:val="32"/>
        </w:rPr>
        <w:t>10</w:t>
      </w:r>
      <w:r>
        <w:rPr>
          <w:rFonts w:hint="eastAsia" w:ascii="楷体_GB2312" w:hAnsi="仿宋" w:eastAsia="楷体_GB2312"/>
          <w:snapToGrid w:val="0"/>
          <w:spacing w:val="2"/>
          <w:kern w:val="0"/>
          <w:sz w:val="32"/>
          <w:szCs w:val="32"/>
        </w:rPr>
        <w:t>.优化人才招引培育。</w:t>
      </w:r>
      <w:r>
        <w:rPr>
          <w:rFonts w:hint="eastAsia" w:ascii="仿宋_GB2312" w:hAnsi="仿宋" w:eastAsia="仿宋_GB2312"/>
          <w:snapToGrid w:val="0"/>
          <w:spacing w:val="2"/>
          <w:kern w:val="0"/>
          <w:sz w:val="32"/>
          <w:szCs w:val="32"/>
        </w:rPr>
        <w:t>鼓励医疗机构选优选强临床专科主任等关键岗位，采用签订责任状等形式落实工作责任，充分发挥临床专科主任管理效能。对超出法定退休年龄，但具较高技术水平或行业内影响力较大的市内外医学人才，可适当放宽年龄等条件，经审批同意后予以延退、返聘或聘用。对在重点学科建设中贡献突出或获得重大科技奖项的人才，允许越级竞聘。市级公立医院每年选派</w:t>
      </w:r>
      <w:r>
        <w:rPr>
          <w:rFonts w:hint="eastAsia" w:eastAsia="仿宋_GB2312"/>
          <w:snapToGrid w:val="0"/>
          <w:spacing w:val="2"/>
          <w:kern w:val="0"/>
          <w:sz w:val="32"/>
          <w:szCs w:val="32"/>
        </w:rPr>
        <w:t>10</w:t>
      </w:r>
      <w:r>
        <w:rPr>
          <w:rFonts w:hint="eastAsia" w:ascii="仿宋_GB2312" w:hAnsi="仿宋" w:eastAsia="仿宋_GB2312"/>
          <w:snapToGrid w:val="0"/>
          <w:spacing w:val="2"/>
          <w:kern w:val="0"/>
          <w:sz w:val="32"/>
          <w:szCs w:val="32"/>
        </w:rPr>
        <w:t>名以上优秀青年骨干赴国（境）内外相关专业顶级医院研修学习。温医大附属医院与市属医院间打破专业技术人员交流壁垒，鼓励市属医院从温医大附属医院引进学科带头人。</w:t>
      </w:r>
    </w:p>
    <w:p>
      <w:r>
        <w:rPr>
          <w:rFonts w:hint="eastAsia" w:eastAsia="楷体_GB2312"/>
          <w:snapToGrid w:val="0"/>
          <w:kern w:val="0"/>
          <w:sz w:val="32"/>
          <w:szCs w:val="32"/>
        </w:rPr>
        <w:t>11</w:t>
      </w:r>
      <w:r>
        <w:rPr>
          <w:rFonts w:hint="eastAsia" w:ascii="楷体_GB2312" w:hAnsi="仿宋" w:eastAsia="楷体_GB2312"/>
          <w:snapToGrid w:val="0"/>
          <w:kern w:val="0"/>
          <w:sz w:val="32"/>
          <w:szCs w:val="32"/>
        </w:rPr>
        <w:t>.提升基层能力。</w:t>
      </w:r>
      <w:r>
        <w:rPr>
          <w:rFonts w:hint="eastAsia" w:ascii="仿宋_GB2312" w:hAnsi="仿宋" w:eastAsia="仿宋_GB2312"/>
          <w:snapToGrid w:val="0"/>
          <w:kern w:val="0"/>
          <w:sz w:val="32"/>
          <w:szCs w:val="32"/>
        </w:rPr>
        <w:t>深化县域医共体“一家人、一本账、一盘棋”改革，发挥对基层医务人员的技术支撑作用，加快提升成员单位基本医疗和公共卫生服务能力。通过市县联动、专科合作、互联网医疗等途径，实现基层医疗机构常见病、多发病和急救服务能力的快速提升。支持开展优质服务基层行活动和基层特色专科建设。持续推进医疗卫生山海提升工程，推动优质医疗资源下沉和县域医疗服务能力提升“双精准”，缩小区域间医疗技术和服务水平差距。以民生实事为抓手，加大专项资金投入，加快社区卫生服务中心（乡镇卫生院）中医诊疗区域软硬件建设，扩大中医药服务内涵，补齐基层中医药短板，全面建成“旗舰中医馆”和“中医阁”，实现县域全覆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53478A5"/>
    <w:rsid w:val="1534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2023-10-26T03:18:00Z</dcterms:created>
  <dc:creator>燕</dc:creator>
  <cp:lastModifiedBy>燕</cp:lastModifiedBy>
  <dcterms:modified xsi:type="dcterms:W3CDTF">2023-10-26T03:18:32Z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027ACB22CB1D47FCB6087B07B5B2C6EB_11</vt:lpwstr>
  </property>
</Properties>
</file>