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spacing w:line="560" w:lineRule="exact"/>
        <w:rPr>
          <w:rFonts w:ascii="方正小标宋简体" w:hAnsi="方正小标宋简体" w:eastAsia="方正小标宋简体" w:cs="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温州市乡村振兴“两进两回”实施意见</w:t>
      </w:r>
    </w:p>
    <w:p>
      <w:pPr>
        <w:spacing w:line="560" w:lineRule="exact"/>
        <w:jc w:val="center"/>
        <w:rPr>
          <w:rFonts w:ascii="宋体" w:hAnsi="宋体" w:eastAsia="宋体"/>
          <w:sz w:val="36"/>
          <w:szCs w:val="36"/>
        </w:rPr>
      </w:pPr>
      <w:r>
        <w:rPr>
          <w:rFonts w:hint="eastAsia" w:ascii="宋体" w:hAnsi="宋体" w:eastAsia="宋体"/>
          <w:sz w:val="36"/>
          <w:szCs w:val="36"/>
        </w:rPr>
        <w:t>(</w:t>
      </w:r>
      <w:r>
        <w:rPr>
          <w:rFonts w:hint="eastAsia" w:ascii="宋体" w:hAnsi="宋体"/>
          <w:sz w:val="36"/>
          <w:szCs w:val="36"/>
          <w:lang w:val="en-US" w:eastAsia="zh-CN"/>
        </w:rPr>
        <w:t>征求意见</w:t>
      </w:r>
      <w:r>
        <w:rPr>
          <w:rFonts w:hint="eastAsia" w:ascii="宋体" w:hAnsi="宋体" w:eastAsia="宋体"/>
          <w:sz w:val="36"/>
          <w:szCs w:val="36"/>
        </w:rPr>
        <w:t>稿)</w:t>
      </w:r>
    </w:p>
    <w:p>
      <w:pPr>
        <w:spacing w:line="560" w:lineRule="exact"/>
        <w:jc w:val="center"/>
        <w:rPr>
          <w:rFonts w:ascii="方正小标宋简体" w:eastAsia="方正小标宋简体"/>
          <w:sz w:val="32"/>
          <w:szCs w:val="32"/>
        </w:rPr>
      </w:pPr>
    </w:p>
    <w:p>
      <w:pPr>
        <w:adjustRightInd w:val="0"/>
        <w:snapToGrid w:val="0"/>
        <w:spacing w:line="600" w:lineRule="exact"/>
        <w:rPr>
          <w:rFonts w:ascii="仿宋_GB2312" w:eastAsia="仿宋_GB2312"/>
          <w:sz w:val="32"/>
          <w:szCs w:val="32"/>
        </w:rPr>
      </w:pPr>
    </w:p>
    <w:p>
      <w:pPr>
        <w:adjustRightInd w:val="0"/>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贯彻省委、市委农村工作会议精神，坚持项目导向，畅通资本、人才、服务下乡通道，推进科技进乡村、资金进乡村、青年回农村、乡贤回农村（以下简称“两进两回”），激发乡村活力，加快乡村振兴，特制定“两进两回”实施意见：</w:t>
      </w:r>
    </w:p>
    <w:p>
      <w:pPr>
        <w:adjustRightInd w:val="0"/>
        <w:snapToGrid w:val="0"/>
        <w:spacing w:line="600" w:lineRule="exact"/>
        <w:ind w:firstLine="640" w:firstLineChars="200"/>
        <w:rPr>
          <w:rFonts w:ascii="黑体" w:hAnsi="黑体" w:eastAsia="黑体" w:cs="楷体"/>
          <w:sz w:val="32"/>
          <w:szCs w:val="32"/>
        </w:rPr>
      </w:pPr>
      <w:r>
        <w:rPr>
          <w:rFonts w:hint="eastAsia" w:ascii="黑体" w:hAnsi="黑体" w:eastAsia="黑体" w:cs="楷体"/>
          <w:sz w:val="32"/>
          <w:szCs w:val="32"/>
        </w:rPr>
        <w:t>一、优化乡村创业环境</w:t>
      </w:r>
    </w:p>
    <w:p>
      <w:pPr>
        <w:adjustRightInd w:val="0"/>
        <w:snapToGrid w:val="0"/>
        <w:spacing w:line="600" w:lineRule="exact"/>
        <w:ind w:firstLine="640" w:firstLineChars="200"/>
        <w:rPr>
          <w:rFonts w:hint="eastAsia" w:ascii="仿宋" w:hAnsi="仿宋" w:eastAsia="仿宋" w:cs="仿宋"/>
          <w:b/>
          <w:bCs/>
          <w:sz w:val="32"/>
          <w:szCs w:val="32"/>
        </w:rPr>
      </w:pPr>
      <w:r>
        <w:rPr>
          <w:rFonts w:hint="eastAsia" w:ascii="Times New Roman" w:hAnsi="Times New Roman" w:eastAsia="楷体_GB2312"/>
          <w:kern w:val="0"/>
          <w:sz w:val="32"/>
          <w:szCs w:val="32"/>
        </w:rPr>
        <w:t>1.简化项目审批程序。</w:t>
      </w:r>
      <w:r>
        <w:rPr>
          <w:rFonts w:hint="eastAsia" w:ascii="仿宋_GB2312" w:hAnsi="仿宋" w:eastAsia="仿宋_GB2312" w:cs="仿宋"/>
          <w:sz w:val="32"/>
          <w:szCs w:val="32"/>
        </w:rPr>
        <w:t>出台乡村建设项目简易审批办法，建立第三方评估团队，在符合国家招投标规定的基础上，实行美丽乡村建设小型工程项目评估制度。乡村振兴建设项目单项合同估算价50万元以下的设计或监理费用可以由乡镇人民政府（街道办事处）直接委托有资质的设计单位或监理单位；单项合同估价400万元以下的项目，由乡镇人民政府（街道办事处）班子会议集体讨论决定自行选择招投标方式（邀标、议标、公开招标）。</w:t>
      </w:r>
      <w:r>
        <w:rPr>
          <w:rFonts w:hint="eastAsia" w:ascii="仿宋_GB2312" w:hAnsi="仿宋" w:eastAsia="仿宋_GB2312" w:cs="仿宋"/>
          <w:sz w:val="32"/>
          <w:szCs w:val="32"/>
          <w:lang w:val="en-US" w:eastAsia="zh-CN"/>
        </w:rPr>
        <w:t>具体管理办法由</w:t>
      </w:r>
      <w:r>
        <w:rPr>
          <w:rFonts w:hint="eastAsia" w:ascii="仿宋_GB2312" w:hAnsi="仿宋" w:eastAsia="仿宋_GB2312" w:cs="仿宋"/>
          <w:sz w:val="32"/>
          <w:szCs w:val="32"/>
        </w:rPr>
        <w:t>各县（市、区）</w:t>
      </w:r>
      <w:r>
        <w:rPr>
          <w:rFonts w:hint="eastAsia" w:ascii="仿宋_GB2312" w:hAnsi="仿宋" w:eastAsia="仿宋_GB2312" w:cs="仿宋"/>
          <w:kern w:val="2"/>
          <w:sz w:val="32"/>
          <w:szCs w:val="32"/>
          <w:lang w:val="en-US" w:eastAsia="zh-CN" w:bidi="ar-SA"/>
        </w:rPr>
        <w:t>制定。</w:t>
      </w:r>
      <w:r>
        <w:rPr>
          <w:rFonts w:hint="eastAsia" w:ascii="仿宋" w:hAnsi="仿宋" w:eastAsia="仿宋" w:cs="仿宋"/>
          <w:b/>
          <w:bCs/>
          <w:sz w:val="32"/>
          <w:szCs w:val="32"/>
        </w:rPr>
        <w:t>（牵头单位：市住建局</w:t>
      </w:r>
      <w:r>
        <w:rPr>
          <w:rFonts w:hint="eastAsia" w:ascii="仿宋" w:hAnsi="仿宋" w:eastAsia="仿宋" w:cs="仿宋"/>
          <w:b/>
          <w:bCs/>
          <w:kern w:val="0"/>
          <w:sz w:val="32"/>
          <w:szCs w:val="32"/>
        </w:rPr>
        <w:t>，</w:t>
      </w:r>
      <w:r>
        <w:rPr>
          <w:rFonts w:hint="eastAsia" w:ascii="仿宋" w:hAnsi="仿宋" w:eastAsia="仿宋" w:cs="仿宋"/>
          <w:b/>
          <w:bCs/>
          <w:sz w:val="32"/>
          <w:szCs w:val="32"/>
        </w:rPr>
        <w:t>配合单位：市自然资源和规划局、市农业农村局）</w:t>
      </w:r>
    </w:p>
    <w:p>
      <w:pPr>
        <w:adjustRightInd w:val="0"/>
        <w:snapToGrid w:val="0"/>
        <w:spacing w:line="600" w:lineRule="exact"/>
        <w:ind w:firstLine="640" w:firstLineChars="200"/>
        <w:jc w:val="left"/>
        <w:rPr>
          <w:rFonts w:ascii="仿宋" w:hAnsi="仿宋" w:eastAsia="仿宋" w:cs="仿宋"/>
          <w:b/>
          <w:bCs/>
          <w:kern w:val="0"/>
          <w:sz w:val="32"/>
          <w:szCs w:val="32"/>
        </w:rPr>
      </w:pPr>
      <w:r>
        <w:rPr>
          <w:rFonts w:hint="eastAsia" w:ascii="Times New Roman" w:hAnsi="Times New Roman" w:eastAsia="楷体_GB2312"/>
          <w:kern w:val="0"/>
          <w:sz w:val="32"/>
          <w:szCs w:val="32"/>
        </w:rPr>
        <w:t>2.落实用地支持政策。</w:t>
      </w:r>
      <w:r>
        <w:rPr>
          <w:rFonts w:hint="eastAsia" w:ascii="仿宋_GB2312" w:hAnsi="仿宋" w:eastAsia="仿宋_GB2312" w:cs="仿宋"/>
          <w:sz w:val="32"/>
          <w:szCs w:val="32"/>
        </w:rPr>
        <w:t>重点围绕乡村振兴示范带和西部生态休闲产业带建设项目，各县（市、区）</w:t>
      </w:r>
      <w:r>
        <w:rPr>
          <w:rFonts w:hint="eastAsia" w:ascii="仿宋_GB2312" w:hAnsi="仿宋" w:eastAsia="仿宋_GB2312" w:cs="仿宋"/>
          <w:sz w:val="32"/>
          <w:szCs w:val="32"/>
          <w:lang w:val="en-US" w:eastAsia="zh-CN"/>
        </w:rPr>
        <w:t>每年</w:t>
      </w:r>
      <w:r>
        <w:rPr>
          <w:rFonts w:hint="eastAsia" w:ascii="仿宋_GB2312" w:hAnsi="仿宋" w:eastAsia="仿宋_GB2312" w:cs="仿宋"/>
          <w:sz w:val="32"/>
          <w:szCs w:val="32"/>
        </w:rPr>
        <w:t>至少安排预流转“标准地”300亩（或1000亩林地、5000亩滩涂），举办农业农村项目招商会（专场）。凡土地承包经营权流转期限5年以上、经合法见证并签订流转合同、经营面积100亩以上的农业主体（投资项目），保障其附属设施用地需要</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涉及建设用地，</w:t>
      </w:r>
      <w:r>
        <w:rPr>
          <w:rFonts w:hint="eastAsia" w:ascii="仿宋_GB2312" w:hAnsi="仿宋" w:eastAsia="仿宋_GB2312" w:cs="仿宋"/>
          <w:sz w:val="32"/>
          <w:szCs w:val="32"/>
          <w:lang w:val="en-US" w:eastAsia="zh-CN"/>
        </w:rPr>
        <w:t>符合规划和产业要求的，</w:t>
      </w:r>
      <w:r>
        <w:rPr>
          <w:rFonts w:hint="eastAsia" w:ascii="仿宋_GB2312" w:hAnsi="仿宋" w:eastAsia="仿宋_GB2312" w:cs="仿宋"/>
          <w:sz w:val="32"/>
          <w:szCs w:val="32"/>
        </w:rPr>
        <w:t>安排新增建设用地计划指标予以解决。鼓励村集体经济组织统一回收闲置农房和宅基地发展农村二三产业，鼓励引导农村集体建设用地使用权流转用于乡村公园等项目建设，鼓励各县（市、区）积极申报坡地村镇项目，鼓励在有条件的乡村重点项目中试行点面结合、差别供地，全力推进农业与旅游、教育、文化、健康养老等产业深度融合。全面实施全域土地综合整治与生态修复工程，城乡建设用地增减挂钩政策腾退出的建设用地指标，以及通过农村闲置宅基地整理新增的耕地和建设用地，重点支持农业农村新产业、新业态。依托于全域土地综合整治的乡村振兴项目，用地指标缺口部分，可按“一事一议”给予用地支持。对投资额3亿元以上的田园综合体等项目，可按“一事一议”给予用地支持。</w:t>
      </w:r>
      <w:r>
        <w:rPr>
          <w:rFonts w:hint="eastAsia" w:ascii="仿宋" w:hAnsi="仿宋" w:eastAsia="仿宋" w:cs="仿宋"/>
          <w:b/>
          <w:bCs/>
          <w:kern w:val="0"/>
          <w:sz w:val="32"/>
          <w:szCs w:val="32"/>
        </w:rPr>
        <w:t>（</w:t>
      </w:r>
      <w:r>
        <w:rPr>
          <w:rFonts w:hint="eastAsia" w:ascii="仿宋" w:hAnsi="仿宋" w:eastAsia="仿宋" w:cs="仿宋"/>
          <w:b/>
          <w:bCs/>
          <w:sz w:val="32"/>
          <w:szCs w:val="32"/>
        </w:rPr>
        <w:t>牵头单位：市自然资源和规划局，配合单位：市财政局</w:t>
      </w:r>
      <w:r>
        <w:rPr>
          <w:rFonts w:hint="eastAsia" w:ascii="仿宋" w:hAnsi="仿宋" w:eastAsia="仿宋" w:cs="仿宋"/>
          <w:b/>
          <w:bCs/>
          <w:kern w:val="0"/>
          <w:sz w:val="32"/>
          <w:szCs w:val="32"/>
        </w:rPr>
        <w:t>、</w:t>
      </w:r>
      <w:r>
        <w:rPr>
          <w:rFonts w:hint="eastAsia" w:ascii="仿宋" w:hAnsi="仿宋" w:eastAsia="仿宋" w:cs="仿宋"/>
          <w:b/>
          <w:bCs/>
          <w:sz w:val="32"/>
          <w:szCs w:val="32"/>
        </w:rPr>
        <w:t>市税务局</w:t>
      </w:r>
      <w:r>
        <w:rPr>
          <w:rFonts w:hint="eastAsia" w:ascii="仿宋" w:hAnsi="仿宋" w:eastAsia="仿宋" w:cs="仿宋"/>
          <w:b/>
          <w:bCs/>
          <w:kern w:val="0"/>
          <w:sz w:val="32"/>
          <w:szCs w:val="32"/>
        </w:rPr>
        <w:t>、</w:t>
      </w:r>
      <w:r>
        <w:rPr>
          <w:rFonts w:hint="eastAsia" w:ascii="仿宋" w:hAnsi="仿宋" w:eastAsia="仿宋" w:cs="仿宋"/>
          <w:b/>
          <w:bCs/>
          <w:sz w:val="32"/>
          <w:szCs w:val="32"/>
        </w:rPr>
        <w:t>市农业农村局、市商务局</w:t>
      </w:r>
      <w:r>
        <w:rPr>
          <w:rFonts w:hint="eastAsia" w:ascii="仿宋" w:hAnsi="仿宋" w:eastAsia="仿宋" w:cs="仿宋"/>
          <w:b/>
          <w:bCs/>
          <w:kern w:val="0"/>
          <w:sz w:val="32"/>
          <w:szCs w:val="32"/>
        </w:rPr>
        <w:t>）</w:t>
      </w:r>
    </w:p>
    <w:p>
      <w:pPr>
        <w:shd w:val="solid" w:color="FFFFFF" w:fill="auto"/>
        <w:autoSpaceDN w:val="0"/>
        <w:adjustRightInd w:val="0"/>
        <w:snapToGrid w:val="0"/>
        <w:spacing w:line="600" w:lineRule="exact"/>
        <w:ind w:firstLine="640" w:firstLineChars="200"/>
        <w:rPr>
          <w:rFonts w:ascii="仿宋" w:hAnsi="仿宋" w:eastAsia="仿宋" w:cs="仿宋"/>
          <w:kern w:val="0"/>
          <w:sz w:val="32"/>
          <w:szCs w:val="32"/>
        </w:rPr>
      </w:pPr>
      <w:r>
        <w:rPr>
          <w:rFonts w:hint="eastAsia" w:ascii="Times New Roman" w:hAnsi="Times New Roman" w:eastAsia="楷体_GB2312"/>
          <w:kern w:val="0"/>
          <w:sz w:val="32"/>
          <w:szCs w:val="32"/>
        </w:rPr>
        <w:t>3.加强农村改革要素支撑。</w:t>
      </w:r>
      <w:r>
        <w:rPr>
          <w:rFonts w:hint="eastAsia" w:ascii="仿宋_GB2312" w:hAnsi="仿宋" w:eastAsia="仿宋_GB2312" w:cs="仿宋"/>
          <w:sz w:val="32"/>
          <w:szCs w:val="32"/>
        </w:rPr>
        <w:t>全面推广瓯海农民资产授托代管融资，全年</w:t>
      </w:r>
      <w:r>
        <w:rPr>
          <w:rFonts w:hint="eastAsia" w:ascii="仿宋_GB2312" w:hAnsi="仿宋" w:eastAsia="仿宋_GB2312" w:cs="仿宋"/>
          <w:sz w:val="32"/>
          <w:szCs w:val="32"/>
          <w:lang w:val="en-US" w:eastAsia="zh-CN"/>
        </w:rPr>
        <w:t>贷款余额80</w:t>
      </w:r>
      <w:r>
        <w:rPr>
          <w:rFonts w:hint="eastAsia" w:ascii="仿宋_GB2312" w:hAnsi="仿宋" w:eastAsia="仿宋_GB2312" w:cs="仿宋"/>
          <w:sz w:val="32"/>
          <w:szCs w:val="32"/>
        </w:rPr>
        <w:t>亿元。积极探索承包地经营权、集体资产股权抵（质）押贷款，稳妥探索农村宅基地（农房）使用权抵押贷款，鼓励永嘉、平阳等地发展民宿经营权抵押贷款业务。支持文成、乐清、泰顺等地探索生态公益林补偿收益权质押贷款，支持泰顺、苍南等地发展农村集体资产股权质押货款。积极推广瓯海区“老供销”品牌运作模式。提升乡镇为民服务中心的服务功能，各县（市、区）在年内至少新建1个服务半径覆盖若干个乡镇的综合性示范中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每条乡村振兴示范带至少建设1个农产品展示展销中心，</w:t>
      </w:r>
      <w:r>
        <w:rPr>
          <w:rFonts w:hint="eastAsia" w:ascii="仿宋_GB2312" w:hAnsi="仿宋" w:eastAsia="仿宋_GB2312" w:cs="仿宋"/>
          <w:sz w:val="32"/>
          <w:szCs w:val="32"/>
        </w:rPr>
        <w:t>支持工商资本通过兼并、重组、收购、控股等方式组建龙头企业，形成品牌效应。</w:t>
      </w:r>
      <w:r>
        <w:rPr>
          <w:rFonts w:hint="eastAsia" w:ascii="仿宋" w:hAnsi="仿宋" w:eastAsia="仿宋" w:cs="仿宋"/>
          <w:b/>
          <w:bCs/>
          <w:kern w:val="0"/>
          <w:sz w:val="32"/>
          <w:szCs w:val="32"/>
        </w:rPr>
        <w:t>（</w:t>
      </w:r>
      <w:r>
        <w:rPr>
          <w:rFonts w:hint="eastAsia" w:ascii="仿宋" w:hAnsi="仿宋" w:eastAsia="仿宋" w:cs="仿宋"/>
          <w:b/>
          <w:bCs/>
          <w:sz w:val="32"/>
          <w:szCs w:val="32"/>
        </w:rPr>
        <w:t>牵头单位：人行温州市中心支行，配合单位：市金融办</w:t>
      </w:r>
      <w:r>
        <w:rPr>
          <w:rFonts w:hint="eastAsia" w:ascii="仿宋" w:hAnsi="仿宋" w:eastAsia="仿宋" w:cs="仿宋"/>
          <w:b/>
          <w:bCs/>
          <w:kern w:val="0"/>
          <w:sz w:val="32"/>
          <w:szCs w:val="32"/>
        </w:rPr>
        <w:t>、</w:t>
      </w:r>
      <w:r>
        <w:rPr>
          <w:rFonts w:hint="eastAsia" w:ascii="仿宋" w:hAnsi="仿宋" w:eastAsia="仿宋" w:cs="仿宋"/>
          <w:b/>
          <w:bCs/>
          <w:sz w:val="32"/>
          <w:szCs w:val="32"/>
        </w:rPr>
        <w:t>市农业农村、市供销社</w:t>
      </w:r>
      <w:r>
        <w:rPr>
          <w:rFonts w:hint="eastAsia" w:ascii="仿宋" w:hAnsi="仿宋" w:eastAsia="仿宋" w:cs="仿宋"/>
          <w:b/>
          <w:bCs/>
          <w:kern w:val="0"/>
          <w:sz w:val="32"/>
          <w:szCs w:val="32"/>
        </w:rPr>
        <w:t>）</w:t>
      </w:r>
    </w:p>
    <w:p>
      <w:pPr>
        <w:pStyle w:val="12"/>
        <w:adjustRightInd w:val="0"/>
        <w:snapToGrid w:val="0"/>
        <w:spacing w:line="600" w:lineRule="exact"/>
        <w:ind w:firstLine="640"/>
        <w:rPr>
          <w:rFonts w:ascii="黑体" w:hAnsi="黑体" w:eastAsia="黑体" w:cs="楷体"/>
          <w:sz w:val="32"/>
          <w:szCs w:val="32"/>
        </w:rPr>
      </w:pPr>
      <w:r>
        <w:rPr>
          <w:rFonts w:hint="eastAsia" w:ascii="黑体" w:hAnsi="黑体" w:eastAsia="黑体" w:cs="楷体"/>
          <w:sz w:val="32"/>
          <w:szCs w:val="32"/>
        </w:rPr>
        <w:t>二、加强财政金融支持</w:t>
      </w:r>
    </w:p>
    <w:p>
      <w:pPr>
        <w:pStyle w:val="12"/>
        <w:adjustRightInd w:val="0"/>
        <w:snapToGrid w:val="0"/>
        <w:spacing w:line="600" w:lineRule="exact"/>
        <w:ind w:firstLine="640"/>
        <w:rPr>
          <w:rFonts w:ascii="仿宋" w:hAnsi="仿宋" w:eastAsia="仿宋" w:cs="仿宋"/>
          <w:b/>
          <w:bCs/>
          <w:kern w:val="0"/>
          <w:sz w:val="32"/>
          <w:szCs w:val="32"/>
        </w:rPr>
      </w:pPr>
      <w:r>
        <w:rPr>
          <w:rFonts w:hint="eastAsia" w:ascii="Times New Roman" w:hAnsi="Times New Roman" w:eastAsia="楷体_GB2312" w:cs="黑体"/>
          <w:kern w:val="0"/>
          <w:sz w:val="32"/>
          <w:szCs w:val="32"/>
        </w:rPr>
        <w:t>4.拓展工商资本“下乡”渠道。</w:t>
      </w:r>
      <w:r>
        <w:rPr>
          <w:rFonts w:hint="eastAsia" w:ascii="仿宋_GB2312" w:hAnsi="仿宋" w:eastAsia="仿宋_GB2312" w:cs="仿宋"/>
          <w:sz w:val="32"/>
          <w:szCs w:val="32"/>
        </w:rPr>
        <w:t>鼓励工商资本重点投向</w:t>
      </w:r>
      <w:r>
        <w:rPr>
          <w:rFonts w:hint="eastAsia" w:ascii="仿宋" w:hAnsi="仿宋" w:eastAsia="仿宋" w:cs="仿宋"/>
          <w:sz w:val="32"/>
          <w:szCs w:val="32"/>
        </w:rPr>
        <w:t>乡村振兴示范带和西部生态休闲产业带项目。</w:t>
      </w:r>
      <w:r>
        <w:rPr>
          <w:rFonts w:hint="eastAsia" w:ascii="仿宋_GB2312" w:hAnsi="仿宋" w:eastAsia="仿宋_GB2312" w:cs="仿宋"/>
          <w:sz w:val="32"/>
          <w:szCs w:val="32"/>
        </w:rPr>
        <w:t>鼓励工商资本参与创办混合制医院、教育、养老机构等</w:t>
      </w:r>
      <w:r>
        <w:rPr>
          <w:rFonts w:hint="eastAsia" w:ascii="仿宋_GB2312" w:hAnsi="仿宋" w:eastAsia="仿宋_GB2312" w:cs="仿宋"/>
          <w:sz w:val="32"/>
          <w:szCs w:val="32"/>
          <w:lang w:val="en-US" w:eastAsia="zh-CN"/>
        </w:rPr>
        <w:t>农村公共服务设施（机构）</w:t>
      </w:r>
      <w:r>
        <w:rPr>
          <w:rFonts w:hint="eastAsia" w:ascii="仿宋_GB2312" w:hAnsi="仿宋" w:eastAsia="仿宋_GB2312" w:cs="仿宋"/>
          <w:sz w:val="32"/>
          <w:szCs w:val="32"/>
        </w:rPr>
        <w:t>。深入开展“五千”精准攻坚行动，建立市、县、乡三级乡村振兴项目储备库，推广重大投资项目“专员服务制”，推动村级集体经济高质量发展。支持工商资本与村股份经济合作发展壮大村集体经济。规范工商资本下乡行为，保障工商资本合法权益。</w:t>
      </w:r>
      <w:r>
        <w:rPr>
          <w:rFonts w:hint="eastAsia" w:ascii="仿宋" w:hAnsi="仿宋" w:eastAsia="仿宋" w:cs="仿宋"/>
          <w:b/>
          <w:bCs/>
          <w:kern w:val="0"/>
          <w:sz w:val="32"/>
          <w:szCs w:val="32"/>
        </w:rPr>
        <w:t>（</w:t>
      </w:r>
      <w:r>
        <w:rPr>
          <w:rFonts w:hint="eastAsia" w:ascii="仿宋" w:hAnsi="仿宋" w:eastAsia="仿宋" w:cs="仿宋"/>
          <w:b/>
          <w:bCs/>
          <w:sz w:val="32"/>
          <w:szCs w:val="32"/>
        </w:rPr>
        <w:t>牵头单位：市农业农村局，配合单位：市财政局</w:t>
      </w:r>
      <w:r>
        <w:rPr>
          <w:rFonts w:hint="eastAsia" w:ascii="仿宋" w:hAnsi="仿宋" w:eastAsia="仿宋" w:cs="仿宋"/>
          <w:b/>
          <w:bCs/>
          <w:kern w:val="0"/>
          <w:sz w:val="32"/>
          <w:szCs w:val="32"/>
        </w:rPr>
        <w:t>、</w:t>
      </w:r>
      <w:r>
        <w:rPr>
          <w:rFonts w:hint="eastAsia" w:ascii="仿宋" w:hAnsi="仿宋" w:eastAsia="仿宋" w:cs="仿宋"/>
          <w:b/>
          <w:bCs/>
          <w:sz w:val="32"/>
          <w:szCs w:val="32"/>
        </w:rPr>
        <w:t>市</w:t>
      </w:r>
      <w:r>
        <w:rPr>
          <w:rFonts w:hint="eastAsia" w:ascii="仿宋" w:hAnsi="仿宋" w:eastAsia="仿宋" w:cs="仿宋"/>
          <w:b/>
          <w:bCs/>
          <w:sz w:val="32"/>
          <w:szCs w:val="32"/>
          <w:lang w:val="en-US" w:eastAsia="zh-CN"/>
        </w:rPr>
        <w:t>卫生健康委</w:t>
      </w:r>
      <w:r>
        <w:rPr>
          <w:rFonts w:hint="eastAsia" w:ascii="仿宋" w:hAnsi="仿宋" w:eastAsia="仿宋" w:cs="仿宋"/>
          <w:b/>
          <w:bCs/>
          <w:kern w:val="0"/>
          <w:sz w:val="32"/>
          <w:szCs w:val="32"/>
        </w:rPr>
        <w:t>、市市场监管局</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lang w:val="en-US" w:eastAsia="zh-CN"/>
        </w:rPr>
        <w:t>市教育局、市民政局</w:t>
      </w:r>
      <w:r>
        <w:rPr>
          <w:rFonts w:hint="eastAsia" w:ascii="仿宋" w:hAnsi="仿宋" w:eastAsia="仿宋" w:cs="仿宋"/>
          <w:b/>
          <w:bCs/>
          <w:kern w:val="0"/>
          <w:sz w:val="32"/>
          <w:szCs w:val="32"/>
        </w:rPr>
        <w:t>）</w:t>
      </w:r>
    </w:p>
    <w:p>
      <w:pPr>
        <w:autoSpaceDE w:val="0"/>
        <w:autoSpaceDN w:val="0"/>
        <w:adjustRightInd w:val="0"/>
        <w:snapToGrid w:val="0"/>
        <w:spacing w:line="600" w:lineRule="exact"/>
        <w:ind w:firstLine="640" w:firstLineChars="200"/>
        <w:rPr>
          <w:rFonts w:ascii="仿宋" w:hAnsi="仿宋" w:eastAsia="仿宋" w:cs="仿宋"/>
          <w:b/>
          <w:bCs/>
          <w:sz w:val="32"/>
          <w:szCs w:val="32"/>
        </w:rPr>
      </w:pPr>
      <w:r>
        <w:rPr>
          <w:rFonts w:hint="eastAsia" w:ascii="Times New Roman" w:hAnsi="Times New Roman" w:eastAsia="楷体_GB2312"/>
          <w:kern w:val="0"/>
          <w:sz w:val="32"/>
          <w:szCs w:val="32"/>
        </w:rPr>
        <w:t>5.</w:t>
      </w:r>
      <w:r>
        <w:rPr>
          <w:rFonts w:ascii="Times New Roman" w:hAnsi="Times New Roman" w:eastAsia="楷体_GB2312"/>
          <w:kern w:val="0"/>
          <w:sz w:val="32"/>
          <w:szCs w:val="32"/>
        </w:rPr>
        <w:t>加大</w:t>
      </w:r>
      <w:r>
        <w:rPr>
          <w:rFonts w:hint="eastAsia" w:ascii="Times New Roman" w:hAnsi="Times New Roman" w:eastAsia="楷体_GB2312"/>
          <w:kern w:val="0"/>
          <w:sz w:val="32"/>
          <w:szCs w:val="32"/>
        </w:rPr>
        <w:t>资金支持</w:t>
      </w:r>
      <w:r>
        <w:rPr>
          <w:rFonts w:ascii="Times New Roman" w:hAnsi="Times New Roman" w:eastAsia="楷体_GB2312"/>
          <w:kern w:val="0"/>
          <w:sz w:val="32"/>
          <w:szCs w:val="32"/>
        </w:rPr>
        <w:t>力度。</w:t>
      </w:r>
      <w:r>
        <w:rPr>
          <w:rFonts w:hint="eastAsia" w:ascii="仿宋_GB2312" w:hAnsi="仿宋" w:eastAsia="仿宋_GB2312" w:cs="仿宋"/>
          <w:sz w:val="32"/>
          <w:szCs w:val="32"/>
        </w:rPr>
        <w:t>坚持农业农村优先发展，市级财政每年筹措落实4亿元以上支持乡村振兴战略实施。对实际投资5000万元（5县2500万元）以上的项目，各级农业农村发展资金、农业综合开发项目等在符合同等立项条件下给予优先扶持。完善政策性农业信贷担保体系，政策性农业信贷担保放大倍数达到5倍以上。对符合条件的县域金融机构当年涉农贷款平均余额同比增长超过13%的部分，属地财政部门</w:t>
      </w:r>
      <w:bookmarkStart w:id="0" w:name="_GoBack"/>
      <w:bookmarkEnd w:id="0"/>
      <w:r>
        <w:rPr>
          <w:rFonts w:hint="eastAsia" w:ascii="仿宋_GB2312" w:hAnsi="仿宋" w:eastAsia="仿宋_GB2312" w:cs="仿宋"/>
          <w:sz w:val="32"/>
          <w:szCs w:val="32"/>
        </w:rPr>
        <w:t>可按照不超过2%的比例给予奖励。支持地方政府资金债券用于支持农村人居环境整治、村庄基础设施建设等重点领域。支持符合条件的优质农业企业、农村项目发行债券融资，或在银行间市场发行债务融资工具。开展</w:t>
      </w:r>
      <w:r>
        <w:rPr>
          <w:rFonts w:hint="eastAsia" w:ascii="仿宋_GB2312" w:hAnsi="仿宋" w:eastAsia="仿宋_GB2312" w:cs="仿宋"/>
          <w:sz w:val="32"/>
          <w:szCs w:val="32"/>
          <w:lang w:val="en-US" w:eastAsia="zh-CN"/>
        </w:rPr>
        <w:t>温</w:t>
      </w:r>
      <w:r>
        <w:rPr>
          <w:rFonts w:hint="default" w:ascii="仿宋_GB2312" w:hAnsi="仿宋" w:eastAsia="仿宋_GB2312" w:cs="仿宋"/>
          <w:sz w:val="32"/>
          <w:szCs w:val="32"/>
        </w:rPr>
        <w:t>栀子</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番茄等农产品价格指数保险试点，提高农业保险保额。支持苍南、洞头等地发展海洋经济的金融业务。每年投放西部生态休闲产业带的支农（含扶贫）再贷款不低于18亿元。</w:t>
      </w:r>
      <w:r>
        <w:rPr>
          <w:rFonts w:hint="eastAsia" w:ascii="仿宋" w:hAnsi="仿宋" w:eastAsia="仿宋" w:cs="仿宋"/>
          <w:b/>
          <w:bCs/>
          <w:sz w:val="32"/>
          <w:szCs w:val="32"/>
        </w:rPr>
        <w:t>（牵头单位：市财政局，配合单位：人行温州市中心支行、市自然资源和规划局、市农业农村局、市住建局、市金融办、温州银保监分局）</w:t>
      </w:r>
    </w:p>
    <w:p>
      <w:pPr>
        <w:adjustRightInd w:val="0"/>
        <w:snapToGrid w:val="0"/>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三、完善人才保障机制</w:t>
      </w:r>
    </w:p>
    <w:p>
      <w:pPr>
        <w:pStyle w:val="12"/>
        <w:adjustRightInd w:val="0"/>
        <w:snapToGrid w:val="0"/>
        <w:spacing w:line="600" w:lineRule="exact"/>
        <w:ind w:firstLine="640"/>
        <w:rPr>
          <w:rFonts w:ascii="仿宋" w:hAnsi="仿宋" w:eastAsia="仿宋" w:cs="仿宋"/>
          <w:kern w:val="0"/>
          <w:sz w:val="32"/>
          <w:szCs w:val="32"/>
        </w:rPr>
      </w:pPr>
      <w:r>
        <w:rPr>
          <w:rFonts w:hint="eastAsia" w:ascii="Times New Roman" w:hAnsi="Times New Roman" w:eastAsia="楷体_GB2312"/>
          <w:kern w:val="0"/>
          <w:sz w:val="32"/>
          <w:szCs w:val="32"/>
        </w:rPr>
        <w:t>6</w:t>
      </w:r>
      <w:r>
        <w:rPr>
          <w:rFonts w:hint="eastAsia" w:ascii="Times New Roman" w:hAnsi="Times New Roman" w:eastAsia="楷体_GB2312" w:cs="黑体"/>
          <w:kern w:val="0"/>
          <w:sz w:val="32"/>
          <w:szCs w:val="32"/>
        </w:rPr>
        <w:t>.加强农业科技支撑。</w:t>
      </w:r>
      <w:r>
        <w:rPr>
          <w:rFonts w:hint="eastAsia" w:ascii="仿宋_GB2312" w:hAnsi="仿宋" w:eastAsia="仿宋_GB2312" w:cs="仿宋"/>
          <w:sz w:val="32"/>
          <w:szCs w:val="32"/>
        </w:rPr>
        <w:t>支持事业单位在编在岗科研人员携带科研项目、成果或技术到我市农村从事农业科技研究、科技开发、科技服务或创办企业，符合条件的可申请不超过5年的离岗期。农业企业引进的高层次人才，符合条件的可同时由温州市创新驱动发展研究院聘用，引进前没有编制的给予自收自支事业编制，已有编制的按照原编制类型落实。农业科技企业、农业合作组织优先获得派驻当地的科技特派员的技术服务。</w:t>
      </w:r>
      <w:r>
        <w:rPr>
          <w:rFonts w:hint="eastAsia" w:ascii="仿宋_GB2312" w:hAnsi="仿宋" w:eastAsia="仿宋_GB2312" w:cs="仿宋"/>
          <w:sz w:val="32"/>
          <w:szCs w:val="32"/>
          <w:lang w:val="en-US" w:eastAsia="zh-CN"/>
        </w:rPr>
        <w:t>鼓励建设农业青年创业园</w:t>
      </w:r>
      <w:r>
        <w:rPr>
          <w:rFonts w:hint="eastAsia" w:ascii="仿宋_GB2312" w:hAnsi="仿宋" w:eastAsia="仿宋_GB2312" w:cs="仿宋"/>
          <w:sz w:val="32"/>
          <w:szCs w:val="32"/>
        </w:rPr>
        <w:t>。</w:t>
      </w:r>
      <w:r>
        <w:rPr>
          <w:rFonts w:hint="eastAsia" w:ascii="仿宋" w:hAnsi="仿宋" w:eastAsia="仿宋" w:cs="仿宋"/>
          <w:b/>
          <w:bCs/>
          <w:kern w:val="0"/>
          <w:sz w:val="32"/>
          <w:szCs w:val="32"/>
        </w:rPr>
        <w:t>（</w:t>
      </w:r>
      <w:r>
        <w:rPr>
          <w:rFonts w:hint="eastAsia" w:ascii="仿宋" w:hAnsi="仿宋" w:eastAsia="仿宋" w:cs="仿宋"/>
          <w:b/>
          <w:bCs/>
          <w:sz w:val="32"/>
          <w:szCs w:val="32"/>
        </w:rPr>
        <w:t>牵头单位：市农业农村局，配合单位：市财政局、市科技局</w:t>
      </w:r>
      <w:r>
        <w:rPr>
          <w:rFonts w:hint="eastAsia" w:ascii="仿宋" w:hAnsi="仿宋" w:eastAsia="仿宋" w:cs="仿宋"/>
          <w:b/>
          <w:bCs/>
          <w:kern w:val="0"/>
          <w:sz w:val="32"/>
          <w:szCs w:val="32"/>
        </w:rPr>
        <w:t>）</w:t>
      </w:r>
    </w:p>
    <w:p>
      <w:pPr>
        <w:adjustRightInd w:val="0"/>
        <w:snapToGrid w:val="0"/>
        <w:spacing w:line="600" w:lineRule="exact"/>
        <w:ind w:firstLine="640" w:firstLineChars="200"/>
        <w:rPr>
          <w:rFonts w:ascii="仿宋" w:hAnsi="仿宋" w:eastAsia="仿宋" w:cs="仿宋"/>
          <w:kern w:val="0"/>
          <w:sz w:val="32"/>
          <w:szCs w:val="32"/>
        </w:rPr>
      </w:pPr>
      <w:r>
        <w:rPr>
          <w:rFonts w:hint="eastAsia" w:ascii="Times New Roman" w:hAnsi="Times New Roman" w:eastAsia="楷体_GB2312"/>
          <w:kern w:val="0"/>
          <w:sz w:val="32"/>
          <w:szCs w:val="32"/>
        </w:rPr>
        <w:t>7.落实社会保障政策。</w:t>
      </w:r>
      <w:r>
        <w:rPr>
          <w:rFonts w:hint="eastAsia" w:ascii="仿宋_GB2312" w:hAnsi="仿宋" w:eastAsia="仿宋_GB2312" w:cs="仿宋"/>
          <w:sz w:val="32"/>
          <w:szCs w:val="32"/>
        </w:rPr>
        <w:t>回乡</w:t>
      </w:r>
      <w:r>
        <w:rPr>
          <w:rFonts w:hint="eastAsia" w:ascii="仿宋_GB2312" w:hAnsi="仿宋" w:eastAsia="仿宋_GB2312" w:cs="仿宋"/>
          <w:sz w:val="32"/>
          <w:szCs w:val="32"/>
          <w:lang w:val="en-US" w:eastAsia="zh-CN"/>
        </w:rPr>
        <w:t>创业</w:t>
      </w:r>
      <w:r>
        <w:rPr>
          <w:rFonts w:hint="eastAsia" w:ascii="仿宋_GB2312" w:hAnsi="仿宋" w:eastAsia="仿宋_GB2312" w:cs="仿宋"/>
          <w:sz w:val="32"/>
          <w:szCs w:val="32"/>
        </w:rPr>
        <w:t>人员可在创业地按规定参加社会保险，社会保险缴费出现中断的，可按市外中止时间无缝接续。对毕业2年内高校毕业生以灵活就业方式参加社会保险的，按规定给予一定补贴。完善全民医保体系，按规定将回乡</w:t>
      </w:r>
      <w:r>
        <w:rPr>
          <w:rFonts w:hint="eastAsia" w:ascii="仿宋_GB2312" w:hAnsi="仿宋" w:eastAsia="仿宋_GB2312" w:cs="仿宋"/>
          <w:sz w:val="32"/>
          <w:szCs w:val="32"/>
          <w:lang w:val="en-US" w:eastAsia="zh-CN"/>
        </w:rPr>
        <w:t>创业</w:t>
      </w:r>
      <w:r>
        <w:rPr>
          <w:rFonts w:hint="eastAsia" w:ascii="仿宋_GB2312" w:hAnsi="仿宋" w:eastAsia="仿宋_GB2312" w:cs="仿宋"/>
          <w:sz w:val="32"/>
          <w:szCs w:val="32"/>
        </w:rPr>
        <w:t>人员及其子女纳入基本医保覆盖范围，其基本医疗保险终断缴费6个月以内的，</w:t>
      </w:r>
      <w:r>
        <w:rPr>
          <w:rFonts w:hint="eastAsia" w:ascii="仿宋_GB2312" w:hAnsi="仿宋" w:eastAsia="仿宋_GB2312" w:cs="仿宋"/>
          <w:sz w:val="32"/>
          <w:szCs w:val="32"/>
          <w:lang w:val="en-US" w:eastAsia="zh-CN"/>
        </w:rPr>
        <w:t>可</w:t>
      </w:r>
      <w:r>
        <w:rPr>
          <w:rFonts w:hint="eastAsia" w:ascii="仿宋_GB2312" w:hAnsi="仿宋" w:eastAsia="仿宋_GB2312" w:cs="仿宋"/>
          <w:sz w:val="32"/>
          <w:szCs w:val="32"/>
        </w:rPr>
        <w:t>不经等待期直接享受医疗保险待遇。</w:t>
      </w:r>
      <w:r>
        <w:rPr>
          <w:rFonts w:hint="eastAsia" w:ascii="仿宋" w:hAnsi="仿宋" w:eastAsia="仿宋" w:cs="仿宋"/>
          <w:b/>
          <w:bCs/>
          <w:kern w:val="0"/>
          <w:sz w:val="32"/>
          <w:szCs w:val="32"/>
        </w:rPr>
        <w:t>（</w:t>
      </w:r>
      <w:r>
        <w:rPr>
          <w:rFonts w:hint="eastAsia" w:ascii="仿宋" w:hAnsi="仿宋" w:eastAsia="仿宋" w:cs="仿宋"/>
          <w:b/>
          <w:bCs/>
          <w:sz w:val="32"/>
          <w:szCs w:val="32"/>
        </w:rPr>
        <w:t>牵头单位：</w:t>
      </w:r>
      <w:r>
        <w:rPr>
          <w:rFonts w:hint="eastAsia" w:ascii="仿宋" w:hAnsi="仿宋" w:eastAsia="仿宋" w:cs="仿宋"/>
          <w:b/>
          <w:bCs/>
          <w:kern w:val="0"/>
          <w:sz w:val="32"/>
          <w:szCs w:val="32"/>
        </w:rPr>
        <w:t>市人力社保局</w:t>
      </w:r>
      <w:r>
        <w:rPr>
          <w:rFonts w:hint="eastAsia" w:ascii="仿宋" w:hAnsi="仿宋" w:eastAsia="仿宋" w:cs="仿宋"/>
          <w:b/>
          <w:bCs/>
          <w:sz w:val="32"/>
          <w:szCs w:val="32"/>
        </w:rPr>
        <w:t>，配合单位：</w:t>
      </w:r>
      <w:r>
        <w:rPr>
          <w:rFonts w:hint="eastAsia" w:ascii="仿宋" w:hAnsi="仿宋" w:eastAsia="仿宋" w:cs="仿宋"/>
          <w:b/>
          <w:bCs/>
          <w:kern w:val="0"/>
          <w:sz w:val="32"/>
          <w:szCs w:val="32"/>
        </w:rPr>
        <w:t>市医疗保障局）</w:t>
      </w:r>
    </w:p>
    <w:p>
      <w:pPr>
        <w:adjustRightInd w:val="0"/>
        <w:snapToGrid w:val="0"/>
        <w:spacing w:line="600" w:lineRule="exact"/>
        <w:ind w:firstLine="640" w:firstLineChars="200"/>
        <w:rPr>
          <w:rFonts w:ascii="仿宋" w:hAnsi="仿宋" w:eastAsia="仿宋" w:cs="仿宋"/>
          <w:b/>
          <w:bCs/>
          <w:sz w:val="32"/>
          <w:szCs w:val="32"/>
        </w:rPr>
      </w:pPr>
      <w:r>
        <w:rPr>
          <w:rFonts w:hint="eastAsia" w:ascii="Times New Roman" w:hAnsi="Times New Roman" w:eastAsia="楷体_GB2312"/>
          <w:kern w:val="0"/>
          <w:sz w:val="32"/>
          <w:szCs w:val="32"/>
        </w:rPr>
        <w:t>8.实施人才安居工程。</w:t>
      </w:r>
      <w:r>
        <w:rPr>
          <w:rFonts w:hint="eastAsia" w:ascii="仿宋_GB2312" w:hAnsi="仿宋" w:eastAsia="仿宋_GB2312" w:cs="仿宋"/>
          <w:sz w:val="32"/>
          <w:szCs w:val="32"/>
          <w:lang w:val="en-US" w:eastAsia="zh-CN"/>
        </w:rPr>
        <w:t>制定、</w:t>
      </w:r>
      <w:r>
        <w:rPr>
          <w:rFonts w:hint="eastAsia" w:ascii="仿宋_GB2312" w:hAnsi="仿宋" w:eastAsia="仿宋_GB2312" w:cs="仿宋"/>
          <w:sz w:val="32"/>
          <w:szCs w:val="32"/>
        </w:rPr>
        <w:t>落实回乡</w:t>
      </w:r>
      <w:r>
        <w:rPr>
          <w:rFonts w:hint="eastAsia" w:ascii="仿宋_GB2312" w:hAnsi="仿宋" w:eastAsia="仿宋_GB2312" w:cs="仿宋"/>
          <w:sz w:val="32"/>
          <w:szCs w:val="32"/>
          <w:lang w:val="en-US" w:eastAsia="zh-CN"/>
        </w:rPr>
        <w:t>创业</w:t>
      </w:r>
      <w:r>
        <w:rPr>
          <w:rFonts w:hint="eastAsia" w:ascii="仿宋_GB2312" w:hAnsi="仿宋" w:eastAsia="仿宋_GB2312" w:cs="仿宋"/>
          <w:sz w:val="32"/>
          <w:szCs w:val="32"/>
        </w:rPr>
        <w:t>人员购房</w:t>
      </w:r>
      <w:r>
        <w:rPr>
          <w:rFonts w:hint="eastAsia" w:ascii="仿宋_GB2312" w:hAnsi="仿宋" w:eastAsia="仿宋_GB2312" w:cs="仿宋"/>
          <w:sz w:val="32"/>
          <w:szCs w:val="32"/>
          <w:lang w:val="en-US" w:eastAsia="zh-CN"/>
        </w:rPr>
        <w:t>和</w:t>
      </w:r>
      <w:r>
        <w:rPr>
          <w:rFonts w:hint="eastAsia" w:ascii="仿宋_GB2312" w:hAnsi="仿宋" w:eastAsia="仿宋_GB2312" w:cs="仿宋"/>
          <w:sz w:val="32"/>
          <w:szCs w:val="32"/>
        </w:rPr>
        <w:t>租房政策。把回乡</w:t>
      </w:r>
      <w:r>
        <w:rPr>
          <w:rFonts w:hint="eastAsia" w:ascii="仿宋_GB2312" w:hAnsi="仿宋" w:eastAsia="仿宋_GB2312" w:cs="仿宋"/>
          <w:sz w:val="32"/>
          <w:szCs w:val="32"/>
          <w:lang w:val="en-US" w:eastAsia="zh-CN"/>
        </w:rPr>
        <w:t>创业</w:t>
      </w:r>
      <w:r>
        <w:rPr>
          <w:rFonts w:hint="eastAsia" w:ascii="仿宋_GB2312" w:hAnsi="仿宋" w:eastAsia="仿宋_GB2312" w:cs="仿宋"/>
          <w:sz w:val="32"/>
          <w:szCs w:val="32"/>
        </w:rPr>
        <w:t>人员纳入住房公积金缴纳范围，探索统筹使用对农业转移人口的财政补贴资金，建立回乡</w:t>
      </w:r>
      <w:r>
        <w:rPr>
          <w:rFonts w:hint="eastAsia" w:ascii="仿宋_GB2312" w:hAnsi="仿宋" w:eastAsia="仿宋_GB2312" w:cs="仿宋"/>
          <w:sz w:val="32"/>
          <w:szCs w:val="32"/>
          <w:lang w:val="en-US" w:eastAsia="zh-CN"/>
        </w:rPr>
        <w:t>创业</w:t>
      </w:r>
      <w:r>
        <w:rPr>
          <w:rFonts w:hint="eastAsia" w:ascii="仿宋_GB2312" w:hAnsi="仿宋" w:eastAsia="仿宋_GB2312" w:cs="仿宋"/>
          <w:sz w:val="32"/>
          <w:szCs w:val="32"/>
        </w:rPr>
        <w:t>人员住房公积金补贴缴存机制；回乡</w:t>
      </w:r>
      <w:r>
        <w:rPr>
          <w:rFonts w:hint="eastAsia" w:ascii="仿宋_GB2312" w:hAnsi="仿宋" w:eastAsia="仿宋_GB2312" w:cs="仿宋"/>
          <w:sz w:val="32"/>
          <w:szCs w:val="32"/>
          <w:lang w:val="en-US" w:eastAsia="zh-CN"/>
        </w:rPr>
        <w:t>创业</w:t>
      </w:r>
      <w:r>
        <w:rPr>
          <w:rFonts w:hint="eastAsia" w:ascii="仿宋_GB2312" w:hAnsi="仿宋" w:eastAsia="仿宋_GB2312" w:cs="仿宋"/>
          <w:sz w:val="32"/>
          <w:szCs w:val="32"/>
        </w:rPr>
        <w:t>人员购买</w:t>
      </w:r>
      <w:r>
        <w:rPr>
          <w:rFonts w:ascii="仿宋_GB2312" w:hAnsi="仿宋" w:eastAsia="仿宋_GB2312" w:cs="仿宋"/>
          <w:sz w:val="32"/>
          <w:szCs w:val="32"/>
        </w:rPr>
        <w:t>农房可</w:t>
      </w:r>
      <w:r>
        <w:rPr>
          <w:rFonts w:hint="eastAsia" w:ascii="仿宋_GB2312" w:hAnsi="仿宋" w:eastAsia="仿宋_GB2312" w:cs="仿宋"/>
          <w:sz w:val="32"/>
          <w:szCs w:val="32"/>
        </w:rPr>
        <w:t>以</w:t>
      </w:r>
      <w:r>
        <w:rPr>
          <w:rFonts w:ascii="仿宋_GB2312" w:hAnsi="仿宋" w:eastAsia="仿宋_GB2312" w:cs="仿宋"/>
          <w:sz w:val="32"/>
          <w:szCs w:val="32"/>
        </w:rPr>
        <w:t>申请住房公积金贷款</w:t>
      </w:r>
      <w:r>
        <w:rPr>
          <w:rFonts w:hint="eastAsia" w:ascii="仿宋_GB2312" w:hAnsi="仿宋" w:eastAsia="仿宋_GB2312" w:cs="仿宋"/>
          <w:sz w:val="32"/>
          <w:szCs w:val="32"/>
        </w:rPr>
        <w:t>。鼓励各县（市、区）建设回乡</w:t>
      </w:r>
      <w:r>
        <w:rPr>
          <w:rFonts w:hint="eastAsia" w:ascii="仿宋_GB2312" w:hAnsi="仿宋" w:eastAsia="仿宋_GB2312" w:cs="仿宋"/>
          <w:sz w:val="32"/>
          <w:szCs w:val="32"/>
          <w:lang w:val="en-US" w:eastAsia="zh-CN"/>
        </w:rPr>
        <w:t>创业</w:t>
      </w:r>
      <w:r>
        <w:rPr>
          <w:rFonts w:hint="eastAsia" w:ascii="仿宋_GB2312" w:hAnsi="仿宋" w:eastAsia="仿宋_GB2312" w:cs="仿宋"/>
          <w:sz w:val="32"/>
          <w:szCs w:val="32"/>
        </w:rPr>
        <w:t>人才公寓和保障房，允许农村居民利用自有宅基地，与支持和投身我市乡村振兴</w:t>
      </w:r>
      <w:r>
        <w:rPr>
          <w:rFonts w:hint="eastAsia" w:ascii="仿宋_GB2312" w:hAnsi="仿宋" w:eastAsia="仿宋_GB2312" w:cs="仿宋"/>
          <w:sz w:val="32"/>
          <w:szCs w:val="32"/>
          <w:lang w:val="en-US" w:eastAsia="zh-CN"/>
        </w:rPr>
        <w:t>的</w:t>
      </w:r>
      <w:r>
        <w:rPr>
          <w:rFonts w:hint="eastAsia" w:ascii="仿宋_GB2312" w:hAnsi="仿宋" w:eastAsia="仿宋_GB2312" w:cs="仿宋"/>
          <w:sz w:val="32"/>
          <w:szCs w:val="32"/>
        </w:rPr>
        <w:t>回乡创业人员合作建房。</w:t>
      </w:r>
      <w:r>
        <w:rPr>
          <w:rFonts w:hint="eastAsia" w:ascii="仿宋" w:hAnsi="仿宋" w:eastAsia="仿宋" w:cs="仿宋"/>
          <w:b/>
          <w:bCs/>
          <w:sz w:val="32"/>
          <w:szCs w:val="32"/>
        </w:rPr>
        <w:t>（牵头单位：市住房公积金管理中心，配合单位：市住建局、市农业农村局）</w:t>
      </w:r>
    </w:p>
    <w:p>
      <w:pPr>
        <w:ind w:firstLine="570"/>
        <w:rPr>
          <w:rFonts w:ascii="仿宋" w:hAnsi="仿宋" w:eastAsia="仿宋" w:cs="仿宋"/>
          <w:sz w:val="32"/>
          <w:szCs w:val="32"/>
        </w:rPr>
      </w:pPr>
      <w:r>
        <w:rPr>
          <w:rFonts w:hint="eastAsia" w:ascii="Times New Roman" w:hAnsi="Times New Roman" w:eastAsia="楷体_GB2312"/>
          <w:kern w:val="0"/>
          <w:sz w:val="32"/>
          <w:szCs w:val="32"/>
        </w:rPr>
        <w:t>9.优先保障子女入学。</w:t>
      </w:r>
      <w:r>
        <w:rPr>
          <w:rFonts w:hint="eastAsia" w:ascii="仿宋_GB2312" w:hAnsi="仿宋" w:eastAsia="仿宋_GB2312" w:cs="仿宋"/>
          <w:kern w:val="2"/>
          <w:sz w:val="32"/>
          <w:szCs w:val="32"/>
          <w:lang w:val="en-US" w:eastAsia="zh-CN" w:bidi="ar-SA"/>
        </w:rPr>
        <w:t>在学前和义务教育阶段，教育行政部门应优先统筹安排回乡创业人员子女在创业所在地或居住地（租住地）就近入学。各</w:t>
      </w:r>
      <w:r>
        <w:rPr>
          <w:rFonts w:hint="eastAsia" w:ascii="仿宋_GB2312" w:hAnsi="仿宋" w:eastAsia="仿宋_GB2312" w:cs="仿宋"/>
          <w:sz w:val="32"/>
          <w:szCs w:val="32"/>
        </w:rPr>
        <w:t>县（市、区）</w:t>
      </w:r>
      <w:r>
        <w:rPr>
          <w:rFonts w:hint="eastAsia" w:ascii="仿宋_GB2312" w:hAnsi="仿宋" w:eastAsia="仿宋_GB2312" w:cs="仿宋"/>
          <w:sz w:val="32"/>
          <w:szCs w:val="32"/>
          <w:lang w:val="en-US" w:eastAsia="zh-CN"/>
        </w:rPr>
        <w:t>要出台</w:t>
      </w:r>
      <w:r>
        <w:rPr>
          <w:rFonts w:hint="eastAsia" w:ascii="仿宋_GB2312" w:hAnsi="仿宋" w:eastAsia="仿宋_GB2312" w:cs="仿宋"/>
          <w:kern w:val="2"/>
          <w:sz w:val="32"/>
          <w:szCs w:val="32"/>
          <w:lang w:val="en-US" w:eastAsia="zh-CN" w:bidi="ar-SA"/>
        </w:rPr>
        <w:t>回乡创业人员子女入学照顾政策。</w:t>
      </w:r>
      <w:r>
        <w:rPr>
          <w:rFonts w:hint="eastAsia" w:ascii="仿宋_GB2312" w:hAnsi="仿宋" w:eastAsia="仿宋_GB2312" w:cs="仿宋"/>
          <w:sz w:val="32"/>
          <w:szCs w:val="32"/>
        </w:rPr>
        <w:t>完善山海协作机制，</w:t>
      </w:r>
      <w:r>
        <w:rPr>
          <w:rFonts w:hint="eastAsia" w:ascii="仿宋_GB2312" w:hAnsi="仿宋" w:eastAsia="仿宋_GB2312" w:cs="仿宋"/>
          <w:kern w:val="2"/>
          <w:sz w:val="32"/>
          <w:szCs w:val="32"/>
          <w:lang w:val="en-US" w:eastAsia="zh-CN" w:bidi="ar-SA"/>
        </w:rPr>
        <w:t>鹿城、瓯海、龙湾三区每学年提供辖区内义务教育阶段一定名额，用于解决结对加快发展县根据</w:t>
      </w:r>
      <w:r>
        <w:rPr>
          <w:rFonts w:hint="eastAsia" w:ascii="仿宋_GB2312" w:hAnsi="仿宋" w:eastAsia="仿宋_GB2312" w:cs="仿宋"/>
          <w:sz w:val="32"/>
          <w:szCs w:val="32"/>
        </w:rPr>
        <w:t>回乡创业</w:t>
      </w:r>
      <w:r>
        <w:rPr>
          <w:rFonts w:hint="eastAsia" w:ascii="仿宋_GB2312" w:hAnsi="仿宋" w:eastAsia="仿宋_GB2312" w:cs="仿宋"/>
          <w:kern w:val="2"/>
          <w:sz w:val="32"/>
          <w:szCs w:val="32"/>
          <w:lang w:val="en-US" w:eastAsia="zh-CN" w:bidi="ar-SA"/>
        </w:rPr>
        <w:t>人员及其工作团队成员</w:t>
      </w:r>
      <w:r>
        <w:rPr>
          <w:rFonts w:eastAsia="仿宋_GB2312"/>
          <w:sz w:val="32"/>
          <w:szCs w:val="32"/>
        </w:rPr>
        <w:t>子女</w:t>
      </w:r>
      <w:r>
        <w:rPr>
          <w:rFonts w:hint="eastAsia" w:ascii="仿宋_GB2312" w:hAnsi="仿宋" w:eastAsia="仿宋_GB2312" w:cs="仿宋"/>
          <w:kern w:val="2"/>
          <w:sz w:val="32"/>
          <w:szCs w:val="32"/>
          <w:lang w:val="en-US" w:eastAsia="zh-CN" w:bidi="ar-SA"/>
        </w:rPr>
        <w:t>能</w:t>
      </w:r>
      <w:r>
        <w:rPr>
          <w:rFonts w:eastAsia="仿宋_GB2312"/>
          <w:sz w:val="32"/>
        </w:rPr>
        <w:t>享受</w:t>
      </w:r>
      <w:r>
        <w:rPr>
          <w:rFonts w:hint="eastAsia" w:eastAsia="仿宋_GB2312"/>
          <w:sz w:val="32"/>
          <w:lang w:val="en-US" w:eastAsia="zh-CN"/>
        </w:rPr>
        <w:t>市区</w:t>
      </w:r>
      <w:r>
        <w:rPr>
          <w:rFonts w:eastAsia="仿宋_GB2312"/>
          <w:sz w:val="32"/>
        </w:rPr>
        <w:t>公办学校（初中、小学）照顾入学</w:t>
      </w:r>
      <w:r>
        <w:rPr>
          <w:rFonts w:hint="eastAsia" w:eastAsia="仿宋_GB2312"/>
          <w:sz w:val="32"/>
          <w:lang w:val="en-US" w:eastAsia="zh-CN"/>
        </w:rPr>
        <w:t>政策</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具体实施办法由</w:t>
      </w:r>
      <w:r>
        <w:rPr>
          <w:rFonts w:hint="eastAsia" w:ascii="仿宋_GB2312" w:hAnsi="仿宋" w:eastAsia="仿宋_GB2312" w:cs="仿宋"/>
          <w:kern w:val="2"/>
          <w:sz w:val="32"/>
          <w:szCs w:val="32"/>
          <w:lang w:val="en-US" w:eastAsia="zh-CN" w:bidi="ar-SA"/>
        </w:rPr>
        <w:t>鹿城、瓯海、龙湾三区教育行政部门制定。</w:t>
      </w:r>
      <w:r>
        <w:rPr>
          <w:rFonts w:hint="eastAsia" w:ascii="仿宋" w:hAnsi="仿宋" w:eastAsia="仿宋" w:cs="仿宋"/>
          <w:b/>
          <w:bCs/>
          <w:sz w:val="32"/>
          <w:szCs w:val="32"/>
        </w:rPr>
        <w:t xml:space="preserve">（牵头单位：市教育局，配合单位：市农业农村局） </w:t>
      </w:r>
    </w:p>
    <w:sectPr>
      <w:footerReference r:id="rId4" w:type="default"/>
      <w:pgSz w:w="11906" w:h="16838"/>
      <w:pgMar w:top="1440" w:right="1588" w:bottom="1440" w:left="158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AFF" w:usb1="C000247B" w:usb2="00000009" w:usb3="00000000" w:csb0="200001FF" w:csb1="00000000"/>
  </w:font>
  <w:font w:name="方正小标宋简体">
    <w:altName w:val="微软雅黑"/>
    <w:panose1 w:val="03000509000000000000"/>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1"/>
    <w:family w:val="auto"/>
    <w:pitch w:val="default"/>
    <w:sig w:usb0="E00006FF" w:usb1="420024FF" w:usb2="02000000" w:usb3="00000000" w:csb0="2000019F" w:csb1="00000000"/>
  </w:font>
  <w:font w:name="字体管家废墟体">
    <w:altName w:val="Yu Gothic UI"/>
    <w:panose1 w:val="02010600030101010101"/>
    <w:charset w:val="80"/>
    <w:family w:val="auto"/>
    <w:pitch w:val="default"/>
    <w:sig w:usb0="E00002FF" w:usb1="79DFFFFF" w:usb2="000C0037" w:usb3="00000000" w:csb0="6002019F" w:csb1="DFD70000"/>
  </w:font>
  <w:font w:name="字体管家波点">
    <w:altName w:val="宋体"/>
    <w:panose1 w:val="00020600040101010101"/>
    <w:charset w:val="86"/>
    <w:family w:val="auto"/>
    <w:pitch w:val="default"/>
    <w:sig w:usb0="A00002BF" w:usb1="18EF7CFA" w:usb2="00000016" w:usb3="00000000" w:csb0="00040003" w:csb1="C4940000"/>
  </w:font>
  <w:font w:name="汉仪报宋繁">
    <w:altName w:val="宋体"/>
    <w:panose1 w:val="02010600000101010101"/>
    <w:charset w:val="86"/>
    <w:family w:val="auto"/>
    <w:pitch w:val="default"/>
    <w:sig w:usb0="00000001" w:usb1="080E0800" w:usb2="00000002" w:usb3="00000000" w:csb0="00040000" w:csb1="00000000"/>
  </w:font>
  <w:font w:name="字体管家娜娜体">
    <w:altName w:val="宋体"/>
    <w:panose1 w:val="00020600040101010101"/>
    <w:charset w:val="86"/>
    <w:family w:val="auto"/>
    <w:pitch w:val="default"/>
    <w:sig w:usb0="A00002BF" w:usb1="18EF7CFA" w:usb2="00000016" w:usb3="00000000" w:csb0="0004009F" w:csb1="DFD70000"/>
  </w:font>
  <w:font w:name="字体管家初恋体">
    <w:altName w:val="Yu Gothic UI"/>
    <w:panose1 w:val="02000500000000000000"/>
    <w:charset w:val="80"/>
    <w:family w:val="auto"/>
    <w:pitch w:val="default"/>
    <w:sig w:usb0="F7FFAEFF" w:usb1="F9DFFFFF" w:usb2="001FFDFF" w:usb3="00000000" w:csb0="600301FF" w:csb1="FFFF0000"/>
  </w:font>
  <w:font w:name="叶根友行书(繁)08">
    <w:altName w:val="宋体"/>
    <w:panose1 w:val="02010601030101010101"/>
    <w:charset w:val="86"/>
    <w:family w:val="auto"/>
    <w:pitch w:val="default"/>
    <w:sig w:usb0="00000001" w:usb1="080E0000" w:usb2="00000000" w:usb3="00000000" w:csb0="00040000" w:csb1="00000000"/>
  </w:font>
  <w:font w:name="义启粗楷体">
    <w:altName w:val="宋体"/>
    <w:panose1 w:val="02010601030101010101"/>
    <w:charset w:val="80"/>
    <w:family w:val="auto"/>
    <w:pitch w:val="default"/>
    <w:sig w:usb0="800002BF" w:usb1="184F6CFA" w:usb2="00000012" w:usb3="00000000" w:csb0="00020001" w:csb1="00000000"/>
  </w:font>
  <w:font w:name="Yu Gothic UI">
    <w:panose1 w:val="020B0500000000000000"/>
    <w:charset w:val="80"/>
    <w:family w:val="auto"/>
    <w:pitch w:val="default"/>
    <w:sig w:usb0="E00002FF" w:usb1="2AC7FDFF" w:usb2="00000016" w:usb3="00000000" w:csb0="2002009F" w:csb1="00000000"/>
  </w:font>
  <w:font w:name="Lucida Sans">
    <w:panose1 w:val="020B0602030504020204"/>
    <w:charset w:val="00"/>
    <w:family w:val="auto"/>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 w:name="Lucida Sans Unicode">
    <w:panose1 w:val="020B0602030504020204"/>
    <w:charset w:val="00"/>
    <w:family w:val="auto"/>
    <w:pitch w:val="default"/>
    <w:sig w:usb0="80001AFF" w:usb1="0000396B" w:usb2="00000000" w:usb3="00000000" w:csb0="200000BF" w:csb1="D7F70000"/>
  </w:font>
  <w:font w:name="PingFangSC-Regular">
    <w:altName w:val="Microsoft YaHei UI"/>
    <w:panose1 w:val="00000000000000000000"/>
    <w:charset w:val="01"/>
    <w:family w:val="auto"/>
    <w:pitch w:val="default"/>
    <w:sig w:usb0="00000000" w:usb1="00000000" w:usb2="00000000" w:usb3="00000000" w:csb0="00040001" w:csb1="00000000"/>
  </w:font>
  <w:font w:name="Microsoft YaHei UI">
    <w:panose1 w:val="020B0503020204020204"/>
    <w:charset w:val="86"/>
    <w:family w:val="auto"/>
    <w:pitch w:val="default"/>
    <w:sig w:usb0="80000287" w:usb1="2ACF3C50" w:usb2="00000016" w:usb3="00000000" w:csb0="0004001F" w:csb1="00000000"/>
  </w:font>
  <w:font w:name="Bookshelf Symbol 7">
    <w:panose1 w:val="05010101010101010101"/>
    <w:charset w:val="02"/>
    <w:family w:val="auto"/>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方正美黑简体">
    <w:altName w:val="黑体"/>
    <w:panose1 w:val="03000509000000000000"/>
    <w:charset w:val="86"/>
    <w:family w:val="auto"/>
    <w:pitch w:val="default"/>
    <w:sig w:usb0="00000001" w:usb1="080E0000" w:usb2="00000010" w:usb3="00000000" w:csb0="00040000" w:csb1="00000000"/>
  </w:font>
  <w:font w:name="MS PGothic">
    <w:panose1 w:val="020B0600070205080204"/>
    <w:charset w:val="80"/>
    <w:family w:val="auto"/>
    <w:pitch w:val="default"/>
    <w:sig w:usb0="E00002FF" w:usb1="6AC7FDFB" w:usb2="08000012" w:usb3="00000000" w:csb0="4002009F" w:csb1="DFD70000"/>
  </w:font>
  <w:font w:name="time">
    <w:altName w:val="Times New Roman"/>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FZXBSJW--GB1-0">
    <w:altName w:val="宋体"/>
    <w:panose1 w:val="00000000000000000000"/>
    <w:charset w:val="86"/>
    <w:family w:val="auto"/>
    <w:pitch w:val="default"/>
    <w:sig w:usb0="00000001" w:usb1="080E0000" w:usb2="00000010" w:usb3="00000000" w:csb0="00040000" w:csb1="00000000"/>
  </w:font>
  <w:font w:name="华文细黑">
    <w:panose1 w:val="02010600040101010101"/>
    <w:charset w:val="7A"/>
    <w:family w:val="auto"/>
    <w:pitch w:val="default"/>
    <w:sig w:usb0="00000287" w:usb1="080F0000" w:usb2="00000000" w:usb3="00000000" w:csb0="0004009F" w:csb1="DFD70000"/>
  </w:font>
  <w:font w:name="Arial Unicode MS">
    <w:altName w:val="宋体"/>
    <w:panose1 w:val="020B0604020202020204"/>
    <w:charset w:val="86"/>
    <w:family w:val="auto"/>
    <w:pitch w:val="default"/>
    <w:sig w:usb0="FFFFFFFF" w:usb1="E9FFFFFF" w:usb2="0000003F" w:usb3="00000000" w:csb0="603F01FF" w:csb1="FFFF0000"/>
  </w:font>
  <w:font w:name="inherit">
    <w:altName w:val="Microsoft YaHei UI"/>
    <w:panose1 w:val="00000000000000000000"/>
    <w:charset w:val="01"/>
    <w:family w:val="auto"/>
    <w:pitch w:val="default"/>
    <w:sig w:usb0="00000000" w:usb1="00000000" w:usb2="00000000" w:usb3="00000000" w:csb0="00040001" w:csb1="00000000"/>
  </w:font>
  <w:font w:name="方正仿宋简体">
    <w:altName w:val="微软雅黑"/>
    <w:panose1 w:val="03000509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方正仿宋_GBK">
    <w:altName w:val="宋体"/>
    <w:panose1 w:val="03000509000000000000"/>
    <w:charset w:val="86"/>
    <w:family w:val="auto"/>
    <w:pitch w:val="default"/>
    <w:sig w:usb0="00000001" w:usb1="080E0000" w:usb2="00000010" w:usb3="00000000" w:csb0="00040000" w:csb1="00000000"/>
  </w:font>
  <w:font w:name="方正楷体_GBK">
    <w:altName w:val="宋体"/>
    <w:panose1 w:val="03000509000000000000"/>
    <w:charset w:val="86"/>
    <w:family w:val="auto"/>
    <w:pitch w:val="default"/>
    <w:sig w:usb0="00000001" w:usb1="080E0000" w:usb2="00000010" w:usb3="00000000" w:csb0="00040000" w:csb1="00000000"/>
  </w:font>
  <w:font w:name="方正黑体_GBK">
    <w:altName w:val="黑体"/>
    <w:panose1 w:val="03000509000000000000"/>
    <w:charset w:val="86"/>
    <w:family w:val="auto"/>
    <w:pitch w:val="default"/>
    <w:sig w:usb0="00000001" w:usb1="080E0000" w:usb2="00000010" w:usb3="00000000" w:csb0="00040000" w:csb1="00000000"/>
  </w:font>
  <w:font w:name="微软雅黑_x0003_.│.">
    <w:altName w:val="宋体"/>
    <w:panose1 w:val="00000000000000000000"/>
    <w:charset w:val="00"/>
    <w:family w:val="auto"/>
    <w:pitch w:val="default"/>
    <w:sig w:usb0="00000000" w:usb1="00000000" w:usb2="00000000" w:usb3="00000000" w:csb0="00040001" w:csb1="00000000"/>
  </w:font>
  <w:font w:name="方正兰亭超细黑简体">
    <w:panose1 w:val="03000509000000000000"/>
    <w:charset w:val="86"/>
    <w:family w:val="auto"/>
    <w:pitch w:val="default"/>
    <w:sig w:usb0="A00002BF" w:usb1="184F6CFA" w:usb2="00000012" w:usb3="00000000" w:csb0="00040000" w:csb1="00000000"/>
  </w:font>
  <w:font w:name="方正大标宋_GBK">
    <w:altName w:val="宋体"/>
    <w:panose1 w:val="03000509000000000000"/>
    <w:charset w:val="86"/>
    <w:family w:val="auto"/>
    <w:pitch w:val="default"/>
    <w:sig w:usb0="00000001" w:usb1="080E0000" w:usb2="00000010" w:usb3="00000000" w:csb0="00040000" w:csb1="00000000"/>
  </w:font>
  <w:font w:name="创艺简仿宋">
    <w:altName w:val="仿宋"/>
    <w:panose1 w:val="00000000000000000000"/>
    <w:charset w:val="00"/>
    <w:family w:val="auto"/>
    <w:pitch w:val="default"/>
    <w:sig w:usb0="00000000" w:usb1="00000000" w:usb2="00000000" w:usb3="00000000" w:csb0="00040001" w:csb1="00000000"/>
  </w:font>
  <w:font w:name="PingFang SC">
    <w:altName w:val="Microsoft YaHei UI"/>
    <w:panose1 w:val="00000000000000000000"/>
    <w:charset w:val="01"/>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DotumChe">
    <w:altName w:val="Malgun Gothic"/>
    <w:panose1 w:val="020B0609000101010101"/>
    <w:charset w:val="81"/>
    <w:family w:val="auto"/>
    <w:pitch w:val="default"/>
    <w:sig w:usb0="00000000" w:usb1="69D77CFB" w:usb2="00000030" w:usb3="00000000" w:csb0="0008009F" w:csb1="00000000"/>
  </w:font>
  <w:font w:name="文星简小标宋">
    <w:altName w:val="宋体"/>
    <w:panose1 w:val="02010609000101010101"/>
    <w:charset w:val="86"/>
    <w:family w:val="auto"/>
    <w:pitch w:val="default"/>
    <w:sig w:usb0="00000001" w:usb1="080E0000" w:usb2="0000001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rPr>
        <w:rFonts w:ascii="Calibri" w:hAnsi="Calibri" w:eastAsia="宋体" w:cs="黑体"/>
        <w:kern w:val="2"/>
        <w:sz w:val="18"/>
        <w:szCs w:val="18"/>
        <w:lang w:val="en-US" w:eastAsia="zh-CN" w:bidi="ar-SA"/>
      </w:rPr>
      <w:pict>
        <v:rect id="文本框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jc w:val="center"/>
                </w:pPr>
                <w:r>
                  <w:fldChar w:fldCharType="begin"/>
                </w:r>
                <w:r>
                  <w:instrText xml:space="preserve"> PAGE   \* MERGEFORMAT </w:instrText>
                </w:r>
                <w:r>
                  <w:fldChar w:fldCharType="separate"/>
                </w:r>
                <w:r>
                  <w:t>1</w:t>
                </w:r>
                <w:r>
                  <w:rPr>
                    <w:lang w:val="zh-CN"/>
                  </w:rPr>
                  <w:fldChar w:fldCharType="end"/>
                </w:r>
              </w:p>
            </w:txbxContent>
          </v:textbox>
        </v:rect>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sz w:val="18"/>
      <w:szCs w:val="18"/>
    </w:rPr>
  </w:style>
  <w:style w:type="character" w:customStyle="1" w:styleId="3">
    <w:name w:val="页脚 Char"/>
    <w:basedOn w:val="4"/>
    <w:link w:val="2"/>
    <w:semiHidden/>
    <w:rPr>
      <w:sz w:val="18"/>
      <w:szCs w:val="18"/>
    </w:rPr>
  </w:style>
  <w:style w:type="paragraph" w:styleId="5">
    <w:name w:val="header"/>
    <w:basedOn w:val="1"/>
    <w:link w:val="6"/>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5"/>
    <w:semiHidden/>
    <w:rPr>
      <w:sz w:val="18"/>
      <w:szCs w:val="18"/>
    </w:rPr>
  </w:style>
  <w:style w:type="character" w:styleId="7">
    <w:name w:val="FollowedHyperlink"/>
    <w:basedOn w:val="4"/>
    <w:rPr>
      <w:color w:val="333333"/>
      <w:u w:val="none"/>
    </w:rPr>
  </w:style>
  <w:style w:type="character" w:styleId="8">
    <w:name w:val="Emphasis"/>
    <w:basedOn w:val="4"/>
    <w:rPr>
      <w:i/>
    </w:rPr>
  </w:style>
  <w:style w:type="character" w:styleId="9">
    <w:name w:val="Hyperlink"/>
    <w:basedOn w:val="4"/>
    <w:rPr>
      <w:color w:val="333333"/>
      <w:u w:val="none"/>
    </w:rPr>
  </w:style>
  <w:style w:type="paragraph" w:customStyle="1" w:styleId="10">
    <w:name w:val="Char Char Char Char Char Char Char Char Char Char Char Char Char"/>
    <w:basedOn w:val="1"/>
    <w:pPr>
      <w:widowControl/>
      <w:spacing w:after="160" w:line="240" w:lineRule="exact"/>
      <w:jc w:val="left"/>
    </w:pPr>
    <w:rPr>
      <w:rFonts w:ascii="Times New Roman" w:hAnsi="Times New Roman" w:cs="Times New Roman"/>
    </w:rPr>
  </w:style>
  <w:style w:type="paragraph" w:customStyle="1" w:styleId="11">
    <w:name w:val="普通(网站)1"/>
    <w:basedOn w:val="1"/>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1"/>
    <w:pPr>
      <w:ind w:firstLine="420" w:firstLineChars="200"/>
    </w:pPr>
    <w:rPr>
      <w:rFonts w:cs="Times New Roman"/>
    </w:rPr>
  </w:style>
  <w:style w:type="paragraph" w:customStyle="1" w:styleId="13">
    <w:name w:val="p0"/>
    <w:basedOn w:val="1"/>
    <w:pPr>
      <w:widowControl/>
      <w:spacing w:line="600" w:lineRule="atLeast"/>
      <w:ind w:firstLine="420"/>
    </w:pPr>
    <w:rPr>
      <w:rFonts w:cs="Calibri"/>
      <w:kern w:val="0"/>
      <w:sz w:val="32"/>
      <w:szCs w:val="32"/>
    </w:rPr>
  </w:style>
  <w:style w:type="paragraph" w:customStyle="1" w:styleId="14">
    <w:name w:val="列出段落2"/>
    <w:pPr>
      <w:ind w:firstLine="420" w:firstLineChars="200"/>
    </w:pPr>
    <w:rPr>
      <w:rFonts w:ascii="Calibri" w:hAnsi="Calibri" w:cs="宋体"/>
      <w:szCs w:val="21"/>
    </w:rPr>
  </w:style>
  <w:style w:type="character" w:customStyle="1" w:styleId="15">
    <w:name w:val="page number"/>
    <w:basedOn w:val="4"/>
    <w:rPr/>
  </w:style>
  <w:style w:type="character" w:customStyle="1" w:styleId="16">
    <w:name w:val="页码1"/>
    <w:basedOn w:val="4"/>
    <w:rPr>
      <w:rFonts w:ascii="Times New Roman" w:hAnsi="Times New Roman" w:eastAsia="宋体" w:cs="Times New Roman"/>
    </w:rPr>
  </w:style>
  <w:style w:type="character" w:customStyle="1" w:styleId="17">
    <w:name w:val="bjh-p"/>
    <w:basedOn w:val="4"/>
    <w:rPr/>
  </w:style>
  <w:style w:type="character" w:customStyle="1" w:styleId="18">
    <w:name w:val="r_2"/>
    <w:basedOn w:val="4"/>
    <w:rPr>
      <w:color w:val="93181A"/>
    </w:rPr>
  </w:style>
  <w:style w:type="character" w:customStyle="1" w:styleId="19">
    <w:name w:val="msg"/>
    <w:basedOn w:val="4"/>
    <w:rPr>
      <w:vanish/>
      <w:color w:val="A7A7A5"/>
      <w:sz w:val="18"/>
      <w:szCs w:val="18"/>
    </w:rPr>
  </w:style>
  <w:style w:type="character" w:customStyle="1" w:styleId="20">
    <w:name w:val="r"/>
    <w:basedOn w:val="4"/>
    <w:rPr/>
  </w:style>
  <w:style w:type="character" w:customStyle="1" w:styleId="21">
    <w:name w:val="r_1"/>
    <w:basedOn w:val="4"/>
    <w:rPr>
      <w:color w:val="134584"/>
    </w:rPr>
  </w:style>
  <w:style w:type="character" w:customStyle="1" w:styleId="22">
    <w:name w:val="star"/>
    <w:basedOn w:val="4"/>
    <w:rPr/>
  </w:style>
  <w:style w:type="character" w:customStyle="1" w:styleId="23">
    <w:name w:val="star1"/>
    <w:basedOn w:val="4"/>
    <w:rPr/>
  </w:style>
  <w:style w:type="character" w:customStyle="1" w:styleId="24">
    <w:name w:val="r_3"/>
    <w:basedOn w:val="4"/>
    <w:rPr>
      <w:color w:val="217A44"/>
    </w:rPr>
  </w:style>
  <w:style w:type="character" w:customStyle="1" w:styleId="25">
    <w:name w:val="w1"/>
    <w:basedOn w:val="4"/>
    <w:rPr/>
  </w:style>
  <w:style w:type="character" w:customStyle="1" w:styleId="26">
    <w:name w:val="w2"/>
    <w:basedOn w:val="4"/>
    <w:rPr/>
  </w:style>
  <w:style w:type="character" w:customStyle="1" w:styleId="27">
    <w:name w:val="w3"/>
    <w:basedOn w:val="4"/>
    <w:rPr/>
  </w:style>
  <w:style w:type="character" w:customStyle="1" w:styleId="28">
    <w:name w:val="w4"/>
    <w:basedOn w:val="4"/>
    <w:rPr/>
  </w:style>
  <w:style w:type="character" w:customStyle="1" w:styleId="29">
    <w:name w:val="w5"/>
    <w:basedOn w:val="4"/>
    <w:rPr/>
  </w:style>
  <w:style w:type="character" w:customStyle="1" w:styleId="30">
    <w:name w:val="w0"/>
    <w:basedOn w:val="4"/>
    <w:rPr/>
  </w:style>
  <w:style w:type="character" w:customStyle="1" w:styleId="31">
    <w:name w:val="w-1"/>
    <w:basedOn w:val="4"/>
    <w:rPr/>
  </w:style>
  <w:style w:type="character" w:customStyle="1" w:styleId="32">
    <w:name w:val="e"/>
    <w:basedOn w:val="4"/>
    <w:rPr/>
  </w:style>
  <w:style w:type="character" w:customStyle="1" w:styleId="33">
    <w:name w:val="edui-unclickable"/>
    <w:basedOn w:val="4"/>
    <w:rPr>
      <w:color w:val="808080"/>
    </w:rPr>
  </w:style>
  <w:style w:type="character" w:customStyle="1" w:styleId="34">
    <w:name w:val="edui-clickable2"/>
    <w:basedOn w:val="4"/>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414</Words>
  <Characters>2363</Characters>
  <Lines>19</Lines>
  <Paragraphs>5</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2019-03-22T05:57:00Z</dcterms:created>
  <dc:creator>wz</dc:creator>
  <cp:lastPrinted>2019-06-20T00:26:00Z</cp:lastPrinted>
  <dcterms:modified xsi:type="dcterms:W3CDTF">2019-07-03T18:00:53Z</dcterms:modified>
  <dc:title>项延润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