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overflowPunct/>
        <w:topLinePunct w:val="0"/>
        <w:autoSpaceDE/>
        <w:autoSpaceDN/>
        <w:bidi w:val="0"/>
        <w:adjustRightInd/>
        <w:snapToGrid/>
        <w:spacing w:line="700" w:lineRule="exact"/>
        <w:ind w:firstLine="0"/>
        <w:jc w:val="center"/>
        <w:textAlignment w:val="auto"/>
        <w:rPr>
          <w:rFonts w:hint="eastAsia" w:ascii="方正小标宋简体" w:hAnsi="微软雅黑" w:eastAsia="方正小标宋简体" w:cs="Helvetica"/>
          <w:color w:val="auto"/>
          <w:kern w:val="0"/>
          <w:sz w:val="44"/>
          <w:szCs w:val="44"/>
        </w:rPr>
      </w:pPr>
      <w:r>
        <w:rPr>
          <w:rFonts w:hint="eastAsia" w:ascii="方正小标宋简体" w:hAnsi="宋体" w:eastAsia="方正小标宋简体"/>
          <w:color w:val="auto"/>
          <w:sz w:val="44"/>
          <w:szCs w:val="44"/>
          <w:lang w:val="en-US" w:eastAsia="zh-CN"/>
        </w:rPr>
        <w:t xml:space="preserve"> </w:t>
      </w:r>
      <w:r>
        <w:rPr>
          <w:rFonts w:hint="eastAsia" w:ascii="方正小标宋简体" w:hAnsi="宋体" w:eastAsia="方正小标宋简体"/>
          <w:color w:val="auto"/>
          <w:sz w:val="44"/>
          <w:szCs w:val="44"/>
        </w:rPr>
        <w:t>瓯海区</w:t>
      </w:r>
      <w:r>
        <w:rPr>
          <w:rFonts w:hint="eastAsia" w:ascii="方正小标宋简体" w:hAnsi="微软雅黑" w:eastAsia="方正小标宋简体" w:cs="Helvetica"/>
          <w:color w:val="auto"/>
          <w:kern w:val="0"/>
          <w:sz w:val="44"/>
          <w:szCs w:val="44"/>
        </w:rPr>
        <w:t>人民政府</w:t>
      </w:r>
    </w:p>
    <w:p>
      <w:pPr>
        <w:keepNext w:val="0"/>
        <w:keepLines w:val="0"/>
        <w:pageBreakBefore w:val="0"/>
        <w:widowControl/>
        <w:kinsoku/>
        <w:wordWrap/>
        <w:overflowPunct/>
        <w:topLinePunct w:val="0"/>
        <w:autoSpaceDE/>
        <w:autoSpaceDN/>
        <w:bidi w:val="0"/>
        <w:adjustRightInd/>
        <w:snapToGrid/>
        <w:spacing w:line="700" w:lineRule="exact"/>
        <w:ind w:firstLine="0"/>
        <w:jc w:val="center"/>
        <w:textAlignment w:val="auto"/>
        <w:rPr>
          <w:rFonts w:ascii="方正小标宋简体" w:hAnsi="微软雅黑" w:eastAsia="方正小标宋简体" w:cs="Helvetica"/>
          <w:color w:val="auto"/>
          <w:kern w:val="0"/>
          <w:sz w:val="44"/>
          <w:szCs w:val="44"/>
        </w:rPr>
      </w:pPr>
      <w:r>
        <w:rPr>
          <w:rFonts w:hint="eastAsia" w:ascii="方正小标宋简体" w:hAnsi="微软雅黑" w:eastAsia="方正小标宋简体" w:cs="Helvetica"/>
          <w:color w:val="auto"/>
          <w:kern w:val="0"/>
          <w:sz w:val="44"/>
          <w:szCs w:val="44"/>
        </w:rPr>
        <w:t>2019年政府信息公开工作年度报告</w:t>
      </w:r>
    </w:p>
    <w:p>
      <w:pPr>
        <w:pStyle w:val="7"/>
        <w:widowControl w:val="0"/>
        <w:spacing w:before="0" w:beforeAutospacing="0" w:after="0" w:afterAutospacing="0" w:line="576" w:lineRule="exact"/>
        <w:ind w:firstLine="640" w:firstLineChars="200"/>
        <w:rPr>
          <w:rFonts w:hint="eastAsia" w:ascii="仿宋_GB2312" w:hAnsi="ˎ̥" w:eastAsia="仿宋_GB2312"/>
          <w:color w:val="auto"/>
          <w:sz w:val="32"/>
          <w:szCs w:val="32"/>
        </w:rPr>
      </w:pPr>
    </w:p>
    <w:p>
      <w:pPr>
        <w:pStyle w:val="7"/>
        <w:keepNext w:val="0"/>
        <w:keepLines w:val="0"/>
        <w:pageBreakBefore w:val="0"/>
        <w:widowControl w:val="0"/>
        <w:kinsoku/>
        <w:wordWrap w:val="0"/>
        <w:overflowPunct/>
        <w:topLinePunct w:val="0"/>
        <w:autoSpaceDE/>
        <w:autoSpaceDN/>
        <w:bidi w:val="0"/>
        <w:adjustRightInd/>
        <w:snapToGrid/>
        <w:spacing w:before="0" w:beforeAutospacing="0" w:after="0" w:afterAutospacing="0" w:line="576" w:lineRule="exact"/>
        <w:ind w:firstLine="640" w:firstLineChars="200"/>
        <w:jc w:val="both"/>
        <w:textAlignment w:val="auto"/>
        <w:rPr>
          <w:rFonts w:ascii="Arial" w:hAnsi="Arial" w:eastAsia="宋体" w:cs="Arial"/>
          <w:i w:val="0"/>
          <w:caps w:val="0"/>
          <w:color w:val="auto"/>
          <w:spacing w:val="0"/>
          <w:sz w:val="24"/>
          <w:szCs w:val="24"/>
          <w:shd w:val="clear" w:fill="FFFFFF"/>
        </w:rPr>
      </w:pPr>
      <w:r>
        <w:rPr>
          <w:rFonts w:hint="eastAsia" w:ascii="仿宋_GB2312" w:hAnsi="ˎ̥" w:eastAsia="仿宋_GB2312"/>
          <w:color w:val="auto"/>
          <w:sz w:val="32"/>
          <w:szCs w:val="32"/>
        </w:rPr>
        <w:t>本年度报告根据</w:t>
      </w:r>
      <w:r>
        <w:rPr>
          <w:rFonts w:hint="eastAsia" w:ascii="仿宋_GB2312" w:hAnsi="ˎ̥" w:eastAsia="仿宋_GB2312"/>
          <w:color w:val="auto"/>
          <w:sz w:val="32"/>
          <w:szCs w:val="32"/>
          <w:lang w:eastAsia="zh-CN"/>
        </w:rPr>
        <w:t>新</w:t>
      </w:r>
      <w:r>
        <w:rPr>
          <w:rFonts w:hint="default" w:ascii="仿宋_GB2312" w:hAnsi="ˎ̥" w:eastAsia="仿宋_GB2312"/>
          <w:color w:val="auto"/>
          <w:sz w:val="32"/>
          <w:szCs w:val="32"/>
        </w:rPr>
        <w:t>修订的《中华人民共和国政府信息公开条例》（以下简称</w:t>
      </w:r>
      <w:r>
        <w:rPr>
          <w:rFonts w:hint="eastAsia" w:ascii="仿宋_GB2312" w:hAnsi="ˎ̥" w:eastAsia="仿宋_GB2312"/>
          <w:color w:val="auto"/>
          <w:sz w:val="32"/>
          <w:szCs w:val="32"/>
          <w:lang w:eastAsia="zh-CN"/>
        </w:rPr>
        <w:t>《</w:t>
      </w:r>
      <w:r>
        <w:rPr>
          <w:rFonts w:hint="default" w:ascii="仿宋_GB2312" w:hAnsi="ˎ̥" w:eastAsia="仿宋_GB2312"/>
          <w:color w:val="auto"/>
          <w:sz w:val="32"/>
          <w:szCs w:val="32"/>
        </w:rPr>
        <w:t>条例</w:t>
      </w:r>
      <w:r>
        <w:rPr>
          <w:rFonts w:hint="eastAsia" w:ascii="仿宋_GB2312" w:hAnsi="ˎ̥" w:eastAsia="仿宋_GB2312"/>
          <w:color w:val="auto"/>
          <w:sz w:val="32"/>
          <w:szCs w:val="32"/>
          <w:lang w:eastAsia="zh-CN"/>
        </w:rPr>
        <w:t>》</w:t>
      </w:r>
      <w:r>
        <w:rPr>
          <w:rFonts w:hint="default" w:ascii="仿宋_GB2312" w:hAnsi="ˎ̥" w:eastAsia="仿宋_GB2312"/>
          <w:color w:val="auto"/>
          <w:sz w:val="32"/>
          <w:szCs w:val="32"/>
          <w:lang w:eastAsia="zh-CN"/>
        </w:rPr>
        <w:t>）以及</w:t>
      </w:r>
      <w:r>
        <w:rPr>
          <w:rFonts w:hint="eastAsia" w:ascii="仿宋_GB2312" w:hAnsi="ˎ̥" w:eastAsia="仿宋_GB2312"/>
          <w:color w:val="auto"/>
          <w:sz w:val="32"/>
          <w:szCs w:val="32"/>
          <w:lang w:eastAsia="zh-CN"/>
        </w:rPr>
        <w:t>国办公开办《关于政府信息公开工作年度报告有关事项的通知》</w:t>
      </w:r>
      <w:r>
        <w:rPr>
          <w:rFonts w:hint="default" w:ascii="仿宋_GB2312" w:hAnsi="ˎ̥" w:eastAsia="仿宋_GB2312"/>
          <w:color w:val="auto"/>
          <w:sz w:val="32"/>
          <w:szCs w:val="32"/>
        </w:rPr>
        <w:t>相关要求,</w:t>
      </w:r>
      <w:r>
        <w:rPr>
          <w:rFonts w:hint="eastAsia" w:ascii="仿宋_GB2312" w:hAnsi="ˎ̥" w:eastAsia="仿宋_GB2312"/>
          <w:color w:val="auto"/>
          <w:sz w:val="32"/>
          <w:szCs w:val="32"/>
        </w:rPr>
        <w:t>由温州市瓯海区政务公开领导小组办公室</w:t>
      </w:r>
      <w:r>
        <w:rPr>
          <w:rFonts w:hint="eastAsia" w:ascii="仿宋_GB2312" w:hAnsi="ˎ̥" w:eastAsia="仿宋_GB2312"/>
          <w:color w:val="auto"/>
          <w:sz w:val="32"/>
          <w:szCs w:val="32"/>
          <w:lang w:eastAsia="zh-CN"/>
        </w:rPr>
        <w:t>综合全区</w:t>
      </w:r>
      <w:r>
        <w:rPr>
          <w:rFonts w:hint="eastAsia" w:ascii="仿宋_GB2312" w:hAnsi="ˎ̥" w:eastAsia="仿宋_GB2312"/>
          <w:color w:val="auto"/>
          <w:sz w:val="32"/>
          <w:szCs w:val="32"/>
          <w:lang w:val="en-US" w:eastAsia="zh-CN"/>
        </w:rPr>
        <w:t>52家信息公开责任单位的政府信息公开年度报告</w:t>
      </w:r>
      <w:r>
        <w:rPr>
          <w:rFonts w:hint="eastAsia" w:ascii="仿宋_GB2312" w:hAnsi="ˎ̥" w:eastAsia="仿宋_GB2312"/>
          <w:color w:val="auto"/>
          <w:sz w:val="32"/>
          <w:szCs w:val="32"/>
        </w:rPr>
        <w:t>编</w:t>
      </w:r>
      <w:r>
        <w:rPr>
          <w:rFonts w:hint="eastAsia" w:ascii="仿宋_GB2312" w:hAnsi="ˎ̥" w:eastAsia="仿宋_GB2312"/>
          <w:color w:val="auto"/>
          <w:sz w:val="32"/>
          <w:szCs w:val="32"/>
          <w:lang w:eastAsia="zh-CN"/>
        </w:rPr>
        <w:t>制而成，现向社会公布瓯海区人民政府2019年本机关信息公开年度报告</w:t>
      </w:r>
      <w:r>
        <w:rPr>
          <w:rFonts w:hint="default" w:ascii="仿宋_GB2312" w:hAnsi="ˎ̥" w:eastAsia="仿宋_GB2312"/>
          <w:color w:val="auto"/>
          <w:sz w:val="32"/>
          <w:szCs w:val="32"/>
          <w:lang w:eastAsia="zh-CN"/>
        </w:rPr>
        <w:t>（以下简称《年报》）。</w:t>
      </w:r>
    </w:p>
    <w:p>
      <w:pPr>
        <w:pStyle w:val="7"/>
        <w:keepNext w:val="0"/>
        <w:keepLines w:val="0"/>
        <w:pageBreakBefore w:val="0"/>
        <w:widowControl w:val="0"/>
        <w:kinsoku/>
        <w:wordWrap/>
        <w:overflowPunct/>
        <w:topLinePunct w:val="0"/>
        <w:autoSpaceDE/>
        <w:autoSpaceDN/>
        <w:bidi w:val="0"/>
        <w:adjustRightInd/>
        <w:snapToGrid/>
        <w:spacing w:before="0" w:beforeAutospacing="0" w:after="0" w:afterAutospacing="0" w:line="576" w:lineRule="exact"/>
        <w:ind w:firstLine="640" w:firstLineChars="200"/>
        <w:jc w:val="both"/>
        <w:textAlignment w:val="auto"/>
        <w:rPr>
          <w:rFonts w:hint="eastAsia" w:ascii="仿宋_GB2312" w:hAnsi="ˎ̥" w:eastAsia="仿宋_GB2312"/>
          <w:color w:val="auto"/>
          <w:sz w:val="32"/>
          <w:szCs w:val="32"/>
        </w:rPr>
      </w:pPr>
      <w:r>
        <w:rPr>
          <w:rFonts w:hint="eastAsia" w:ascii="仿宋_GB2312" w:hAnsi="ˎ̥" w:eastAsia="仿宋_GB2312"/>
          <w:color w:val="auto"/>
          <w:sz w:val="32"/>
          <w:szCs w:val="32"/>
        </w:rPr>
        <w:t>全文包括</w:t>
      </w:r>
      <w:r>
        <w:rPr>
          <w:rFonts w:hint="default" w:ascii="仿宋_GB2312" w:hAnsi="ˎ̥" w:eastAsia="仿宋_GB2312"/>
          <w:color w:val="auto"/>
          <w:sz w:val="32"/>
          <w:szCs w:val="32"/>
        </w:rPr>
        <w:t>总体情况、主动公开政府信息情况、收到和处理政府信息公开申请情况、政府信息公开行政复议及行政诉讼情况、存在的主要问题及改进情况和其他需要报告的事项</w:t>
      </w:r>
      <w:r>
        <w:rPr>
          <w:rFonts w:hint="eastAsia" w:ascii="仿宋_GB2312" w:hAnsi="ˎ̥" w:eastAsia="仿宋_GB2312"/>
          <w:color w:val="auto"/>
          <w:sz w:val="32"/>
          <w:szCs w:val="32"/>
          <w:lang w:eastAsia="zh-CN"/>
        </w:rPr>
        <w:t>等内容</w:t>
      </w:r>
      <w:r>
        <w:rPr>
          <w:rFonts w:hint="eastAsia" w:ascii="仿宋_GB2312" w:hAnsi="ˎ̥" w:eastAsia="仿宋_GB2312"/>
          <w:color w:val="auto"/>
          <w:sz w:val="32"/>
          <w:szCs w:val="32"/>
        </w:rPr>
        <w:t>，</w:t>
      </w:r>
      <w:r>
        <w:rPr>
          <w:rFonts w:hint="eastAsia" w:ascii="仿宋_GB2312" w:hAnsi="ˎ̥" w:eastAsia="仿宋_GB2312"/>
          <w:color w:val="auto"/>
          <w:sz w:val="32"/>
          <w:szCs w:val="32"/>
          <w:lang w:eastAsia="zh-CN"/>
        </w:rPr>
        <w:t>并运用图片、图表、图解</w:t>
      </w:r>
      <w:r>
        <w:rPr>
          <w:rFonts w:hint="eastAsia" w:ascii="仿宋_GB2312" w:hAnsi="ˎ̥" w:eastAsia="仿宋_GB2312"/>
          <w:color w:val="auto"/>
          <w:sz w:val="32"/>
          <w:szCs w:val="32"/>
        </w:rPr>
        <w:t>等</w:t>
      </w:r>
      <w:r>
        <w:rPr>
          <w:rFonts w:hint="eastAsia" w:ascii="仿宋_GB2312" w:hAnsi="ˎ̥" w:eastAsia="仿宋_GB2312"/>
          <w:color w:val="auto"/>
          <w:sz w:val="32"/>
          <w:szCs w:val="32"/>
          <w:lang w:eastAsia="zh-CN"/>
        </w:rPr>
        <w:t>表现形式</w:t>
      </w:r>
      <w:r>
        <w:rPr>
          <w:rFonts w:hint="eastAsia" w:ascii="仿宋_GB2312" w:hAnsi="ˎ̥" w:eastAsia="仿宋_GB2312"/>
          <w:color w:val="auto"/>
          <w:sz w:val="32"/>
          <w:szCs w:val="32"/>
        </w:rPr>
        <w:t>，报告中所列数据的统计期限从201</w:t>
      </w:r>
      <w:r>
        <w:rPr>
          <w:rFonts w:hint="eastAsia" w:ascii="仿宋_GB2312" w:hAnsi="ˎ̥" w:eastAsia="仿宋_GB2312"/>
          <w:color w:val="auto"/>
          <w:sz w:val="32"/>
          <w:szCs w:val="32"/>
          <w:lang w:val="en-US" w:eastAsia="zh-CN"/>
        </w:rPr>
        <w:t>9</w:t>
      </w:r>
      <w:r>
        <w:rPr>
          <w:rFonts w:hint="eastAsia" w:ascii="仿宋_GB2312" w:hAnsi="ˎ̥" w:eastAsia="仿宋_GB2312"/>
          <w:color w:val="auto"/>
          <w:sz w:val="32"/>
          <w:szCs w:val="32"/>
        </w:rPr>
        <w:t>年1月1日到12月31日止。报告的电子版可在瓯海区政府信息公开栏目下载（http://xxgk.ouhai.gov.cn）。如对报告内容有疑问，请与温州市瓯海区政务公开领导小组办公室联系（</w:t>
      </w:r>
      <w:r>
        <w:rPr>
          <w:rFonts w:hint="eastAsia" w:ascii="仿宋_GB2312" w:hAnsi="ˎ̥" w:eastAsia="仿宋_GB2312"/>
          <w:color w:val="auto"/>
          <w:sz w:val="32"/>
          <w:szCs w:val="32"/>
          <w:lang w:eastAsia="zh-CN"/>
        </w:rPr>
        <w:t>地址：</w:t>
      </w:r>
      <w:r>
        <w:rPr>
          <w:rFonts w:hint="eastAsia" w:ascii="仿宋_GB2312" w:hAnsi="ˎ̥" w:eastAsia="仿宋_GB2312"/>
          <w:color w:val="auto"/>
          <w:sz w:val="32"/>
          <w:szCs w:val="32"/>
        </w:rPr>
        <w:t>瓯海区娄桥街道洲洋路6号瓯海行政管理中心1号楼806室</w:t>
      </w:r>
      <w:r>
        <w:rPr>
          <w:rFonts w:hint="eastAsia" w:ascii="仿宋_GB2312" w:hAnsi="ˎ̥" w:eastAsia="仿宋_GB2312"/>
          <w:color w:val="auto"/>
          <w:sz w:val="32"/>
          <w:szCs w:val="32"/>
          <w:lang w:eastAsia="zh-CN"/>
        </w:rPr>
        <w:t>，</w:t>
      </w:r>
      <w:r>
        <w:rPr>
          <w:rFonts w:hint="eastAsia" w:ascii="仿宋_GB2312" w:hAnsi="ˎ̥" w:eastAsia="仿宋_GB2312"/>
          <w:color w:val="auto"/>
          <w:sz w:val="32"/>
          <w:szCs w:val="32"/>
        </w:rPr>
        <w:t>电话：0577-88539697，邮箱：xxgk@ouhai.gov.cn）。</w:t>
      </w:r>
    </w:p>
    <w:p>
      <w:pPr>
        <w:keepNext w:val="0"/>
        <w:keepLines w:val="0"/>
        <w:pageBreakBefore w:val="0"/>
        <w:widowControl w:val="0"/>
        <w:kinsoku/>
        <w:wordWrap w:val="0"/>
        <w:overflowPunct/>
        <w:topLinePunct w:val="0"/>
        <w:autoSpaceDE/>
        <w:autoSpaceDN/>
        <w:bidi w:val="0"/>
        <w:adjustRightInd/>
        <w:snapToGrid/>
        <w:spacing w:line="576" w:lineRule="exact"/>
        <w:ind w:firstLine="640" w:firstLineChars="200"/>
        <w:jc w:val="both"/>
        <w:textAlignment w:val="auto"/>
        <w:rPr>
          <w:rFonts w:ascii="黑体" w:hAnsi="黑体" w:eastAsia="黑体"/>
          <w:color w:val="auto"/>
          <w:sz w:val="32"/>
          <w:szCs w:val="32"/>
        </w:rPr>
      </w:pPr>
      <w:r>
        <w:rPr>
          <w:rFonts w:hint="eastAsia" w:ascii="黑体" w:hAnsi="黑体" w:eastAsia="黑体"/>
          <w:color w:val="auto"/>
          <w:sz w:val="32"/>
          <w:szCs w:val="32"/>
        </w:rPr>
        <w:t>一、总体情况</w:t>
      </w:r>
    </w:p>
    <w:p>
      <w:pPr>
        <w:keepNext w:val="0"/>
        <w:keepLines w:val="0"/>
        <w:pageBreakBefore w:val="0"/>
        <w:widowControl w:val="0"/>
        <w:kinsoku/>
        <w:wordWrap w:val="0"/>
        <w:overflowPunct/>
        <w:topLinePunct w:val="0"/>
        <w:autoSpaceDE/>
        <w:autoSpaceDN/>
        <w:bidi w:val="0"/>
        <w:adjustRightInd/>
        <w:snapToGrid/>
        <w:spacing w:line="576" w:lineRule="exact"/>
        <w:ind w:firstLine="640" w:firstLineChars="200"/>
        <w:jc w:val="both"/>
        <w:textAlignment w:val="auto"/>
        <w:rPr>
          <w:rFonts w:hint="eastAsia" w:ascii="仿宋_GB2312" w:eastAsia="仿宋_GB2312"/>
          <w:color w:val="auto"/>
          <w:sz w:val="32"/>
          <w:szCs w:val="32"/>
        </w:rPr>
      </w:pPr>
      <w:r>
        <w:rPr>
          <w:rFonts w:hint="eastAsia" w:ascii="仿宋_GB2312" w:eastAsia="仿宋_GB2312"/>
          <w:color w:val="auto"/>
          <w:sz w:val="32"/>
          <w:szCs w:val="32"/>
          <w:lang w:val="en-US" w:eastAsia="zh-CN"/>
        </w:rPr>
        <w:t>2019年，</w:t>
      </w:r>
      <w:r>
        <w:rPr>
          <w:rFonts w:hint="eastAsia" w:ascii="仿宋_GB2312" w:eastAsia="仿宋_GB2312"/>
          <w:color w:val="auto"/>
          <w:sz w:val="32"/>
          <w:szCs w:val="32"/>
          <w:lang w:eastAsia="zh-CN"/>
        </w:rPr>
        <w:t>瓯海区认真学习贯彻《条例》，落实国家、省、市有关政务公开工作部署，围绕区委、区政府中心工作和群众关注关切，以提升政务公开质量为主线，着力</w:t>
      </w:r>
      <w:r>
        <w:rPr>
          <w:rFonts w:hint="eastAsia" w:ascii="仿宋_GB2312" w:eastAsia="仿宋_GB2312"/>
          <w:color w:val="auto"/>
          <w:sz w:val="32"/>
          <w:szCs w:val="32"/>
        </w:rPr>
        <w:t>加强政策解读和回应群众关切，深入完善政务公开体制机制，推广全国基层政务公开标准化规范化试点工作经验，深化重点领域信息公开，持续做好政务公开平台建设，以公开稳预期、强监督、促落实、优服务，进一步提高政府治理能力，切实增强人民群众满意度和获得感。</w:t>
      </w:r>
    </w:p>
    <w:p>
      <w:pPr>
        <w:keepNext w:val="0"/>
        <w:keepLines w:val="0"/>
        <w:pageBreakBefore w:val="0"/>
        <w:widowControl w:val="0"/>
        <w:kinsoku/>
        <w:wordWrap/>
        <w:overflowPunct/>
        <w:topLinePunct w:val="0"/>
        <w:autoSpaceDE/>
        <w:autoSpaceDN/>
        <w:bidi w:val="0"/>
        <w:adjustRightInd/>
        <w:snapToGrid/>
        <w:spacing w:line="576" w:lineRule="exact"/>
        <w:ind w:firstLine="560" w:firstLineChars="200"/>
        <w:jc w:val="both"/>
        <w:textAlignment w:val="auto"/>
        <w:rPr>
          <w:rFonts w:hint="eastAsia" w:ascii="仿宋_GB2312" w:eastAsia="仿宋_GB2312"/>
          <w:color w:val="auto"/>
          <w:sz w:val="32"/>
          <w:szCs w:val="32"/>
          <w:lang w:eastAsia="zh-CN"/>
        </w:rPr>
      </w:pPr>
      <w:r>
        <w:rPr>
          <w:rFonts w:hint="eastAsia" w:ascii="黑体" w:hAnsi="黑体" w:eastAsia="黑体" w:cs="黑体"/>
          <w:color w:val="auto"/>
          <w:sz w:val="28"/>
          <w:szCs w:val="28"/>
          <w:lang w:val="en-US" w:eastAsia="zh-CN"/>
        </w:rPr>
        <w:drawing>
          <wp:anchor distT="0" distB="0" distL="114300" distR="114300" simplePos="0" relativeHeight="251675648" behindDoc="0" locked="0" layoutInCell="1" allowOverlap="1">
            <wp:simplePos x="0" y="0"/>
            <wp:positionH relativeFrom="column">
              <wp:posOffset>132715</wp:posOffset>
            </wp:positionH>
            <wp:positionV relativeFrom="paragraph">
              <wp:posOffset>3912870</wp:posOffset>
            </wp:positionV>
            <wp:extent cx="5613400" cy="1960245"/>
            <wp:effectExtent l="0" t="0" r="6350" b="1905"/>
            <wp:wrapTopAndBottom/>
            <wp:docPr id="37" name="图片 37" descr="55（经验稿）_mei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55（经验稿）_meitu_2"/>
                    <pic:cNvPicPr>
                      <a:picLocks noChangeAspect="1"/>
                    </pic:cNvPicPr>
                  </pic:nvPicPr>
                  <pic:blipFill>
                    <a:blip r:embed="rId5"/>
                    <a:stretch>
                      <a:fillRect/>
                    </a:stretch>
                  </pic:blipFill>
                  <pic:spPr>
                    <a:xfrm>
                      <a:off x="0" y="0"/>
                      <a:ext cx="5613400" cy="1960245"/>
                    </a:xfrm>
                    <a:prstGeom prst="rect">
                      <a:avLst/>
                    </a:prstGeom>
                  </pic:spPr>
                </pic:pic>
              </a:graphicData>
            </a:graphic>
          </wp:anchor>
        </w:drawing>
      </w:r>
      <w:r>
        <w:rPr>
          <w:rFonts w:hint="eastAsia" w:ascii="仿宋_GB2312" w:eastAsia="仿宋_GB2312"/>
          <w:color w:val="auto"/>
          <w:sz w:val="32"/>
          <w:szCs w:val="32"/>
          <w:lang w:val="en-US" w:eastAsia="zh-CN"/>
        </w:rPr>
        <w:t xml:space="preserve"> </w:t>
      </w:r>
      <w:r>
        <w:rPr>
          <w:rFonts w:hint="eastAsia" w:ascii="仿宋_GB2312" w:eastAsia="仿宋_GB2312"/>
          <w:color w:val="auto"/>
          <w:sz w:val="32"/>
          <w:szCs w:val="32"/>
          <w:lang w:eastAsia="zh-CN"/>
        </w:rPr>
        <w:t>瓯海</w:t>
      </w:r>
      <w:r>
        <w:rPr>
          <w:rFonts w:hint="eastAsia" w:ascii="仿宋_GB2312" w:eastAsia="仿宋_GB2312"/>
          <w:color w:val="auto"/>
          <w:sz w:val="32"/>
          <w:szCs w:val="32"/>
        </w:rPr>
        <w:t>区</w:t>
      </w:r>
      <w:r>
        <w:rPr>
          <w:rFonts w:hint="eastAsia" w:ascii="仿宋_GB2312" w:eastAsia="仿宋_GB2312"/>
          <w:color w:val="auto"/>
          <w:sz w:val="32"/>
          <w:szCs w:val="32"/>
          <w:lang w:eastAsia="zh-CN"/>
        </w:rPr>
        <w:t>全国</w:t>
      </w:r>
      <w:r>
        <w:rPr>
          <w:rFonts w:hint="eastAsia" w:ascii="仿宋_GB2312" w:eastAsia="仿宋_GB2312"/>
          <w:color w:val="auto"/>
          <w:sz w:val="32"/>
          <w:szCs w:val="32"/>
        </w:rPr>
        <w:t>基层政务公开试点的探索经验和“保障性住房”领域工作做法获国办主办刊物《政务公开工作交流》两次刊登，试点总体成效和“农村危房改造”领域政务公开的视频专题片获省政府门户网站“政务公开在浙里”专栏发布。12月6日，“2019中国数字政府服务能力暨第十八届政府网站绩效评估结果发布会”在京召开</w:t>
      </w:r>
      <w:r>
        <w:rPr>
          <w:rFonts w:hint="eastAsia" w:ascii="仿宋_GB2312" w:eastAsia="仿宋_GB2312"/>
          <w:color w:val="auto"/>
          <w:sz w:val="32"/>
          <w:szCs w:val="32"/>
          <w:lang w:eastAsia="zh-CN"/>
        </w:rPr>
        <w:t>，</w:t>
      </w:r>
      <w:r>
        <w:rPr>
          <w:rFonts w:hint="eastAsia" w:ascii="仿宋_GB2312" w:eastAsia="仿宋_GB2312"/>
          <w:color w:val="auto"/>
          <w:sz w:val="32"/>
          <w:szCs w:val="32"/>
          <w:lang w:val="en-US" w:eastAsia="zh-CN"/>
        </w:rPr>
        <w:t>瓯海区人民政府门户网站上榜</w:t>
      </w:r>
      <w:r>
        <w:rPr>
          <w:rFonts w:hint="eastAsia" w:ascii="仿宋_GB2312" w:eastAsia="仿宋_GB2312" w:hAnsiTheme="minorHAnsi" w:cstheme="minorBidi"/>
          <w:color w:val="auto"/>
          <w:kern w:val="2"/>
          <w:sz w:val="32"/>
          <w:szCs w:val="32"/>
          <w:lang w:val="en-US" w:eastAsia="zh-CN" w:bidi="ar-SA"/>
        </w:rPr>
        <w:t>区县政府网站前十强名单</w:t>
      </w:r>
      <w:r>
        <w:rPr>
          <w:rFonts w:hint="eastAsia" w:ascii="仿宋_GB2312" w:eastAsia="仿宋_GB2312" w:cstheme="minorBidi"/>
          <w:color w:val="auto"/>
          <w:kern w:val="2"/>
          <w:sz w:val="32"/>
          <w:szCs w:val="32"/>
          <w:lang w:val="en-US" w:eastAsia="zh-CN" w:bidi="ar-SA"/>
        </w:rPr>
        <w:t>，连续两届作为浙江省唯一的区县政府入榜前十。</w:t>
      </w:r>
      <w:r>
        <w:rPr>
          <w:rFonts w:hint="eastAsia" w:ascii="仿宋_GB2312" w:eastAsia="仿宋_GB2312"/>
          <w:color w:val="auto"/>
          <w:sz w:val="32"/>
          <w:szCs w:val="32"/>
          <w:lang w:val="en-US" w:eastAsia="zh-CN"/>
        </w:rPr>
        <w:t>12月，</w:t>
      </w:r>
      <w:r>
        <w:rPr>
          <w:rFonts w:hint="eastAsia" w:ascii="仿宋_GB2312" w:eastAsia="仿宋_GB2312"/>
          <w:color w:val="auto"/>
          <w:sz w:val="32"/>
          <w:szCs w:val="32"/>
          <w:lang w:eastAsia="zh-CN"/>
        </w:rPr>
        <w:t>瓯海区积极参与</w:t>
      </w:r>
      <w:r>
        <w:rPr>
          <w:rFonts w:hint="eastAsia" w:ascii="仿宋_GB2312" w:eastAsia="仿宋_GB2312"/>
          <w:color w:val="auto"/>
          <w:sz w:val="32"/>
          <w:szCs w:val="32"/>
        </w:rPr>
        <w:t>温州</w:t>
      </w:r>
      <w:r>
        <w:rPr>
          <w:rFonts w:hint="eastAsia" w:ascii="仿宋_GB2312" w:eastAsia="仿宋_GB2312"/>
          <w:color w:val="auto"/>
          <w:sz w:val="32"/>
          <w:szCs w:val="32"/>
          <w:lang w:eastAsia="zh-CN"/>
        </w:rPr>
        <w:t>市政府举办的</w:t>
      </w:r>
      <w:r>
        <w:rPr>
          <w:rFonts w:hint="eastAsia" w:ascii="仿宋_GB2312" w:eastAsia="仿宋_GB2312"/>
          <w:color w:val="auto"/>
          <w:sz w:val="32"/>
          <w:szCs w:val="32"/>
        </w:rPr>
        <w:t>政务公开“三大评选”活动</w:t>
      </w:r>
      <w:r>
        <w:rPr>
          <w:rFonts w:hint="eastAsia" w:ascii="仿宋_GB2312" w:eastAsia="仿宋_GB2312"/>
          <w:color w:val="auto"/>
          <w:sz w:val="32"/>
          <w:szCs w:val="32"/>
          <w:lang w:eastAsia="zh-CN"/>
        </w:rPr>
        <w:t>，取得了</w:t>
      </w:r>
      <w:r>
        <w:rPr>
          <w:rFonts w:hint="eastAsia" w:ascii="仿宋_GB2312" w:eastAsia="仿宋_GB2312"/>
          <w:color w:val="auto"/>
          <w:sz w:val="32"/>
          <w:szCs w:val="32"/>
        </w:rPr>
        <w:t>“十佳政策解读案例”“十大最受欢迎网站”</w:t>
      </w:r>
      <w:r>
        <w:rPr>
          <w:rFonts w:hint="eastAsia" w:ascii="仿宋_GB2312" w:eastAsia="仿宋_GB2312"/>
          <w:color w:val="auto"/>
          <w:sz w:val="32"/>
          <w:szCs w:val="32"/>
          <w:lang w:eastAsia="zh-CN"/>
        </w:rPr>
        <w:t>第一名，</w:t>
      </w:r>
      <w:r>
        <w:rPr>
          <w:rFonts w:hint="eastAsia" w:ascii="仿宋_GB2312" w:eastAsia="仿宋_GB2312"/>
          <w:color w:val="auto"/>
          <w:sz w:val="32"/>
          <w:szCs w:val="32"/>
        </w:rPr>
        <w:t>“十大创新举措</w:t>
      </w:r>
      <w:r>
        <w:rPr>
          <w:rFonts w:hint="eastAsia" w:ascii="仿宋_GB2312" w:eastAsia="仿宋_GB2312"/>
          <w:color w:val="auto"/>
          <w:sz w:val="32"/>
          <w:szCs w:val="32"/>
          <w:lang w:eastAsia="zh-CN"/>
        </w:rPr>
        <w:t>”第二名的佳绩。</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《政务公开工作交流》（2019年第一期）</w:t>
      </w:r>
    </w:p>
    <w:p>
      <w:pPr>
        <w:bidi w:val="0"/>
        <w:jc w:val="center"/>
        <w:rPr>
          <w:rFonts w:hint="eastAsia" w:asciiTheme="minorHAnsi" w:hAnsiTheme="minorHAnsi" w:eastAsiaTheme="minorEastAsia" w:cstheme="minorBidi"/>
          <w:color w:val="auto"/>
          <w:kern w:val="2"/>
          <w:sz w:val="21"/>
          <w:szCs w:val="22"/>
          <w:lang w:val="en-US" w:eastAsia="zh-CN" w:bidi="ar-SA"/>
        </w:rPr>
      </w:pPr>
      <w:r>
        <w:rPr>
          <w:rFonts w:hint="eastAsia" w:asciiTheme="minorHAnsi" w:hAnsiTheme="minorHAnsi" w:eastAsiaTheme="minorEastAsia" w:cstheme="minorBidi"/>
          <w:color w:val="auto"/>
          <w:kern w:val="2"/>
          <w:sz w:val="21"/>
          <w:szCs w:val="22"/>
          <w:lang w:val="en-US" w:eastAsia="zh-CN" w:bidi="ar-SA"/>
        </w:rPr>
        <w:drawing>
          <wp:inline distT="0" distB="0" distL="114300" distR="114300">
            <wp:extent cx="5601970" cy="1956435"/>
            <wp:effectExtent l="0" t="0" r="17780" b="5715"/>
            <wp:docPr id="40" name="图片 40" descr="66.（经验稿）_mei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66.（经验稿）_meitu_2"/>
                    <pic:cNvPicPr>
                      <a:picLocks noChangeAspect="1"/>
                    </pic:cNvPicPr>
                  </pic:nvPicPr>
                  <pic:blipFill>
                    <a:blip r:embed="rId6"/>
                    <a:stretch>
                      <a:fillRect/>
                    </a:stretch>
                  </pic:blipFill>
                  <pic:spPr>
                    <a:xfrm>
                      <a:off x="0" y="0"/>
                      <a:ext cx="5601970" cy="19564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《政务公开工作交流》</w:t>
      </w: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（基层政务公开标准化规范化试点经验做法专刊二）</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eastAsia="zh-CN"/>
        </w:rPr>
        <w:drawing>
          <wp:anchor distT="0" distB="0" distL="114300" distR="114300" simplePos="0" relativeHeight="251673600" behindDoc="0" locked="0" layoutInCell="1" allowOverlap="1">
            <wp:simplePos x="0" y="0"/>
            <wp:positionH relativeFrom="column">
              <wp:posOffset>635</wp:posOffset>
            </wp:positionH>
            <wp:positionV relativeFrom="paragraph">
              <wp:posOffset>136525</wp:posOffset>
            </wp:positionV>
            <wp:extent cx="5614670" cy="2133600"/>
            <wp:effectExtent l="0" t="0" r="5080" b="0"/>
            <wp:wrapTopAndBottom/>
            <wp:docPr id="36" name="图片 36" descr="4.浙江省人民政府门户网站-政务公开在浙里（经验稿）_mei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4.浙江省人民政府门户网站-政务公开在浙里（经验稿）_meitu_2"/>
                    <pic:cNvPicPr>
                      <a:picLocks noChangeAspect="1"/>
                    </pic:cNvPicPr>
                  </pic:nvPicPr>
                  <pic:blipFill>
                    <a:blip r:embed="rId7"/>
                    <a:srcRect t="1509" b="13962"/>
                    <a:stretch>
                      <a:fillRect/>
                    </a:stretch>
                  </pic:blipFill>
                  <pic:spPr>
                    <a:xfrm>
                      <a:off x="0" y="0"/>
                      <a:ext cx="5614670" cy="2133600"/>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浙江省人民政府门户网站“政务公开在浙里”专题发布</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74624" behindDoc="0" locked="0" layoutInCell="1" allowOverlap="1">
            <wp:simplePos x="0" y="0"/>
            <wp:positionH relativeFrom="column">
              <wp:posOffset>-9525</wp:posOffset>
            </wp:positionH>
            <wp:positionV relativeFrom="paragraph">
              <wp:posOffset>245745</wp:posOffset>
            </wp:positionV>
            <wp:extent cx="5761990" cy="2101850"/>
            <wp:effectExtent l="0" t="0" r="10160" b="12700"/>
            <wp:wrapTopAndBottom/>
            <wp:docPr id="3" name="图片 3" descr="网站绩效-拼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网站绩效-拼图"/>
                    <pic:cNvPicPr>
                      <a:picLocks noChangeAspect="1"/>
                    </pic:cNvPicPr>
                  </pic:nvPicPr>
                  <pic:blipFill>
                    <a:blip r:embed="rId8"/>
                    <a:srcRect l="2545" r="4072"/>
                    <a:stretch>
                      <a:fillRect/>
                    </a:stretch>
                  </pic:blipFill>
                  <pic:spPr>
                    <a:xfrm>
                      <a:off x="0" y="0"/>
                      <a:ext cx="5761990" cy="2101850"/>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2018年、2019年连续两届上榜政府网站绩效评估前十榜单</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0288" behindDoc="0" locked="0" layoutInCell="1" allowOverlap="1">
            <wp:simplePos x="0" y="0"/>
            <wp:positionH relativeFrom="column">
              <wp:posOffset>1905</wp:posOffset>
            </wp:positionH>
            <wp:positionV relativeFrom="paragraph">
              <wp:posOffset>163195</wp:posOffset>
            </wp:positionV>
            <wp:extent cx="5612130" cy="5612130"/>
            <wp:effectExtent l="0" t="0" r="7620" b="7620"/>
            <wp:wrapTopAndBottom/>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5612130" cy="5612130"/>
                    </a:xfrm>
                    <a:prstGeom prst="rect">
                      <a:avLst/>
                    </a:prstGeom>
                    <a:noFill/>
                    <a:ln>
                      <a:noFill/>
                    </a:ln>
                  </pic:spPr>
                </pic:pic>
              </a:graphicData>
            </a:graphic>
          </wp:anchor>
        </w:drawing>
      </w:r>
      <w:r>
        <w:rPr>
          <w:rFonts w:hint="default" w:ascii="仿宋_GB2312" w:hAnsi="仿宋_GB2312" w:eastAsia="仿宋_GB2312" w:cs="仿宋_GB2312"/>
          <w:color w:val="auto"/>
          <w:sz w:val="24"/>
          <w:szCs w:val="24"/>
          <w:lang w:val="en-US" w:eastAsia="zh-CN"/>
        </w:rPr>
        <w:fldChar w:fldCharType="begin"/>
      </w:r>
      <w:r>
        <w:rPr>
          <w:rFonts w:hint="default" w:ascii="仿宋_GB2312" w:hAnsi="仿宋_GB2312" w:eastAsia="仿宋_GB2312" w:cs="仿宋_GB2312"/>
          <w:color w:val="auto"/>
          <w:sz w:val="24"/>
          <w:szCs w:val="24"/>
          <w:lang w:val="en-US" w:eastAsia="zh-CN"/>
        </w:rPr>
        <w:instrText xml:space="preserve"> HYPERLINK "http://www.baidu.com/link?url=SG2oqu5ffwcKeMwRVFjviV68l98Zuaojq3WvOi3LHEZH5s4c-hR0y2Sfl0GFeVk--8ZQ1xnke4dB2MwfbV87MUqylIFGtMck99ERdGPfzPm" \t "https://www.baidu.com/_blank" </w:instrText>
      </w:r>
      <w:r>
        <w:rPr>
          <w:rFonts w:hint="default" w:ascii="仿宋_GB2312" w:hAnsi="仿宋_GB2312" w:eastAsia="仿宋_GB2312" w:cs="仿宋_GB2312"/>
          <w:color w:val="auto"/>
          <w:sz w:val="24"/>
          <w:szCs w:val="24"/>
          <w:lang w:val="en-US" w:eastAsia="zh-CN"/>
        </w:rPr>
        <w:fldChar w:fldCharType="separate"/>
      </w:r>
      <w:r>
        <w:rPr>
          <w:rFonts w:hint="default" w:ascii="仿宋_GB2312" w:hAnsi="仿宋_GB2312" w:eastAsia="仿宋_GB2312" w:cs="仿宋_GB2312"/>
          <w:color w:val="auto"/>
          <w:sz w:val="24"/>
          <w:szCs w:val="24"/>
          <w:lang w:val="en-US" w:eastAsia="zh-CN"/>
        </w:rPr>
        <w:t>温州市政务公开“三大评选”结果</w:t>
      </w:r>
      <w:r>
        <w:rPr>
          <w:rFonts w:hint="default" w:ascii="仿宋_GB2312" w:hAnsi="仿宋_GB2312" w:eastAsia="仿宋_GB2312" w:cs="仿宋_GB2312"/>
          <w:color w:val="auto"/>
          <w:sz w:val="24"/>
          <w:szCs w:val="24"/>
          <w:lang w:val="en-US" w:eastAsia="zh-CN"/>
        </w:rPr>
        <w:fldChar w:fldCharType="end"/>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楷体" w:hAnsi="楷体" w:eastAsia="楷体" w:cs="楷体"/>
          <w:b w:val="0"/>
          <w:bCs w:val="0"/>
          <w:color w:val="auto"/>
          <w:kern w:val="2"/>
          <w:sz w:val="32"/>
          <w:szCs w:val="32"/>
          <w:lang w:val="en-US" w:eastAsia="zh-CN" w:bidi="ar-SA"/>
        </w:rPr>
        <w:t>（一）推进主动公开</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olor w:val="auto"/>
          <w:sz w:val="32"/>
          <w:szCs w:val="32"/>
          <w:lang w:eastAsia="zh-CN"/>
        </w:rPr>
      </w:pPr>
      <w:r>
        <w:rPr>
          <w:rFonts w:hint="eastAsia" w:ascii="仿宋_GB2312" w:hAnsi="仿宋_GB2312" w:eastAsia="仿宋_GB2312" w:cs="仿宋_GB2312"/>
          <w:b/>
          <w:bCs/>
          <w:color w:val="auto"/>
          <w:kern w:val="2"/>
          <w:sz w:val="32"/>
          <w:szCs w:val="32"/>
          <w:lang w:val="en-US" w:eastAsia="zh-CN" w:bidi="ar-SA"/>
        </w:rPr>
        <w:t>一是调整信息公开后台目录体系。</w:t>
      </w:r>
      <w:r>
        <w:rPr>
          <w:rFonts w:hint="eastAsia" w:ascii="仿宋_GB2312" w:eastAsia="仿宋_GB2312"/>
          <w:color w:val="auto"/>
          <w:sz w:val="32"/>
          <w:szCs w:val="32"/>
          <w:lang w:eastAsia="zh-CN"/>
        </w:rPr>
        <w:t>借机构改革</w:t>
      </w:r>
      <w:r>
        <w:rPr>
          <w:rFonts w:hint="eastAsia" w:ascii="仿宋_GB2312" w:eastAsia="仿宋_GB2312"/>
          <w:color w:val="auto"/>
          <w:sz w:val="32"/>
          <w:szCs w:val="32"/>
        </w:rPr>
        <w:t>契机，进一步明确部门职责</w:t>
      </w:r>
      <w:r>
        <w:rPr>
          <w:rFonts w:hint="eastAsia" w:ascii="仿宋_GB2312" w:eastAsia="仿宋_GB2312"/>
          <w:color w:val="auto"/>
          <w:sz w:val="32"/>
          <w:szCs w:val="32"/>
          <w:lang w:eastAsia="zh-CN"/>
        </w:rPr>
        <w:t>，</w:t>
      </w:r>
      <w:r>
        <w:rPr>
          <w:rFonts w:hint="eastAsia" w:ascii="仿宋_GB2312" w:eastAsia="仿宋_GB2312"/>
          <w:color w:val="auto"/>
          <w:sz w:val="32"/>
          <w:szCs w:val="32"/>
        </w:rPr>
        <w:t>完善多维度政府信息主动公开目录体系</w:t>
      </w:r>
      <w:r>
        <w:rPr>
          <w:rFonts w:hint="eastAsia" w:ascii="仿宋_GB2312" w:eastAsia="仿宋_GB2312"/>
          <w:color w:val="auto"/>
          <w:sz w:val="32"/>
          <w:szCs w:val="32"/>
          <w:lang w:eastAsia="zh-CN"/>
        </w:rPr>
        <w:t>，修改后多维度信息公开目录主题分类体系共</w:t>
      </w:r>
      <w:r>
        <w:rPr>
          <w:rFonts w:hint="eastAsia" w:ascii="仿宋_GB2312" w:eastAsia="仿宋_GB2312"/>
          <w:color w:val="auto"/>
          <w:sz w:val="32"/>
          <w:szCs w:val="32"/>
          <w:lang w:val="en-US" w:eastAsia="zh-CN"/>
        </w:rPr>
        <w:t>22个一级分类、110个二级分类</w:t>
      </w:r>
      <w:r>
        <w:rPr>
          <w:rFonts w:hint="eastAsia" w:ascii="仿宋_GB2312" w:eastAsia="仿宋_GB2312"/>
          <w:color w:val="auto"/>
          <w:sz w:val="32"/>
          <w:szCs w:val="32"/>
          <w:lang w:eastAsia="zh-CN"/>
        </w:rPr>
        <w:t>。</w:t>
      </w:r>
      <w:r>
        <w:rPr>
          <w:rFonts w:hint="eastAsia" w:ascii="仿宋_GB2312" w:eastAsia="仿宋_GB2312"/>
          <w:color w:val="auto"/>
          <w:sz w:val="32"/>
          <w:szCs w:val="32"/>
        </w:rPr>
        <w:t>全区</w:t>
      </w:r>
      <w:r>
        <w:rPr>
          <w:rFonts w:hint="eastAsia" w:ascii="仿宋_GB2312" w:eastAsia="仿宋_GB2312"/>
          <w:color w:val="auto"/>
          <w:sz w:val="32"/>
          <w:szCs w:val="32"/>
          <w:lang w:val="en-US" w:eastAsia="zh-CN"/>
        </w:rPr>
        <w:t>52</w:t>
      </w:r>
      <w:r>
        <w:rPr>
          <w:rFonts w:hint="eastAsia" w:ascii="仿宋_GB2312" w:eastAsia="仿宋_GB2312"/>
          <w:color w:val="auto"/>
          <w:sz w:val="32"/>
          <w:szCs w:val="32"/>
        </w:rPr>
        <w:t>个政府信息公开责任单位通过</w:t>
      </w:r>
      <w:r>
        <w:rPr>
          <w:rFonts w:hint="eastAsia" w:ascii="仿宋_GB2312" w:eastAsia="仿宋_GB2312"/>
          <w:color w:val="auto"/>
          <w:sz w:val="32"/>
          <w:szCs w:val="32"/>
          <w:lang w:eastAsia="zh-CN"/>
        </w:rPr>
        <w:t>瓯海区</w:t>
      </w:r>
      <w:r>
        <w:rPr>
          <w:rFonts w:hint="eastAsia" w:ascii="仿宋_GB2312" w:eastAsia="仿宋_GB2312"/>
          <w:color w:val="auto"/>
          <w:sz w:val="32"/>
          <w:szCs w:val="32"/>
        </w:rPr>
        <w:t>信息公开平台主动公开</w:t>
      </w:r>
      <w:r>
        <w:rPr>
          <w:rFonts w:hint="eastAsia" w:ascii="仿宋_GB2312" w:eastAsia="仿宋_GB2312"/>
          <w:color w:val="auto"/>
          <w:sz w:val="32"/>
          <w:szCs w:val="32"/>
          <w:lang w:eastAsia="zh-CN"/>
        </w:rPr>
        <w:t>政府</w:t>
      </w:r>
      <w:r>
        <w:rPr>
          <w:rFonts w:hint="eastAsia" w:ascii="仿宋_GB2312" w:eastAsia="仿宋_GB2312"/>
          <w:color w:val="auto"/>
          <w:sz w:val="32"/>
          <w:szCs w:val="32"/>
        </w:rPr>
        <w:t>信息</w:t>
      </w:r>
      <w:r>
        <w:rPr>
          <w:rFonts w:hint="eastAsia" w:ascii="仿宋_GB2312" w:eastAsia="仿宋_GB2312"/>
          <w:color w:val="auto"/>
          <w:sz w:val="32"/>
          <w:szCs w:val="32"/>
          <w:lang w:val="en-US" w:eastAsia="zh-CN"/>
        </w:rPr>
        <w:t>9402</w:t>
      </w:r>
      <w:r>
        <w:rPr>
          <w:rFonts w:hint="eastAsia" w:ascii="仿宋_GB2312" w:eastAsia="仿宋_GB2312"/>
          <w:color w:val="auto"/>
          <w:sz w:val="32"/>
          <w:szCs w:val="32"/>
        </w:rPr>
        <w:t>条，其中包括</w:t>
      </w:r>
      <w:r>
        <w:rPr>
          <w:rFonts w:hint="eastAsia" w:ascii="仿宋_GB2312" w:eastAsia="仿宋_GB2312"/>
          <w:color w:val="auto"/>
          <w:sz w:val="32"/>
          <w:szCs w:val="32"/>
          <w:lang w:eastAsia="zh-CN"/>
        </w:rPr>
        <w:t>区级政府信息</w:t>
      </w:r>
      <w:r>
        <w:rPr>
          <w:rFonts w:hint="eastAsia" w:ascii="仿宋_GB2312" w:eastAsia="仿宋_GB2312"/>
          <w:color w:val="auto"/>
          <w:sz w:val="32"/>
          <w:szCs w:val="32"/>
          <w:lang w:val="en-US" w:eastAsia="zh-CN"/>
        </w:rPr>
        <w:t>260条、</w:t>
      </w:r>
      <w:r>
        <w:rPr>
          <w:rFonts w:hint="eastAsia" w:ascii="仿宋_GB2312" w:eastAsia="仿宋_GB2312"/>
          <w:color w:val="auto"/>
          <w:sz w:val="32"/>
          <w:szCs w:val="32"/>
        </w:rPr>
        <w:t>规范性文件及</w:t>
      </w:r>
      <w:r>
        <w:rPr>
          <w:rFonts w:hint="eastAsia" w:ascii="仿宋_GB2312" w:eastAsia="仿宋_GB2312"/>
          <w:color w:val="auto"/>
          <w:sz w:val="32"/>
          <w:szCs w:val="32"/>
          <w:lang w:eastAsia="zh-CN"/>
        </w:rPr>
        <w:t>政策</w:t>
      </w:r>
      <w:r>
        <w:rPr>
          <w:rFonts w:hint="eastAsia" w:ascii="仿宋_GB2312" w:eastAsia="仿宋_GB2312"/>
          <w:color w:val="auto"/>
          <w:sz w:val="32"/>
          <w:szCs w:val="32"/>
        </w:rPr>
        <w:t>解读等信息共</w:t>
      </w:r>
      <w:r>
        <w:rPr>
          <w:rFonts w:hint="eastAsia" w:ascii="仿宋_GB2312" w:eastAsia="仿宋_GB2312"/>
          <w:color w:val="auto"/>
          <w:sz w:val="32"/>
          <w:szCs w:val="32"/>
          <w:lang w:val="en-US" w:eastAsia="zh-CN"/>
        </w:rPr>
        <w:t>194</w:t>
      </w:r>
      <w:r>
        <w:rPr>
          <w:rFonts w:hint="eastAsia" w:ascii="仿宋_GB2312" w:eastAsia="仿宋_GB2312"/>
          <w:color w:val="auto"/>
          <w:sz w:val="32"/>
          <w:szCs w:val="32"/>
        </w:rPr>
        <w:t>条</w:t>
      </w:r>
      <w:r>
        <w:rPr>
          <w:rFonts w:hint="eastAsia" w:ascii="仿宋_GB2312" w:eastAsia="仿宋_GB2312"/>
          <w:color w:val="auto"/>
          <w:sz w:val="32"/>
          <w:szCs w:val="32"/>
          <w:lang w:eastAsia="zh-CN"/>
        </w:rPr>
        <w:t>、</w:t>
      </w:r>
      <w:r>
        <w:rPr>
          <w:rFonts w:hint="eastAsia" w:ascii="仿宋_GB2312" w:eastAsia="仿宋_GB2312"/>
          <w:color w:val="auto"/>
          <w:sz w:val="32"/>
          <w:szCs w:val="32"/>
        </w:rPr>
        <w:t>人事任免信息</w:t>
      </w:r>
      <w:r>
        <w:rPr>
          <w:rFonts w:hint="eastAsia" w:ascii="仿宋_GB2312" w:eastAsia="仿宋_GB2312"/>
          <w:color w:val="auto"/>
          <w:sz w:val="32"/>
          <w:szCs w:val="32"/>
          <w:lang w:val="en-US" w:eastAsia="zh-CN"/>
        </w:rPr>
        <w:t>177条、重点领域信息5031条，</w:t>
      </w:r>
      <w:r>
        <w:rPr>
          <w:rFonts w:hint="eastAsia" w:ascii="仿宋_GB2312" w:eastAsia="仿宋_GB2312"/>
          <w:color w:val="auto"/>
          <w:sz w:val="32"/>
          <w:szCs w:val="32"/>
          <w:lang w:eastAsia="zh-CN"/>
        </w:rPr>
        <w:t>平台可实现信息主题、信息体裁、发布机构、发布时间等四个维度自定义组合筛选。</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1312" behindDoc="0" locked="0" layoutInCell="1" allowOverlap="1">
            <wp:simplePos x="0" y="0"/>
            <wp:positionH relativeFrom="column">
              <wp:posOffset>-21590</wp:posOffset>
            </wp:positionH>
            <wp:positionV relativeFrom="paragraph">
              <wp:posOffset>43180</wp:posOffset>
            </wp:positionV>
            <wp:extent cx="5659755" cy="5869940"/>
            <wp:effectExtent l="0" t="0" r="17145" b="16510"/>
            <wp:wrapTopAndBottom/>
            <wp:docPr id="6" name="图片 6" descr="瓯海区政府信息公开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瓯海区政府信息公开 - 副本"/>
                    <pic:cNvPicPr>
                      <a:picLocks noChangeAspect="1"/>
                    </pic:cNvPicPr>
                  </pic:nvPicPr>
                  <pic:blipFill>
                    <a:blip r:embed="rId10"/>
                    <a:srcRect l="2377"/>
                    <a:stretch>
                      <a:fillRect/>
                    </a:stretch>
                  </pic:blipFill>
                  <pic:spPr>
                    <a:xfrm>
                      <a:off x="0" y="0"/>
                      <a:ext cx="5659755" cy="5869940"/>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更新</w:t>
      </w:r>
      <w:r>
        <w:rPr>
          <w:rFonts w:hint="default" w:ascii="仿宋_GB2312" w:hAnsi="仿宋_GB2312" w:eastAsia="仿宋_GB2312" w:cs="仿宋_GB2312"/>
          <w:color w:val="auto"/>
          <w:sz w:val="24"/>
          <w:szCs w:val="24"/>
          <w:lang w:val="en-US" w:eastAsia="zh-CN"/>
        </w:rPr>
        <w:t>“多维度”政府信息主动公开目录</w:t>
      </w:r>
      <w:r>
        <w:rPr>
          <w:rFonts w:hint="eastAsia" w:ascii="仿宋_GB2312" w:hAnsi="仿宋_GB2312" w:eastAsia="仿宋_GB2312" w:cs="仿宋_GB2312"/>
          <w:color w:val="auto"/>
          <w:sz w:val="24"/>
          <w:szCs w:val="24"/>
          <w:lang w:val="en-US" w:eastAsia="zh-CN"/>
        </w:rPr>
        <w:t>，优化检索功能</w:t>
      </w:r>
    </w:p>
    <w:p>
      <w:pPr>
        <w:keepNext w:val="0"/>
        <w:keepLines w:val="0"/>
        <w:pageBreakBefore w:val="0"/>
        <w:widowControl w:val="0"/>
        <w:kinsoku/>
        <w:wordWrap/>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二是优化门户网站和政务新媒体运营。</w:t>
      </w:r>
      <w:r>
        <w:rPr>
          <w:rFonts w:hint="eastAsia" w:ascii="仿宋_GB2312" w:eastAsia="仿宋_GB2312"/>
          <w:color w:val="auto"/>
          <w:sz w:val="32"/>
          <w:szCs w:val="32"/>
          <w:lang w:val="en-US" w:eastAsia="zh-CN"/>
        </w:rPr>
        <w:t>强化</w:t>
      </w:r>
      <w:r>
        <w:rPr>
          <w:rFonts w:hint="eastAsia" w:ascii="仿宋_GB2312" w:eastAsia="仿宋_GB2312"/>
          <w:color w:val="auto"/>
          <w:sz w:val="32"/>
          <w:szCs w:val="32"/>
          <w:lang w:eastAsia="zh-CN"/>
        </w:rPr>
        <w:t>首页、政务公开、政务服务、政民互动、走进瓯海等五个主内容页规划，统一部门子页面内容，展示“五公开”“基层政务公开标准化规范化试点领域专栏”等特色专栏。门户网站作为官方平台对外发布通知公告</w:t>
      </w:r>
      <w:r>
        <w:rPr>
          <w:rFonts w:hint="eastAsia" w:ascii="仿宋_GB2312" w:eastAsia="仿宋_GB2312"/>
          <w:color w:val="auto"/>
          <w:sz w:val="32"/>
          <w:szCs w:val="32"/>
        </w:rPr>
        <w:t>类信</w:t>
      </w:r>
      <w:r>
        <w:rPr>
          <w:rFonts w:hint="eastAsia" w:ascii="仿宋_GB2312" w:eastAsia="仿宋_GB2312"/>
          <w:color w:val="auto"/>
          <w:sz w:val="32"/>
          <w:szCs w:val="32"/>
          <w:lang w:val="en-US" w:eastAsia="zh-CN"/>
        </w:rPr>
        <w:t>息299条，征求意见69期，部门自主发布信息2546条，</w:t>
      </w:r>
      <w:r>
        <w:rPr>
          <w:rFonts w:hint="eastAsia" w:ascii="仿宋_GB2312" w:eastAsia="仿宋_GB2312"/>
          <w:color w:val="auto"/>
          <w:sz w:val="32"/>
          <w:szCs w:val="32"/>
          <w:lang w:eastAsia="zh-CN"/>
        </w:rPr>
        <w:t>同源发布市场监督、价格收费、国资监管、专项经费、财政预决算、扶贫救灾等</w:t>
      </w:r>
      <w:r>
        <w:rPr>
          <w:rFonts w:hint="eastAsia" w:ascii="仿宋_GB2312" w:eastAsia="仿宋_GB2312"/>
          <w:color w:val="auto"/>
          <w:sz w:val="32"/>
          <w:szCs w:val="32"/>
          <w:lang w:val="en-US" w:eastAsia="zh-CN"/>
        </w:rPr>
        <w:t>21个重点领域信息以及</w:t>
      </w:r>
      <w:r>
        <w:rPr>
          <w:rFonts w:hint="eastAsia" w:ascii="仿宋_GB2312" w:eastAsia="仿宋_GB2312"/>
          <w:color w:val="auto"/>
          <w:sz w:val="32"/>
          <w:szCs w:val="32"/>
          <w:lang w:eastAsia="zh-CN"/>
        </w:rPr>
        <w:t>政府人事、政策文件等内容，</w:t>
      </w:r>
      <w:r>
        <w:rPr>
          <w:rFonts w:hint="eastAsia" w:ascii="仿宋_GB2312" w:eastAsia="仿宋_GB2312"/>
          <w:color w:val="auto"/>
          <w:sz w:val="32"/>
          <w:szCs w:val="32"/>
          <w:lang w:val="en-US" w:eastAsia="zh-CN"/>
        </w:rPr>
        <w:t>链接展示重大建设项目2019年150个项目全流程8大类信息，跳转瓯海区公共资源交易网对外公示各类工程建设、政府采购、国有产权交易、国企采购、综合交易、小额工程交易信息2680条。</w:t>
      </w:r>
      <w:r>
        <w:rPr>
          <w:rFonts w:hint="eastAsia" w:ascii="仿宋_GB2312" w:eastAsia="仿宋_GB2312" w:cstheme="minorBidi"/>
          <w:color w:val="auto"/>
          <w:kern w:val="2"/>
          <w:sz w:val="32"/>
          <w:szCs w:val="32"/>
          <w:lang w:val="en-US" w:eastAsia="zh-CN" w:bidi="ar-SA"/>
        </w:rPr>
        <w:t>开设“瓯海发布”两微官方账号，政务微博全年发布1526条、关注量达22037人次，政务微信公众号全年发布996条、订阅量达123605。</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3360" behindDoc="0" locked="0" layoutInCell="1" allowOverlap="1">
            <wp:simplePos x="0" y="0"/>
            <wp:positionH relativeFrom="column">
              <wp:posOffset>-138430</wp:posOffset>
            </wp:positionH>
            <wp:positionV relativeFrom="paragraph">
              <wp:posOffset>5715</wp:posOffset>
            </wp:positionV>
            <wp:extent cx="6088380" cy="2954020"/>
            <wp:effectExtent l="0" t="0" r="7620" b="17780"/>
            <wp:wrapTopAndBottom/>
            <wp:docPr id="9" name="图片 9" descr="重点+资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重点+资源"/>
                    <pic:cNvPicPr>
                      <a:picLocks noChangeAspect="1"/>
                    </pic:cNvPicPr>
                  </pic:nvPicPr>
                  <pic:blipFill>
                    <a:blip r:embed="rId11"/>
                    <a:srcRect l="4173" b="1320"/>
                    <a:stretch>
                      <a:fillRect/>
                    </a:stretch>
                  </pic:blipFill>
                  <pic:spPr>
                    <a:xfrm>
                      <a:off x="0" y="0"/>
                      <a:ext cx="6088380" cy="2954020"/>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重大建设项目、瓯海区公共资源交易网页面</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2336" behindDoc="0" locked="0" layoutInCell="1" allowOverlap="1">
            <wp:simplePos x="0" y="0"/>
            <wp:positionH relativeFrom="column">
              <wp:posOffset>4445</wp:posOffset>
            </wp:positionH>
            <wp:positionV relativeFrom="paragraph">
              <wp:posOffset>-48260</wp:posOffset>
            </wp:positionV>
            <wp:extent cx="5606415" cy="4832985"/>
            <wp:effectExtent l="0" t="0" r="13335" b="5715"/>
            <wp:wrapTopAndBottom/>
            <wp:docPr id="8" name="图片 8" descr="瓯海区政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瓯海区政府"/>
                    <pic:cNvPicPr>
                      <a:picLocks noChangeAspect="1"/>
                    </pic:cNvPicPr>
                  </pic:nvPicPr>
                  <pic:blipFill>
                    <a:blip r:embed="rId12"/>
                    <a:srcRect l="10532" t="44571" r="10624" b="9134"/>
                    <a:stretch>
                      <a:fillRect/>
                    </a:stretch>
                  </pic:blipFill>
                  <pic:spPr>
                    <a:xfrm>
                      <a:off x="0" y="0"/>
                      <a:ext cx="5606415" cy="4832985"/>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门户网站首页布局</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default" w:ascii="仿宋_GB2312" w:hAnsi="仿宋_GB2312" w:eastAsia="仿宋_GB2312"/>
          <w:color w:val="auto"/>
          <w:sz w:val="32"/>
          <w:shd w:val="clear" w:color="auto" w:fill="FFFFFF"/>
          <w:lang w:val="en-US" w:eastAsia="zh-CN"/>
        </w:rPr>
      </w:pPr>
      <w:r>
        <w:rPr>
          <w:rFonts w:hint="eastAsia" w:ascii="仿宋_GB2312" w:hAnsi="仿宋_GB2312" w:eastAsia="仿宋_GB2312" w:cs="仿宋_GB2312"/>
          <w:b/>
          <w:bCs/>
          <w:color w:val="auto"/>
          <w:kern w:val="2"/>
          <w:sz w:val="32"/>
          <w:szCs w:val="32"/>
          <w:lang w:val="en-US" w:eastAsia="zh-CN" w:bidi="ar-SA"/>
        </w:rPr>
        <w:t>三是加强政务服务公开。</w:t>
      </w:r>
      <w:r>
        <w:rPr>
          <w:rFonts w:hint="eastAsia" w:ascii="仿宋_GB2312" w:eastAsia="仿宋_GB2312"/>
          <w:color w:val="auto"/>
          <w:sz w:val="32"/>
          <w:szCs w:val="32"/>
          <w:lang w:val="en-US" w:eastAsia="zh-CN"/>
        </w:rPr>
        <w:t>浙江省政务服务网</w:t>
      </w:r>
      <w:r>
        <w:rPr>
          <w:rFonts w:hint="eastAsia" w:ascii="仿宋_GB2312" w:eastAsia="仿宋_GB2312"/>
          <w:color w:val="auto"/>
          <w:sz w:val="32"/>
          <w:szCs w:val="32"/>
          <w:lang w:eastAsia="zh-CN"/>
        </w:rPr>
        <w:t>瓯海站点统一对外公开服务清单，包括政务服务清单、公共服务清单、收费清单、</w:t>
      </w:r>
      <w:r>
        <w:rPr>
          <w:rFonts w:hint="eastAsia" w:ascii="仿宋_GB2312" w:eastAsia="仿宋_GB2312"/>
          <w:color w:val="auto"/>
          <w:sz w:val="32"/>
          <w:szCs w:val="32"/>
          <w:lang w:val="en-US" w:eastAsia="zh-CN"/>
        </w:rPr>
        <w:t>全省统一</w:t>
      </w:r>
      <w:r>
        <w:rPr>
          <w:rFonts w:hint="eastAsia" w:ascii="仿宋_GB2312" w:eastAsia="仿宋_GB2312"/>
          <w:color w:val="auto"/>
          <w:sz w:val="32"/>
          <w:szCs w:val="32"/>
          <w:lang w:eastAsia="zh-CN"/>
        </w:rPr>
        <w:t>中介清单、</w:t>
      </w:r>
      <w:r>
        <w:rPr>
          <w:rFonts w:hint="eastAsia" w:ascii="仿宋_GB2312" w:eastAsia="仿宋_GB2312"/>
          <w:color w:val="auto"/>
          <w:sz w:val="32"/>
          <w:szCs w:val="32"/>
          <w:lang w:val="en-US" w:eastAsia="zh-CN"/>
        </w:rPr>
        <w:t>2份</w:t>
      </w:r>
      <w:r>
        <w:rPr>
          <w:rFonts w:hint="eastAsia" w:ascii="仿宋_GB2312" w:eastAsia="仿宋_GB2312"/>
          <w:color w:val="auto"/>
          <w:sz w:val="32"/>
          <w:szCs w:val="32"/>
          <w:lang w:eastAsia="zh-CN"/>
        </w:rPr>
        <w:t>其他清单。持续加强行政执法信息公示，</w:t>
      </w:r>
      <w:r>
        <w:rPr>
          <w:rFonts w:hint="eastAsia" w:ascii="仿宋_GB2312" w:eastAsia="仿宋_GB2312"/>
          <w:color w:val="auto"/>
          <w:sz w:val="32"/>
          <w:szCs w:val="32"/>
          <w:lang w:val="en-US" w:eastAsia="zh-CN"/>
        </w:rPr>
        <w:t>全年共在</w:t>
      </w:r>
      <w:r>
        <w:rPr>
          <w:rFonts w:hint="eastAsia" w:ascii="仿宋_GB2312" w:eastAsia="仿宋_GB2312"/>
          <w:color w:val="auto"/>
          <w:sz w:val="32"/>
          <w:szCs w:val="32"/>
          <w:lang w:eastAsia="zh-CN"/>
        </w:rPr>
        <w:t>行政处罚结果信息公开系统对</w:t>
      </w:r>
      <w:r>
        <w:rPr>
          <w:rFonts w:hint="eastAsia" w:ascii="仿宋_GB2312" w:eastAsia="仿宋_GB2312"/>
          <w:color w:val="auto"/>
          <w:sz w:val="32"/>
          <w:szCs w:val="32"/>
          <w:lang w:val="en-US" w:eastAsia="zh-CN"/>
        </w:rPr>
        <w:t>9124条行政处罚信息进行公示</w:t>
      </w:r>
      <w:r>
        <w:rPr>
          <w:rFonts w:hint="eastAsia" w:ascii="仿宋_GB2312" w:eastAsia="仿宋_GB2312"/>
          <w:color w:val="auto"/>
          <w:sz w:val="32"/>
          <w:szCs w:val="32"/>
          <w:lang w:eastAsia="zh-CN"/>
        </w:rPr>
        <w:t>，其中处罚对象为</w:t>
      </w:r>
      <w:r>
        <w:rPr>
          <w:rFonts w:hint="eastAsia" w:ascii="仿宋_GB2312" w:eastAsia="仿宋_GB2312"/>
          <w:color w:val="auto"/>
          <w:sz w:val="32"/>
          <w:szCs w:val="32"/>
          <w:lang w:val="en-US" w:eastAsia="zh-CN"/>
        </w:rPr>
        <w:t>个人的记录7284条，法人1802条，其他38条。</w:t>
      </w:r>
      <w:r>
        <w:rPr>
          <w:rFonts w:hint="eastAsia" w:ascii="仿宋_GB2312" w:hAnsi="仿宋_GB2312" w:eastAsia="仿宋_GB2312"/>
          <w:color w:val="auto"/>
          <w:sz w:val="32"/>
        </w:rPr>
        <w:t>“</w:t>
      </w:r>
      <w:r>
        <w:rPr>
          <w:rFonts w:hint="eastAsia" w:ascii="仿宋_GB2312" w:hAnsi="仿宋_GB2312" w:eastAsia="仿宋_GB2312" w:cs="Times New Roman"/>
          <w:color w:val="auto"/>
          <w:kern w:val="0"/>
          <w:sz w:val="32"/>
          <w:szCs w:val="24"/>
          <w:lang w:val="en-US" w:eastAsia="zh-CN" w:bidi="ar-SA"/>
        </w:rPr>
        <w:t>网上虚拟办事大厅”可</w:t>
      </w:r>
      <w:r>
        <w:rPr>
          <w:rFonts w:hint="eastAsia" w:ascii="仿宋_GB2312" w:hAnsi="仿宋_GB2312" w:eastAsia="仿宋_GB2312"/>
          <w:color w:val="auto"/>
          <w:sz w:val="32"/>
        </w:rPr>
        <w:t>实现</w:t>
      </w:r>
      <w:r>
        <w:rPr>
          <w:rFonts w:hint="eastAsia" w:ascii="仿宋_GB2312" w:hAnsi="仿宋_GB2312" w:eastAsia="仿宋_GB2312" w:cs="Times New Roman"/>
          <w:color w:val="auto"/>
          <w:kern w:val="0"/>
          <w:sz w:val="32"/>
          <w:szCs w:val="24"/>
          <w:lang w:val="en-US" w:eastAsia="zh-CN" w:bidi="ar-SA"/>
        </w:rPr>
        <w:t>政务服务全流程公开查询，实现194项审批事项可自助申报、查询和打印</w:t>
      </w:r>
      <w:r>
        <w:rPr>
          <w:rFonts w:hint="eastAsia" w:ascii="仿宋_GB2312" w:hAnsi="仿宋_GB2312" w:eastAsia="仿宋_GB2312"/>
          <w:color w:val="auto"/>
          <w:sz w:val="32"/>
        </w:rPr>
        <w:t>，2901个政务服务事项“办事前、办事中、办事后”全公开</w:t>
      </w:r>
      <w:r>
        <w:rPr>
          <w:rFonts w:hint="eastAsia" w:ascii="仿宋_GB2312" w:hAnsi="仿宋_GB2312" w:eastAsia="仿宋_GB2312"/>
          <w:color w:val="auto"/>
          <w:sz w:val="32"/>
          <w:shd w:val="clear" w:color="auto" w:fill="FFFFFF"/>
        </w:rPr>
        <w:t>，</w:t>
      </w:r>
      <w:r>
        <w:rPr>
          <w:rFonts w:hint="eastAsia" w:ascii="仿宋_GB2312" w:hAnsi="仿宋_GB2312" w:eastAsia="仿宋_GB2312"/>
          <w:color w:val="auto"/>
          <w:sz w:val="32"/>
          <w:shd w:val="clear" w:color="auto" w:fill="FFFFFF"/>
          <w:lang w:eastAsia="zh-CN"/>
        </w:rPr>
        <w:t>可查询</w:t>
      </w:r>
      <w:r>
        <w:rPr>
          <w:rFonts w:hint="eastAsia" w:ascii="仿宋_GB2312" w:hAnsi="仿宋_GB2312" w:eastAsia="仿宋_GB2312"/>
          <w:color w:val="auto"/>
          <w:sz w:val="32"/>
          <w:shd w:val="clear" w:color="auto" w:fill="FFFFFF"/>
        </w:rPr>
        <w:t>事项数</w:t>
      </w:r>
      <w:r>
        <w:rPr>
          <w:rFonts w:hint="eastAsia" w:ascii="仿宋_GB2312" w:hAnsi="仿宋_GB2312" w:eastAsia="仿宋_GB2312"/>
          <w:color w:val="auto"/>
          <w:sz w:val="32"/>
          <w:shd w:val="clear" w:color="auto" w:fill="FFFFFF"/>
          <w:lang w:val="en-US" w:eastAsia="zh-CN"/>
        </w:rPr>
        <w:t xml:space="preserve"> </w:t>
      </w:r>
      <w:r>
        <w:rPr>
          <w:rFonts w:hint="eastAsia" w:ascii="仿宋_GB2312" w:hAnsi="仿宋_GB2312" w:eastAsia="仿宋_GB2312"/>
          <w:color w:val="auto"/>
          <w:sz w:val="32"/>
          <w:shd w:val="clear" w:color="auto" w:fill="FFFFFF"/>
        </w:rPr>
        <w:t>量较2018年</w:t>
      </w:r>
      <w:r>
        <w:rPr>
          <w:rFonts w:hint="eastAsia" w:ascii="仿宋_GB2312" w:hAnsi="仿宋_GB2312" w:eastAsia="仿宋_GB2312"/>
          <w:color w:val="auto"/>
          <w:sz w:val="32"/>
        </w:rPr>
        <w:t>翻了一番</w:t>
      </w:r>
      <w:r>
        <w:rPr>
          <w:rFonts w:hint="eastAsia" w:ascii="仿宋_GB2312" w:hAnsi="仿宋_GB2312" w:eastAsia="仿宋_GB2312"/>
          <w:color w:val="auto"/>
          <w:sz w:val="32"/>
          <w:shd w:val="clear" w:color="auto" w:fill="FFFFFF"/>
        </w:rPr>
        <w:t>。</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4384" behindDoc="0" locked="0" layoutInCell="1" allowOverlap="1">
            <wp:simplePos x="0" y="0"/>
            <wp:positionH relativeFrom="column">
              <wp:posOffset>-18415</wp:posOffset>
            </wp:positionH>
            <wp:positionV relativeFrom="paragraph">
              <wp:posOffset>41275</wp:posOffset>
            </wp:positionV>
            <wp:extent cx="5681980" cy="3114675"/>
            <wp:effectExtent l="0" t="0" r="13970" b="9525"/>
            <wp:wrapTopAndBottom/>
            <wp:docPr id="11" name="图片 11" descr="瓯海网上办事大厅-浙江政务服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瓯海网上办事大厅-浙江政务服务网"/>
                    <pic:cNvPicPr>
                      <a:picLocks noChangeAspect="1"/>
                    </pic:cNvPicPr>
                  </pic:nvPicPr>
                  <pic:blipFill>
                    <a:blip r:embed="rId13"/>
                    <a:srcRect r="14588"/>
                    <a:stretch>
                      <a:fillRect/>
                    </a:stretch>
                  </pic:blipFill>
                  <pic:spPr>
                    <a:xfrm>
                      <a:off x="0" y="0"/>
                      <a:ext cx="5681980" cy="3114675"/>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瓯海网上办事大厅（依托浙江政务服务网）</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楷体" w:hAnsi="楷体" w:eastAsia="楷体" w:cs="楷体"/>
          <w:b w:val="0"/>
          <w:bCs w:val="0"/>
          <w:color w:val="auto"/>
          <w:kern w:val="2"/>
          <w:sz w:val="32"/>
          <w:szCs w:val="32"/>
          <w:lang w:val="en-US" w:eastAsia="zh-CN" w:bidi="ar-SA"/>
        </w:rPr>
        <w:t>（二）优化依申请公开工作</w:t>
      </w:r>
    </w:p>
    <w:p>
      <w:pPr>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right="0" w:rightChars="0" w:firstLine="643" w:firstLineChars="200"/>
        <w:jc w:val="both"/>
        <w:textAlignment w:val="auto"/>
        <w:rPr>
          <w:rFonts w:hint="eastAsia" w:ascii="仿宋_GB2312" w:eastAsia="仿宋_GB2312"/>
          <w:color w:val="auto"/>
          <w:sz w:val="32"/>
          <w:szCs w:val="32"/>
          <w:lang w:eastAsia="zh-CN"/>
        </w:rPr>
      </w:pPr>
      <w:r>
        <w:rPr>
          <w:rFonts w:hint="eastAsia" w:ascii="仿宋_GB2312" w:hAnsi="仿宋_GB2312" w:eastAsia="仿宋_GB2312" w:cs="仿宋_GB2312"/>
          <w:b/>
          <w:bCs/>
          <w:color w:val="auto"/>
          <w:kern w:val="2"/>
          <w:sz w:val="32"/>
          <w:szCs w:val="32"/>
          <w:lang w:val="en-US" w:eastAsia="zh-CN" w:bidi="ar-SA"/>
        </w:rPr>
        <w:t>一是做好依申请件受理工作。</w:t>
      </w:r>
      <w:r>
        <w:rPr>
          <w:rFonts w:hint="eastAsia" w:ascii="仿宋_GB2312" w:eastAsia="仿宋_GB2312"/>
          <w:color w:val="auto"/>
          <w:sz w:val="32"/>
          <w:szCs w:val="32"/>
        </w:rPr>
        <w:t>201</w:t>
      </w:r>
      <w:r>
        <w:rPr>
          <w:rFonts w:hint="eastAsia" w:ascii="仿宋_GB2312" w:eastAsia="仿宋_GB2312"/>
          <w:color w:val="auto"/>
          <w:sz w:val="32"/>
          <w:szCs w:val="32"/>
          <w:lang w:val="en-US" w:eastAsia="zh-CN"/>
        </w:rPr>
        <w:t>9</w:t>
      </w:r>
      <w:r>
        <w:rPr>
          <w:rFonts w:hint="eastAsia" w:ascii="仿宋_GB2312" w:eastAsia="仿宋_GB2312"/>
          <w:color w:val="auto"/>
          <w:sz w:val="32"/>
          <w:szCs w:val="32"/>
        </w:rPr>
        <w:t>年</w:t>
      </w:r>
      <w:r>
        <w:rPr>
          <w:rFonts w:hint="eastAsia" w:ascii="仿宋_GB2312" w:eastAsia="仿宋_GB2312"/>
          <w:color w:val="auto"/>
          <w:sz w:val="32"/>
          <w:szCs w:val="32"/>
          <w:lang w:eastAsia="zh-CN"/>
        </w:rPr>
        <w:t>，</w:t>
      </w:r>
      <w:r>
        <w:rPr>
          <w:rFonts w:hint="eastAsia" w:ascii="仿宋_GB2312" w:eastAsia="仿宋_GB2312"/>
          <w:color w:val="auto"/>
          <w:sz w:val="32"/>
          <w:szCs w:val="32"/>
        </w:rPr>
        <w:t>全区各信息公开责任单位</w:t>
      </w:r>
      <w:r>
        <w:rPr>
          <w:rFonts w:hint="eastAsia" w:ascii="仿宋_GB2312" w:eastAsia="仿宋_GB2312"/>
          <w:color w:val="auto"/>
          <w:sz w:val="32"/>
          <w:szCs w:val="32"/>
          <w:lang w:eastAsia="zh-CN"/>
        </w:rPr>
        <w:t>共</w:t>
      </w:r>
      <w:r>
        <w:rPr>
          <w:rFonts w:hint="eastAsia" w:ascii="仿宋_GB2312" w:eastAsia="仿宋_GB2312"/>
          <w:color w:val="auto"/>
          <w:sz w:val="32"/>
          <w:szCs w:val="32"/>
        </w:rPr>
        <w:t>受理</w:t>
      </w:r>
      <w:r>
        <w:rPr>
          <w:rFonts w:hint="eastAsia" w:ascii="仿宋_GB2312" w:eastAsia="仿宋_GB2312"/>
          <w:color w:val="auto"/>
          <w:sz w:val="32"/>
          <w:szCs w:val="32"/>
          <w:lang w:eastAsia="zh-CN"/>
        </w:rPr>
        <w:t>政府信息公开申请</w:t>
      </w:r>
      <w:r>
        <w:rPr>
          <w:rFonts w:hint="eastAsia" w:ascii="仿宋_GB2312" w:eastAsia="仿宋_GB2312"/>
          <w:color w:val="auto"/>
          <w:sz w:val="32"/>
          <w:szCs w:val="32"/>
          <w:lang w:val="en-US" w:eastAsia="zh-CN"/>
        </w:rPr>
        <w:t>1482</w:t>
      </w:r>
      <w:r>
        <w:rPr>
          <w:rFonts w:hint="eastAsia" w:ascii="仿宋_GB2312" w:eastAsia="仿宋_GB2312"/>
          <w:color w:val="auto"/>
          <w:sz w:val="32"/>
          <w:szCs w:val="32"/>
        </w:rPr>
        <w:t>件</w:t>
      </w:r>
      <w:r>
        <w:rPr>
          <w:rFonts w:hint="eastAsia" w:ascii="仿宋_GB2312" w:eastAsia="仿宋_GB2312"/>
          <w:color w:val="auto"/>
          <w:sz w:val="32"/>
          <w:szCs w:val="32"/>
          <w:lang w:eastAsia="zh-CN"/>
        </w:rPr>
        <w:t>，</w:t>
      </w:r>
      <w:r>
        <w:rPr>
          <w:rFonts w:hint="eastAsia" w:ascii="仿宋_GB2312" w:eastAsia="仿宋_GB2312"/>
          <w:color w:val="auto"/>
          <w:sz w:val="32"/>
          <w:szCs w:val="32"/>
          <w:lang w:val="en-US" w:eastAsia="zh-CN"/>
        </w:rPr>
        <w:t>同比增长近260.6%。其中，瓯海区人民政府受理政府信息公开申请161件，同比增幅超100%；区政府房屋土地征收服务中心共受理98件，同比增长476%；区自然资源和规划分局共受理609件，较机构改革前同比增长246%。从申请内容看，主要集中在征地补偿、拆迁安置、城建规划、“三改一拆”等领域；从申请人类型看，提请申请对象以自然人为主，共1215件，占总数82.0%，且</w:t>
      </w:r>
      <w:r>
        <w:rPr>
          <w:rFonts w:hint="eastAsia" w:ascii="仿宋_GB2312" w:eastAsia="仿宋_GB2312"/>
          <w:color w:val="auto"/>
          <w:sz w:val="32"/>
          <w:szCs w:val="32"/>
          <w:lang w:eastAsia="zh-CN"/>
        </w:rPr>
        <w:t>本年度受理的</w:t>
      </w:r>
      <w:r>
        <w:rPr>
          <w:rFonts w:hint="eastAsia" w:ascii="仿宋_GB2312" w:eastAsia="仿宋_GB2312"/>
          <w:color w:val="auto"/>
          <w:sz w:val="32"/>
          <w:szCs w:val="32"/>
        </w:rPr>
        <w:t>由律师代理的情况明显增多</w:t>
      </w:r>
      <w:r>
        <w:rPr>
          <w:rFonts w:hint="eastAsia" w:ascii="仿宋_GB2312" w:eastAsia="仿宋_GB2312"/>
          <w:color w:val="auto"/>
          <w:sz w:val="32"/>
          <w:szCs w:val="32"/>
          <w:lang w:eastAsia="zh-CN"/>
        </w:rPr>
        <w:t>，全区各单位均有受理第三方测试申请。</w:t>
      </w:r>
    </w:p>
    <w:p>
      <w:pPr>
        <w:keepNext w:val="0"/>
        <w:keepLines w:val="0"/>
        <w:pageBreakBefore w:val="0"/>
        <w:widowControl/>
        <w:numPr>
          <w:ilvl w:val="0"/>
          <w:numId w:val="0"/>
        </w:numPr>
        <w:kinsoku/>
        <w:wordWrap/>
        <w:overflowPunct/>
        <w:topLinePunct w:val="0"/>
        <w:autoSpaceDE/>
        <w:autoSpaceDN/>
        <w:bidi w:val="0"/>
        <w:adjustRightInd/>
        <w:snapToGrid/>
        <w:spacing w:line="576" w:lineRule="exact"/>
        <w:ind w:right="0" w:rightChars="0" w:firstLine="643" w:firstLineChars="200"/>
        <w:jc w:val="both"/>
        <w:textAlignment w:val="auto"/>
        <w:rPr>
          <w:rFonts w:hint="eastAsia" w:ascii="仿宋_GB2312" w:eastAsia="仿宋_GB2312"/>
          <w:color w:val="auto"/>
          <w:sz w:val="32"/>
          <w:szCs w:val="32"/>
          <w:lang w:val="en-US" w:eastAsia="zh-CN"/>
        </w:rPr>
      </w:pPr>
      <w:r>
        <w:rPr>
          <w:rFonts w:hint="eastAsia" w:ascii="仿宋_GB2312" w:hAnsi="仿宋_GB2312" w:eastAsia="仿宋_GB2312" w:cs="仿宋_GB2312"/>
          <w:b/>
          <w:bCs/>
          <w:color w:val="auto"/>
          <w:kern w:val="2"/>
          <w:sz w:val="32"/>
          <w:szCs w:val="32"/>
          <w:lang w:val="en-US" w:eastAsia="zh-CN" w:bidi="ar-SA"/>
        </w:rPr>
        <w:drawing>
          <wp:anchor distT="0" distB="0" distL="114300" distR="114300" simplePos="0" relativeHeight="251667456" behindDoc="0" locked="0" layoutInCell="1" allowOverlap="1">
            <wp:simplePos x="0" y="0"/>
            <wp:positionH relativeFrom="column">
              <wp:posOffset>40005</wp:posOffset>
            </wp:positionH>
            <wp:positionV relativeFrom="paragraph">
              <wp:posOffset>5944870</wp:posOffset>
            </wp:positionV>
            <wp:extent cx="5612130" cy="2311400"/>
            <wp:effectExtent l="0" t="0" r="7620" b="12700"/>
            <wp:wrapTopAndBottom/>
            <wp:docPr id="7" name="图片 7" descr="法律顾问_meitu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法律顾问_meitu_1"/>
                    <pic:cNvPicPr>
                      <a:picLocks noChangeAspect="1"/>
                    </pic:cNvPicPr>
                  </pic:nvPicPr>
                  <pic:blipFill>
                    <a:blip r:embed="rId14"/>
                    <a:stretch>
                      <a:fillRect/>
                    </a:stretch>
                  </pic:blipFill>
                  <pic:spPr>
                    <a:xfrm>
                      <a:off x="0" y="0"/>
                      <a:ext cx="5612130" cy="2311400"/>
                    </a:xfrm>
                    <a:prstGeom prst="rect">
                      <a:avLst/>
                    </a:prstGeom>
                  </pic:spPr>
                </pic:pic>
              </a:graphicData>
            </a:graphic>
          </wp:anchor>
        </w:drawing>
      </w:r>
      <w:r>
        <w:rPr>
          <w:rFonts w:hint="eastAsia" w:ascii="仿宋_GB2312" w:hAnsi="仿宋_GB2312" w:eastAsia="仿宋_GB2312" w:cs="仿宋_GB2312"/>
          <w:b/>
          <w:bCs/>
          <w:color w:val="auto"/>
          <w:kern w:val="2"/>
          <w:sz w:val="32"/>
          <w:szCs w:val="32"/>
          <w:lang w:val="en-US" w:eastAsia="zh-CN" w:bidi="ar-SA"/>
        </w:rPr>
        <w:drawing>
          <wp:anchor distT="0" distB="0" distL="114300" distR="114300" simplePos="0" relativeHeight="251665408" behindDoc="0" locked="0" layoutInCell="1" allowOverlap="1">
            <wp:simplePos x="0" y="0"/>
            <wp:positionH relativeFrom="column">
              <wp:posOffset>-174625</wp:posOffset>
            </wp:positionH>
            <wp:positionV relativeFrom="paragraph">
              <wp:posOffset>-42545</wp:posOffset>
            </wp:positionV>
            <wp:extent cx="5965190" cy="3342640"/>
            <wp:effectExtent l="0" t="0" r="16510" b="10160"/>
            <wp:wrapTopAndBottom/>
            <wp:docPr id="14" name="图片 14" descr="依申请公开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依申请公开分析"/>
                    <pic:cNvPicPr>
                      <a:picLocks noChangeAspect="1"/>
                    </pic:cNvPicPr>
                  </pic:nvPicPr>
                  <pic:blipFill>
                    <a:blip r:embed="rId15"/>
                    <a:stretch>
                      <a:fillRect/>
                    </a:stretch>
                  </pic:blipFill>
                  <pic:spPr>
                    <a:xfrm>
                      <a:off x="0" y="0"/>
                      <a:ext cx="5965190" cy="3342640"/>
                    </a:xfrm>
                    <a:prstGeom prst="rect">
                      <a:avLst/>
                    </a:prstGeom>
                  </pic:spPr>
                </pic:pic>
              </a:graphicData>
            </a:graphic>
          </wp:anchor>
        </w:drawing>
      </w:r>
      <w:r>
        <w:rPr>
          <w:rFonts w:hint="eastAsia" w:ascii="仿宋_GB2312" w:hAnsi="仿宋_GB2312" w:eastAsia="仿宋_GB2312" w:cs="仿宋_GB2312"/>
          <w:b/>
          <w:bCs/>
          <w:color w:val="auto"/>
          <w:kern w:val="2"/>
          <w:sz w:val="32"/>
          <w:szCs w:val="32"/>
          <w:lang w:val="en-US" w:eastAsia="zh-CN" w:bidi="ar-SA"/>
        </w:rPr>
        <w:t>二是明确依申请公开法制审查、协调制度。</w:t>
      </w:r>
      <w:r>
        <w:rPr>
          <w:rFonts w:hint="eastAsia" w:ascii="仿宋_GB2312" w:eastAsia="仿宋_GB2312"/>
          <w:color w:val="auto"/>
          <w:sz w:val="32"/>
          <w:szCs w:val="32"/>
          <w:lang w:val="en-US" w:eastAsia="zh-CN"/>
        </w:rPr>
        <w:t>由区司法局负责区政府的政府信息公开申请答复的法制审查以及后期可能带来的行政复议、行政诉讼等工作，各信息公开责任单位的依申请公开工作由单位法律顾问负责。建立疑难案件协调会机制，由区政府分管领导（或委托区府办分管副主任）牵头，区政府、区法院、区司法局（行政复议局）以及相关单位共同参与案件审查，2019年共召开2次相关协调会。</w:t>
      </w:r>
    </w:p>
    <w:p>
      <w:pPr>
        <w:keepNext w:val="0"/>
        <w:keepLines w:val="0"/>
        <w:pageBreakBefore w:val="0"/>
        <w:widowControl/>
        <w:numPr>
          <w:ilvl w:val="0"/>
          <w:numId w:val="0"/>
        </w:numPr>
        <w:kinsoku/>
        <w:wordWrap w:val="0"/>
        <w:overflowPunct/>
        <w:topLinePunct w:val="0"/>
        <w:autoSpaceDE/>
        <w:autoSpaceDN/>
        <w:bidi w:val="0"/>
        <w:adjustRightInd/>
        <w:snapToGrid/>
        <w:spacing w:line="576" w:lineRule="exact"/>
        <w:ind w:right="0" w:rightChars="0" w:firstLine="643"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三是试行在线审查机制。</w:t>
      </w:r>
      <w:r>
        <w:rPr>
          <w:rFonts w:hint="eastAsia" w:ascii="仿宋_GB2312" w:eastAsia="仿宋_GB2312"/>
          <w:color w:val="auto"/>
          <w:sz w:val="32"/>
          <w:szCs w:val="32"/>
          <w:lang w:val="en-US" w:eastAsia="zh-CN"/>
        </w:rPr>
        <w:t>区政府试行开通政府信息公开申请内部在线审查，依托“浙政钉”在线审批功能实现“区政府-区司法局-区政府”路径的司法审查，减少审核过程中的线下流程。2019年共在线完成40余件依申请公开件审查工作，低成本解决了因办公场所、时间限制造成的审查滞后等问题。</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9504" behindDoc="0" locked="0" layoutInCell="1" allowOverlap="1">
            <wp:simplePos x="0" y="0"/>
            <wp:positionH relativeFrom="column">
              <wp:posOffset>3175</wp:posOffset>
            </wp:positionH>
            <wp:positionV relativeFrom="paragraph">
              <wp:posOffset>56515</wp:posOffset>
            </wp:positionV>
            <wp:extent cx="5609590" cy="3997960"/>
            <wp:effectExtent l="0" t="0" r="10160" b="2540"/>
            <wp:wrapTopAndBottom/>
            <wp:docPr id="13" name="图片 13" descr="在线审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在线审查"/>
                    <pic:cNvPicPr>
                      <a:picLocks noChangeAspect="1"/>
                    </pic:cNvPicPr>
                  </pic:nvPicPr>
                  <pic:blipFill>
                    <a:blip r:embed="rId16"/>
                    <a:stretch>
                      <a:fillRect/>
                    </a:stretch>
                  </pic:blipFill>
                  <pic:spPr>
                    <a:xfrm>
                      <a:off x="0" y="0"/>
                      <a:ext cx="5609590" cy="3997960"/>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依申请公开政府信息法制在线审查联系单</w:t>
      </w:r>
    </w:p>
    <w:p>
      <w:pPr>
        <w:keepNext w:val="0"/>
        <w:keepLines w:val="0"/>
        <w:pageBreakBefore w:val="0"/>
        <w:widowControl/>
        <w:numPr>
          <w:ilvl w:val="0"/>
          <w:numId w:val="0"/>
        </w:numPr>
        <w:kinsoku/>
        <w:wordWrap w:val="0"/>
        <w:overflowPunct/>
        <w:topLinePunct w:val="0"/>
        <w:autoSpaceDE/>
        <w:autoSpaceDN/>
        <w:bidi w:val="0"/>
        <w:adjustRightInd/>
        <w:snapToGrid/>
        <w:spacing w:line="576" w:lineRule="exact"/>
        <w:ind w:right="0" w:rightChars="0" w:firstLine="643" w:firstLineChars="200"/>
        <w:jc w:val="both"/>
        <w:textAlignment w:val="auto"/>
        <w:rPr>
          <w:rFonts w:hint="eastAsia" w:ascii="仿宋_GB2312" w:eastAsia="仿宋_GB2312"/>
          <w:color w:val="auto"/>
          <w:sz w:val="32"/>
          <w:szCs w:val="32"/>
          <w:lang w:val="en-US" w:eastAsia="zh-CN"/>
        </w:rPr>
      </w:pPr>
      <w:r>
        <w:rPr>
          <w:rFonts w:hint="eastAsia" w:ascii="仿宋_GB2312" w:hAnsi="仿宋_GB2312" w:eastAsia="仿宋_GB2312" w:cs="仿宋_GB2312"/>
          <w:b/>
          <w:bCs/>
          <w:color w:val="auto"/>
          <w:kern w:val="2"/>
          <w:sz w:val="32"/>
          <w:szCs w:val="32"/>
          <w:lang w:val="en-US" w:eastAsia="zh-CN" w:bidi="ar-SA"/>
        </w:rPr>
        <w:t>四是规范政府信息公开申请处理。</w:t>
      </w:r>
      <w:r>
        <w:rPr>
          <w:rFonts w:hint="eastAsia" w:ascii="仿宋_GB2312" w:eastAsia="仿宋_GB2312"/>
          <w:color w:val="auto"/>
          <w:sz w:val="32"/>
          <w:szCs w:val="32"/>
          <w:lang w:val="en-US" w:eastAsia="zh-CN"/>
        </w:rPr>
        <w:t>针对当面受理、内部处理、 对外答复等流程制定14份流程表格，规范答复流程。2019年4月，形成2018年政府信息依申请公开工作情况分析和建议，获区委书记、区长的重要批示，转发全区相关单位研阅，要求单位主要领导亲自抓，贯彻落实《认真做好2019年度政府信息依申请公开工作的通知》文件要求，进一步规范各单位依申请公开工作，专人负责、程序规范、全面学习、专题研讨。</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68480" behindDoc="0" locked="0" layoutInCell="1" allowOverlap="1">
            <wp:simplePos x="0" y="0"/>
            <wp:positionH relativeFrom="column">
              <wp:posOffset>-51435</wp:posOffset>
            </wp:positionH>
            <wp:positionV relativeFrom="paragraph">
              <wp:posOffset>174625</wp:posOffset>
            </wp:positionV>
            <wp:extent cx="5604510" cy="2210435"/>
            <wp:effectExtent l="0" t="0" r="15240" b="18415"/>
            <wp:wrapTopAndBottom/>
            <wp:docPr id="12" name="图片 12" descr="法律顾问_mei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法律顾问_meitu_2"/>
                    <pic:cNvPicPr>
                      <a:picLocks noChangeAspect="1"/>
                    </pic:cNvPicPr>
                  </pic:nvPicPr>
                  <pic:blipFill>
                    <a:blip r:embed="rId17"/>
                    <a:stretch>
                      <a:fillRect/>
                    </a:stretch>
                  </pic:blipFill>
                  <pic:spPr>
                    <a:xfrm>
                      <a:off x="0" y="0"/>
                      <a:ext cx="5604510" cy="2210435"/>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做好2019年政府信息依申请公开工作批示</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楷体" w:hAnsi="楷体" w:eastAsia="楷体" w:cs="楷体"/>
          <w:b w:val="0"/>
          <w:bCs w:val="0"/>
          <w:color w:val="auto"/>
          <w:kern w:val="2"/>
          <w:sz w:val="32"/>
          <w:szCs w:val="32"/>
          <w:lang w:val="en-US" w:eastAsia="zh-CN" w:bidi="ar-SA"/>
        </w:rPr>
        <w:t>（三）提升平台建设</w:t>
      </w:r>
    </w:p>
    <w:p>
      <w:pPr>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right="0" w:rightChars="0" w:firstLine="643" w:firstLineChars="200"/>
        <w:jc w:val="both"/>
        <w:textAlignment w:val="auto"/>
        <w:rPr>
          <w:rFonts w:hint="eastAsia" w:ascii="仿宋_GB2312" w:eastAsia="仿宋_GB2312" w:hAnsiTheme="minorHAnsi"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一是优化门户网站平台的管理和建设。</w:t>
      </w:r>
      <w:r>
        <w:rPr>
          <w:rFonts w:hint="eastAsia" w:ascii="仿宋_GB2312" w:eastAsia="仿宋_GB2312" w:hAnsiTheme="minorHAnsi" w:cstheme="minorBidi"/>
          <w:color w:val="auto"/>
          <w:kern w:val="2"/>
          <w:sz w:val="32"/>
          <w:szCs w:val="32"/>
          <w:lang w:val="en-US" w:eastAsia="zh-CN" w:bidi="ar-SA"/>
        </w:rPr>
        <w:t>成功打造“一站式网上虚拟政府”，实现电脑、手机等</w:t>
      </w:r>
      <w:r>
        <w:rPr>
          <w:rFonts w:hint="eastAsia" w:ascii="仿宋_GB2312" w:eastAsia="仿宋_GB2312" w:cstheme="minorBidi"/>
          <w:color w:val="auto"/>
          <w:kern w:val="2"/>
          <w:sz w:val="32"/>
          <w:szCs w:val="32"/>
          <w:lang w:val="en-US" w:eastAsia="zh-CN" w:bidi="ar-SA"/>
        </w:rPr>
        <w:t>多平台</w:t>
      </w:r>
      <w:r>
        <w:rPr>
          <w:rFonts w:hint="eastAsia" w:ascii="仿宋_GB2312" w:eastAsia="仿宋_GB2312" w:hAnsiTheme="minorHAnsi" w:cstheme="minorBidi"/>
          <w:color w:val="auto"/>
          <w:kern w:val="2"/>
          <w:sz w:val="32"/>
          <w:szCs w:val="32"/>
          <w:lang w:val="en-US" w:eastAsia="zh-CN" w:bidi="ar-SA"/>
        </w:rPr>
        <w:t>浏览页面自</w:t>
      </w:r>
      <w:r>
        <w:rPr>
          <w:rFonts w:hint="eastAsia" w:ascii="仿宋_GB2312" w:eastAsia="仿宋_GB2312" w:cstheme="minorBidi"/>
          <w:color w:val="auto"/>
          <w:kern w:val="2"/>
          <w:sz w:val="32"/>
          <w:szCs w:val="32"/>
          <w:lang w:val="en-US" w:eastAsia="zh-CN" w:bidi="ar-SA"/>
        </w:rPr>
        <w:t>适应，提升用户体验</w:t>
      </w:r>
      <w:r>
        <w:rPr>
          <w:rFonts w:hint="eastAsia" w:ascii="仿宋_GB2312" w:eastAsia="仿宋_GB2312" w:hAnsiTheme="minorHAnsi" w:cstheme="minorBidi"/>
          <w:color w:val="auto"/>
          <w:kern w:val="2"/>
          <w:sz w:val="32"/>
          <w:szCs w:val="32"/>
          <w:lang w:val="en-US" w:eastAsia="zh-CN" w:bidi="ar-SA"/>
        </w:rPr>
        <w:t>。2019年度“中国·瓯海”门户网站共发布原创政务动态信息1.54万条，网站全年</w:t>
      </w:r>
      <w:r>
        <w:rPr>
          <w:rFonts w:hint="eastAsia" w:ascii="仿宋_GB2312" w:eastAsia="仿宋_GB2312" w:cstheme="minorBidi"/>
          <w:color w:val="auto"/>
          <w:kern w:val="2"/>
          <w:sz w:val="32"/>
          <w:szCs w:val="32"/>
          <w:lang w:val="en-US" w:eastAsia="zh-CN" w:bidi="ar-SA"/>
        </w:rPr>
        <w:t>浏览</w:t>
      </w:r>
      <w:bookmarkStart w:id="0" w:name="_GoBack"/>
      <w:bookmarkEnd w:id="0"/>
      <w:r>
        <w:rPr>
          <w:rFonts w:hint="eastAsia" w:ascii="仿宋_GB2312" w:eastAsia="仿宋_GB2312" w:hAnsiTheme="minorHAnsi" w:cstheme="minorBidi"/>
          <w:color w:val="auto"/>
          <w:kern w:val="2"/>
          <w:sz w:val="32"/>
          <w:szCs w:val="32"/>
          <w:lang w:val="en-US" w:eastAsia="zh-CN" w:bidi="ar-SA"/>
        </w:rPr>
        <w:t>量</w:t>
      </w:r>
      <w:r>
        <w:rPr>
          <w:rFonts w:hint="eastAsia" w:ascii="仿宋_GB2312" w:eastAsia="仿宋_GB2312" w:cstheme="minorBidi"/>
          <w:color w:val="auto"/>
          <w:kern w:val="2"/>
          <w:sz w:val="32"/>
          <w:szCs w:val="32"/>
          <w:lang w:val="en-US" w:eastAsia="zh-CN" w:bidi="ar-SA"/>
        </w:rPr>
        <w:t>达</w:t>
      </w:r>
      <w:r>
        <w:rPr>
          <w:rFonts w:hint="eastAsia" w:ascii="仿宋_GB2312" w:eastAsia="仿宋_GB2312" w:hAnsiTheme="minorHAnsi" w:cstheme="minorBidi"/>
          <w:color w:val="auto"/>
          <w:kern w:val="2"/>
          <w:sz w:val="32"/>
          <w:szCs w:val="32"/>
          <w:lang w:val="en-US" w:eastAsia="zh-CN" w:bidi="ar-SA"/>
        </w:rPr>
        <w:t>1643</w:t>
      </w:r>
      <w:r>
        <w:rPr>
          <w:rFonts w:hint="eastAsia" w:ascii="仿宋_GB2312" w:eastAsia="仿宋_GB2312" w:cstheme="minorBidi"/>
          <w:color w:val="auto"/>
          <w:kern w:val="2"/>
          <w:sz w:val="32"/>
          <w:szCs w:val="32"/>
          <w:lang w:val="en-US" w:eastAsia="zh-CN" w:bidi="ar-SA"/>
        </w:rPr>
        <w:t>.7</w:t>
      </w:r>
      <w:r>
        <w:rPr>
          <w:rFonts w:hint="eastAsia" w:ascii="仿宋_GB2312" w:eastAsia="仿宋_GB2312" w:hAnsiTheme="minorHAnsi" w:cstheme="minorBidi"/>
          <w:color w:val="auto"/>
          <w:kern w:val="2"/>
          <w:sz w:val="32"/>
          <w:szCs w:val="32"/>
          <w:lang w:val="en-US" w:eastAsia="zh-CN" w:bidi="ar-SA"/>
        </w:rPr>
        <w:t>万次。通过强化网站内容管理、优化信息员队伍、</w:t>
      </w:r>
      <w:r>
        <w:rPr>
          <w:rFonts w:hint="eastAsia" w:ascii="仿宋_GB2312" w:eastAsia="仿宋_GB2312" w:cstheme="minorBidi"/>
          <w:color w:val="auto"/>
          <w:kern w:val="2"/>
          <w:sz w:val="32"/>
          <w:szCs w:val="32"/>
          <w:lang w:val="en-US" w:eastAsia="zh-CN" w:bidi="ar-SA"/>
        </w:rPr>
        <w:t>完善</w:t>
      </w:r>
      <w:r>
        <w:rPr>
          <w:rFonts w:hint="eastAsia" w:ascii="仿宋_GB2312" w:eastAsia="仿宋_GB2312" w:hAnsiTheme="minorHAnsi" w:cstheme="minorBidi"/>
          <w:color w:val="auto"/>
          <w:kern w:val="2"/>
          <w:sz w:val="32"/>
          <w:szCs w:val="32"/>
          <w:lang w:val="en-US" w:eastAsia="zh-CN" w:bidi="ar-SA"/>
        </w:rPr>
        <w:t>发布审核</w:t>
      </w:r>
      <w:r>
        <w:rPr>
          <w:rFonts w:hint="eastAsia" w:ascii="仿宋_GB2312" w:eastAsia="仿宋_GB2312" w:cstheme="minorBidi"/>
          <w:color w:val="auto"/>
          <w:kern w:val="2"/>
          <w:sz w:val="32"/>
          <w:szCs w:val="32"/>
          <w:lang w:val="en-US" w:eastAsia="zh-CN" w:bidi="ar-SA"/>
        </w:rPr>
        <w:t>机制</w:t>
      </w:r>
      <w:r>
        <w:rPr>
          <w:rFonts w:hint="eastAsia" w:ascii="仿宋_GB2312" w:eastAsia="仿宋_GB2312" w:hAnsiTheme="minorHAnsi" w:cstheme="minorBidi"/>
          <w:color w:val="auto"/>
          <w:kern w:val="2"/>
          <w:sz w:val="32"/>
          <w:szCs w:val="32"/>
          <w:lang w:val="en-US" w:eastAsia="zh-CN" w:bidi="ar-SA"/>
        </w:rPr>
        <w:t>，全年严格按照政府网站普查要求，通过自查、抽查以及邀请第三方评测公司测评等</w:t>
      </w:r>
      <w:r>
        <w:rPr>
          <w:rFonts w:hint="eastAsia" w:ascii="仿宋_GB2312" w:eastAsia="仿宋_GB2312" w:cstheme="minorBidi"/>
          <w:color w:val="auto"/>
          <w:kern w:val="2"/>
          <w:sz w:val="32"/>
          <w:szCs w:val="32"/>
          <w:lang w:val="en-US" w:eastAsia="zh-CN" w:bidi="ar-SA"/>
        </w:rPr>
        <w:t>方</w:t>
      </w:r>
      <w:r>
        <w:rPr>
          <w:rFonts w:hint="eastAsia" w:ascii="仿宋_GB2312" w:eastAsia="仿宋_GB2312" w:hAnsiTheme="minorHAnsi" w:cstheme="minorBidi"/>
          <w:color w:val="auto"/>
          <w:kern w:val="2"/>
          <w:sz w:val="32"/>
          <w:szCs w:val="32"/>
          <w:lang w:val="en-US" w:eastAsia="zh-CN" w:bidi="ar-SA"/>
        </w:rPr>
        <w:t>式，确保网站运行质量。依托第三方平台对网站进行实时监测，对日常网站运营中可能出现的错链、空白栏目、错别字、逾期未更新等情况做到</w:t>
      </w:r>
      <w:r>
        <w:rPr>
          <w:rFonts w:hint="eastAsia" w:ascii="仿宋_GB2312" w:eastAsia="仿宋_GB2312" w:cstheme="minorBidi"/>
          <w:color w:val="auto"/>
          <w:kern w:val="2"/>
          <w:sz w:val="32"/>
          <w:szCs w:val="32"/>
          <w:lang w:val="en-US" w:eastAsia="zh-CN" w:bidi="ar-SA"/>
        </w:rPr>
        <w:t>早</w:t>
      </w:r>
      <w:r>
        <w:rPr>
          <w:rFonts w:hint="eastAsia" w:ascii="仿宋_GB2312" w:eastAsia="仿宋_GB2312" w:hAnsiTheme="minorHAnsi" w:cstheme="minorBidi"/>
          <w:color w:val="auto"/>
          <w:kern w:val="2"/>
          <w:sz w:val="32"/>
          <w:szCs w:val="32"/>
          <w:lang w:val="en-US" w:eastAsia="zh-CN" w:bidi="ar-SA"/>
        </w:rPr>
        <w:t>发现、</w:t>
      </w:r>
      <w:r>
        <w:rPr>
          <w:rFonts w:hint="eastAsia" w:ascii="仿宋_GB2312" w:eastAsia="仿宋_GB2312" w:cstheme="minorBidi"/>
          <w:color w:val="auto"/>
          <w:kern w:val="2"/>
          <w:sz w:val="32"/>
          <w:szCs w:val="32"/>
          <w:lang w:val="en-US" w:eastAsia="zh-CN" w:bidi="ar-SA"/>
        </w:rPr>
        <w:t>早</w:t>
      </w:r>
      <w:r>
        <w:rPr>
          <w:rFonts w:hint="eastAsia" w:ascii="仿宋_GB2312" w:eastAsia="仿宋_GB2312" w:hAnsiTheme="minorHAnsi" w:cstheme="minorBidi"/>
          <w:color w:val="auto"/>
          <w:kern w:val="2"/>
          <w:sz w:val="32"/>
          <w:szCs w:val="32"/>
          <w:lang w:val="en-US" w:eastAsia="zh-CN" w:bidi="ar-SA"/>
        </w:rPr>
        <w:t>整改。</w:t>
      </w:r>
    </w:p>
    <w:p>
      <w:pPr>
        <w:keepNext w:val="0"/>
        <w:keepLines w:val="0"/>
        <w:pageBreakBefore w:val="0"/>
        <w:widowControl w:val="0"/>
        <w:numPr>
          <w:ilvl w:val="0"/>
          <w:numId w:val="0"/>
        </w:numPr>
        <w:kinsoku/>
        <w:wordWrap/>
        <w:overflowPunct/>
        <w:topLinePunct w:val="0"/>
        <w:autoSpaceDE/>
        <w:autoSpaceDN/>
        <w:bidi w:val="0"/>
        <w:adjustRightInd/>
        <w:snapToGrid/>
        <w:spacing w:line="576" w:lineRule="exact"/>
        <w:ind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二是加强信息公开查阅点设置和维护。</w:t>
      </w:r>
      <w:r>
        <w:rPr>
          <w:rFonts w:hint="eastAsia" w:ascii="仿宋_GB2312" w:eastAsia="仿宋_GB2312" w:cstheme="minorBidi"/>
          <w:color w:val="auto"/>
          <w:kern w:val="2"/>
          <w:sz w:val="32"/>
          <w:szCs w:val="32"/>
          <w:lang w:val="en-US" w:eastAsia="zh-CN" w:bidi="ar-SA"/>
        </w:rPr>
        <w:t>2019年针对全区布设的查阅点进行全面督查，</w:t>
      </w:r>
      <w:r>
        <w:rPr>
          <w:rFonts w:hint="eastAsia" w:ascii="仿宋_GB2312" w:eastAsia="仿宋_GB2312" w:hAnsiTheme="minorHAnsi" w:cstheme="minorBidi"/>
          <w:color w:val="auto"/>
          <w:kern w:val="2"/>
          <w:sz w:val="32"/>
          <w:szCs w:val="32"/>
          <w:lang w:val="en-US" w:eastAsia="zh-CN" w:bidi="ar-SA"/>
        </w:rPr>
        <w:t>确保</w:t>
      </w:r>
      <w:r>
        <w:rPr>
          <w:rFonts w:hint="eastAsia" w:ascii="仿宋_GB2312" w:eastAsia="仿宋_GB2312" w:cstheme="minorBidi"/>
          <w:color w:val="auto"/>
          <w:kern w:val="2"/>
          <w:sz w:val="32"/>
          <w:szCs w:val="32"/>
          <w:lang w:val="en-US" w:eastAsia="zh-CN" w:bidi="ar-SA"/>
        </w:rPr>
        <w:t>已</w:t>
      </w:r>
      <w:r>
        <w:rPr>
          <w:rFonts w:hint="eastAsia" w:ascii="仿宋_GB2312" w:eastAsia="仿宋_GB2312" w:hAnsiTheme="minorHAnsi" w:cstheme="minorBidi"/>
          <w:color w:val="auto"/>
          <w:kern w:val="2"/>
          <w:sz w:val="32"/>
          <w:szCs w:val="32"/>
          <w:lang w:val="en-US" w:eastAsia="zh-CN" w:bidi="ar-SA"/>
        </w:rPr>
        <w:t>建成的18个统一标识、统一制度标准化政府信息查阅点</w:t>
      </w:r>
      <w:r>
        <w:rPr>
          <w:rFonts w:hint="eastAsia" w:ascii="仿宋_GB2312" w:eastAsia="仿宋_GB2312" w:cstheme="minorBidi"/>
          <w:color w:val="auto"/>
          <w:kern w:val="2"/>
          <w:sz w:val="32"/>
          <w:szCs w:val="32"/>
          <w:lang w:val="en-US" w:eastAsia="zh-CN" w:bidi="ar-SA"/>
        </w:rPr>
        <w:t>以及</w:t>
      </w:r>
      <w:r>
        <w:rPr>
          <w:rFonts w:hint="eastAsia" w:ascii="仿宋_GB2312" w:eastAsia="仿宋_GB2312" w:hAnsiTheme="minorHAnsi" w:cstheme="minorBidi"/>
          <w:color w:val="auto"/>
          <w:kern w:val="2"/>
          <w:sz w:val="32"/>
          <w:szCs w:val="32"/>
          <w:lang w:val="en-US" w:eastAsia="zh-CN" w:bidi="ar-SA"/>
        </w:rPr>
        <w:t>便民中心</w:t>
      </w:r>
      <w:r>
        <w:rPr>
          <w:rFonts w:hint="eastAsia" w:ascii="仿宋_GB2312" w:eastAsia="仿宋_GB2312" w:cstheme="minorBidi"/>
          <w:color w:val="auto"/>
          <w:kern w:val="2"/>
          <w:sz w:val="32"/>
          <w:szCs w:val="32"/>
          <w:lang w:val="en-US" w:eastAsia="zh-CN" w:bidi="ar-SA"/>
        </w:rPr>
        <w:t>、</w:t>
      </w:r>
      <w:r>
        <w:rPr>
          <w:rFonts w:hint="eastAsia" w:ascii="仿宋_GB2312" w:eastAsia="仿宋_GB2312" w:hAnsiTheme="minorHAnsi" w:cstheme="minorBidi"/>
          <w:color w:val="auto"/>
          <w:kern w:val="2"/>
          <w:sz w:val="32"/>
          <w:szCs w:val="32"/>
          <w:lang w:val="en-US" w:eastAsia="zh-CN" w:bidi="ar-SA"/>
        </w:rPr>
        <w:t>社区等公共场所</w:t>
      </w:r>
      <w:r>
        <w:rPr>
          <w:rFonts w:hint="eastAsia" w:ascii="仿宋_GB2312" w:eastAsia="仿宋_GB2312" w:cstheme="minorBidi"/>
          <w:color w:val="auto"/>
          <w:kern w:val="2"/>
          <w:sz w:val="32"/>
          <w:szCs w:val="32"/>
          <w:lang w:val="en-US" w:eastAsia="zh-CN" w:bidi="ar-SA"/>
        </w:rPr>
        <w:t>共</w:t>
      </w:r>
      <w:r>
        <w:rPr>
          <w:rFonts w:hint="eastAsia" w:ascii="仿宋_GB2312" w:eastAsia="仿宋_GB2312" w:hAnsiTheme="minorHAnsi" w:cstheme="minorBidi"/>
          <w:color w:val="auto"/>
          <w:kern w:val="2"/>
          <w:sz w:val="32"/>
          <w:szCs w:val="32"/>
          <w:lang w:val="en-US" w:eastAsia="zh-CN" w:bidi="ar-SA"/>
        </w:rPr>
        <w:t>58台自助查询机的规范化运行</w:t>
      </w:r>
      <w:r>
        <w:rPr>
          <w:rFonts w:hint="eastAsia" w:ascii="仿宋_GB2312" w:hAnsi="仿宋_GB2312" w:eastAsia="仿宋_GB2312" w:cs="仿宋_GB2312"/>
          <w:color w:val="auto"/>
          <w:sz w:val="32"/>
          <w:szCs w:val="32"/>
          <w:lang w:val="en-US" w:eastAsia="zh-CN"/>
        </w:rPr>
        <w:t>。</w:t>
      </w:r>
      <w:r>
        <w:rPr>
          <w:rFonts w:hint="eastAsia" w:ascii="仿宋_GB2312" w:eastAsia="仿宋_GB2312" w:cstheme="minorBidi"/>
          <w:color w:val="auto"/>
          <w:kern w:val="2"/>
          <w:sz w:val="32"/>
          <w:szCs w:val="32"/>
          <w:lang w:val="en-US" w:eastAsia="zh-CN" w:bidi="ar-SA"/>
        </w:rPr>
        <w:t>政府信息公开自助查阅机可访问各级政府网站以及浙江政务</w:t>
      </w:r>
      <w:r>
        <w:rPr>
          <w:rFonts w:hint="eastAsia" w:ascii="仿宋_GB2312" w:hAnsi="仿宋_GB2312" w:eastAsia="仿宋_GB2312" w:cs="仿宋_GB2312"/>
          <w:color w:val="auto"/>
          <w:sz w:val="32"/>
          <w:szCs w:val="32"/>
          <w:lang w:val="en-US" w:eastAsia="zh-CN"/>
        </w:rPr>
        <w:t>服务网</w:t>
      </w:r>
      <w:r>
        <w:rPr>
          <w:rFonts w:hint="eastAsia" w:ascii="仿宋_GB2312" w:eastAsia="仿宋_GB2312" w:cstheme="minorBidi"/>
          <w:color w:val="auto"/>
          <w:kern w:val="2"/>
          <w:sz w:val="32"/>
          <w:szCs w:val="32"/>
          <w:lang w:val="en-US" w:eastAsia="zh-CN" w:bidi="ar-SA"/>
        </w:rPr>
        <w:t>、政务服务全流程公开系统、依申请公开在线申请平台等平台系统</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Times New Roman"/>
          <w:color w:val="auto"/>
          <w:kern w:val="0"/>
          <w:sz w:val="32"/>
          <w:szCs w:val="24"/>
          <w:lang w:val="en-US" w:eastAsia="zh-CN" w:bidi="ar-SA"/>
        </w:rPr>
        <w:t>实现政务信息线上线下聚合展示，进一步打通政务公开“最后一公里”，</w:t>
      </w:r>
      <w:r>
        <w:rPr>
          <w:rFonts w:hint="eastAsia" w:ascii="仿宋_GB2312" w:eastAsia="仿宋_GB2312" w:hAnsiTheme="minorHAnsi" w:cstheme="minorBidi"/>
          <w:color w:val="auto"/>
          <w:kern w:val="2"/>
          <w:sz w:val="32"/>
          <w:szCs w:val="32"/>
          <w:lang w:val="en-US" w:eastAsia="zh-CN" w:bidi="ar-SA"/>
        </w:rPr>
        <w:t>为公民、法人和其他组织提供</w:t>
      </w:r>
      <w:r>
        <w:rPr>
          <w:rFonts w:hint="eastAsia" w:ascii="仿宋_GB2312" w:eastAsia="仿宋_GB2312" w:cstheme="minorBidi"/>
          <w:color w:val="auto"/>
          <w:kern w:val="2"/>
          <w:sz w:val="32"/>
          <w:szCs w:val="32"/>
          <w:lang w:val="en-US" w:eastAsia="zh-CN" w:bidi="ar-SA"/>
        </w:rPr>
        <w:t>便利。</w:t>
      </w:r>
    </w:p>
    <w:p>
      <w:pPr>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三是规范政务新媒体开设和清理。</w:t>
      </w:r>
      <w:r>
        <w:rPr>
          <w:rFonts w:hint="eastAsia" w:ascii="仿宋_GB2312" w:eastAsia="仿宋_GB2312" w:cstheme="minorBidi"/>
          <w:color w:val="auto"/>
          <w:kern w:val="2"/>
          <w:sz w:val="32"/>
          <w:szCs w:val="32"/>
          <w:lang w:val="en-US" w:eastAsia="zh-CN" w:bidi="ar-SA"/>
        </w:rPr>
        <w:t>严格落实上级政府关于政务新媒体健康有序发展的实施意见和清理整合要求。全面开展全区政务（以及其他党政机关）APP以及微信公众号的摸底工作，整合、取消99个部门政务新媒体，现保留运营党政团体微信公众号46个和80余个党政机关微博账号。</w:t>
      </w:r>
    </w:p>
    <w:p>
      <w:pPr>
        <w:pStyle w:val="7"/>
        <w:keepNext w:val="0"/>
        <w:keepLines w:val="0"/>
        <w:pageBreakBefore w:val="0"/>
        <w:widowControl w:val="0"/>
        <w:kinsoku/>
        <w:wordWrap w:val="0"/>
        <w:overflowPunct/>
        <w:topLinePunct w:val="0"/>
        <w:autoSpaceDE/>
        <w:autoSpaceDN/>
        <w:bidi w:val="0"/>
        <w:adjustRightInd/>
        <w:snapToGrid/>
        <w:spacing w:beforeAutospacing="0" w:afterAutospacing="0" w:line="576" w:lineRule="exact"/>
        <w:ind w:firstLine="640" w:firstLineChars="200"/>
        <w:jc w:val="both"/>
        <w:textAlignment w:val="auto"/>
        <w:rPr>
          <w:rFonts w:hint="eastAsia" w:ascii="仿宋_GB2312" w:hAnsi="仿宋_GB2312" w:eastAsia="仿宋_GB2312"/>
          <w:color w:val="auto"/>
          <w:sz w:val="32"/>
          <w:lang w:val="en-US" w:eastAsia="zh-CN"/>
        </w:rPr>
      </w:pPr>
      <w:r>
        <w:rPr>
          <w:rFonts w:hint="eastAsia" w:ascii="楷体" w:hAnsi="楷体" w:eastAsia="楷体" w:cs="楷体"/>
          <w:b w:val="0"/>
          <w:bCs w:val="0"/>
          <w:color w:val="auto"/>
          <w:kern w:val="2"/>
          <w:sz w:val="32"/>
          <w:szCs w:val="32"/>
          <w:lang w:val="en-US" w:eastAsia="zh-CN" w:bidi="ar-SA"/>
        </w:rPr>
        <w:t xml:space="preserve"> </w:t>
      </w:r>
      <w:r>
        <w:rPr>
          <w:rFonts w:hint="eastAsia" w:ascii="仿宋_GB2312" w:hAnsi="仿宋_GB2312" w:eastAsia="仿宋_GB2312" w:cs="仿宋_GB2312"/>
          <w:b/>
          <w:bCs/>
          <w:color w:val="auto"/>
          <w:kern w:val="2"/>
          <w:sz w:val="32"/>
          <w:szCs w:val="32"/>
          <w:lang w:val="en-US" w:eastAsia="zh-CN" w:bidi="ar-SA"/>
        </w:rPr>
        <w:t>四是用好政府公报载体。</w:t>
      </w:r>
      <w:r>
        <w:rPr>
          <w:rFonts w:hint="eastAsia" w:ascii="仿宋_GB2312" w:hAnsi="仿宋_GB2312" w:eastAsia="仿宋_GB2312" w:cs="Times New Roman"/>
          <w:color w:val="auto"/>
          <w:kern w:val="0"/>
          <w:sz w:val="32"/>
          <w:szCs w:val="24"/>
          <w:lang w:val="en-US" w:eastAsia="zh-CN" w:bidi="ar-SA"/>
        </w:rPr>
        <w:t>汇集最权威、最重要、公众最关心的政府信息，</w:t>
      </w:r>
      <w:r>
        <w:rPr>
          <w:rFonts w:hint="eastAsia" w:ascii="仿宋_GB2312" w:hAnsi="仿宋_GB2312" w:eastAsia="仿宋_GB2312"/>
          <w:color w:val="auto"/>
          <w:sz w:val="32"/>
        </w:rPr>
        <w:t>以纸质和网络文本的形式对外发布，实行免费赠阅，社会公众可在各政府信息公开查阅点阅读</w:t>
      </w:r>
      <w:r>
        <w:rPr>
          <w:rFonts w:hint="eastAsia" w:ascii="仿宋_GB2312" w:hAnsi="仿宋_GB2312" w:eastAsia="仿宋_GB2312" w:cs="Times New Roman"/>
          <w:color w:val="auto"/>
          <w:kern w:val="0"/>
          <w:sz w:val="32"/>
          <w:szCs w:val="24"/>
          <w:lang w:val="en-US" w:eastAsia="zh-CN" w:bidi="ar-SA"/>
        </w:rPr>
        <w:t>纸质刊物</w:t>
      </w:r>
      <w:r>
        <w:rPr>
          <w:rFonts w:hint="eastAsia" w:ascii="仿宋_GB2312" w:hAnsi="仿宋_GB2312" w:eastAsia="仿宋_GB2312"/>
          <w:color w:val="auto"/>
          <w:sz w:val="32"/>
        </w:rPr>
        <w:t>，也可直接通过</w:t>
      </w:r>
      <w:r>
        <w:rPr>
          <w:rFonts w:hint="eastAsia" w:ascii="仿宋_GB2312" w:hAnsi="仿宋_GB2312" w:eastAsia="仿宋_GB2312"/>
          <w:color w:val="auto"/>
          <w:sz w:val="32"/>
          <w:lang w:eastAsia="zh-CN"/>
        </w:rPr>
        <w:t>政府</w:t>
      </w:r>
      <w:r>
        <w:rPr>
          <w:rFonts w:hint="eastAsia" w:ascii="仿宋_GB2312" w:hAnsi="仿宋_GB2312" w:eastAsia="仿宋_GB2312"/>
          <w:color w:val="auto"/>
          <w:sz w:val="32"/>
        </w:rPr>
        <w:t>门户网站获取</w:t>
      </w:r>
      <w:r>
        <w:rPr>
          <w:rFonts w:hint="eastAsia" w:ascii="仿宋_GB2312" w:hAnsi="仿宋_GB2312" w:eastAsia="仿宋_GB2312" w:cs="Times New Roman"/>
          <w:color w:val="auto"/>
          <w:kern w:val="0"/>
          <w:sz w:val="32"/>
          <w:szCs w:val="24"/>
          <w:lang w:val="en-US" w:eastAsia="zh-CN" w:bidi="ar-SA"/>
        </w:rPr>
        <w:t>电子版</w:t>
      </w:r>
      <w:r>
        <w:rPr>
          <w:rFonts w:hint="eastAsia" w:ascii="仿宋_GB2312" w:hAnsi="仿宋_GB2312" w:eastAsia="仿宋_GB2312"/>
          <w:color w:val="auto"/>
          <w:sz w:val="32"/>
        </w:rPr>
        <w:t>。</w:t>
      </w:r>
      <w:r>
        <w:rPr>
          <w:rFonts w:hint="eastAsia" w:ascii="仿宋_GB2312" w:hAnsi="仿宋_GB2312" w:eastAsia="仿宋_GB2312"/>
          <w:color w:val="auto"/>
          <w:sz w:val="32"/>
          <w:lang w:val="en-US" w:eastAsia="zh-CN"/>
        </w:rPr>
        <w:t>截至目前，2019年已出版3期瓯海区政府公报季刊，</w:t>
      </w:r>
      <w:r>
        <w:rPr>
          <w:rFonts w:hint="eastAsia" w:ascii="仿宋_GB2312" w:hAnsi="仿宋_GB2312" w:eastAsia="仿宋_GB2312" w:cs="Times New Roman"/>
          <w:color w:val="auto"/>
          <w:kern w:val="0"/>
          <w:sz w:val="32"/>
          <w:szCs w:val="24"/>
          <w:lang w:val="en-US" w:eastAsia="zh-CN" w:bidi="ar-SA"/>
        </w:rPr>
        <w:t>包括精选的区政府文件8份、区政府办公室文件17份、政府机构人事文件35份、区政府以及区政府办公室发文清单（包含138条公文目录），</w:t>
      </w:r>
      <w:r>
        <w:rPr>
          <w:rFonts w:hint="eastAsia" w:ascii="仿宋_GB2312" w:hAnsi="仿宋_GB2312" w:eastAsia="仿宋_GB2312"/>
          <w:color w:val="auto"/>
          <w:sz w:val="32"/>
          <w:lang w:val="en-US" w:eastAsia="zh-CN"/>
        </w:rPr>
        <w:t>第四期预计将于2020年3月出版公布。</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default" w:ascii="仿宋_GB2312" w:hAnsi="仿宋_GB2312" w:eastAsia="仿宋_GB2312" w:cs="仿宋_GB2312"/>
          <w:color w:val="auto"/>
          <w:sz w:val="24"/>
          <w:szCs w:val="24"/>
          <w:lang w:val="en-US" w:eastAsia="zh-CN"/>
        </w:rPr>
      </w:pPr>
      <w:r>
        <w:rPr>
          <w:rFonts w:hint="default" w:ascii="仿宋_GB2312" w:hAnsi="仿宋_GB2312" w:eastAsia="仿宋_GB2312" w:cs="仿宋_GB2312"/>
          <w:color w:val="auto"/>
          <w:sz w:val="24"/>
          <w:szCs w:val="24"/>
          <w:lang w:val="en-US" w:eastAsia="zh-CN"/>
        </w:rPr>
        <w:drawing>
          <wp:anchor distT="0" distB="0" distL="114300" distR="114300" simplePos="0" relativeHeight="251666432" behindDoc="0" locked="0" layoutInCell="1" allowOverlap="1">
            <wp:simplePos x="0" y="0"/>
            <wp:positionH relativeFrom="column">
              <wp:posOffset>80010</wp:posOffset>
            </wp:positionH>
            <wp:positionV relativeFrom="paragraph">
              <wp:posOffset>87630</wp:posOffset>
            </wp:positionV>
            <wp:extent cx="5608320" cy="4067810"/>
            <wp:effectExtent l="0" t="0" r="11430" b="8890"/>
            <wp:wrapTopAndBottom/>
            <wp:docPr id="17" name="图片 17" descr="瓯海区政府 政府公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瓯海区政府 政府公报"/>
                    <pic:cNvPicPr>
                      <a:picLocks noChangeAspect="1"/>
                    </pic:cNvPicPr>
                  </pic:nvPicPr>
                  <pic:blipFill>
                    <a:blip r:embed="rId18"/>
                    <a:srcRect t="936" b="32446"/>
                    <a:stretch>
                      <a:fillRect/>
                    </a:stretch>
                  </pic:blipFill>
                  <pic:spPr>
                    <a:xfrm>
                      <a:off x="0" y="0"/>
                      <a:ext cx="5608320" cy="4067810"/>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政府公开发布栏目</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楷体" w:hAnsi="楷体" w:eastAsia="楷体" w:cs="楷体"/>
          <w:b w:val="0"/>
          <w:bCs w:val="0"/>
          <w:color w:val="auto"/>
          <w:kern w:val="2"/>
          <w:sz w:val="32"/>
          <w:szCs w:val="32"/>
          <w:lang w:val="en-US" w:eastAsia="zh-CN" w:bidi="ar-SA"/>
        </w:rPr>
        <w:t>（四）加强政策解读</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olor w:val="auto"/>
          <w:sz w:val="32"/>
          <w:szCs w:val="32"/>
          <w:lang w:eastAsia="zh-CN"/>
        </w:rPr>
      </w:pPr>
      <w:r>
        <w:rPr>
          <w:rFonts w:hint="eastAsia" w:ascii="仿宋_GB2312" w:hAnsi="仿宋_GB2312" w:eastAsia="仿宋_GB2312" w:cs="仿宋_GB2312"/>
          <w:b/>
          <w:bCs/>
          <w:color w:val="auto"/>
          <w:kern w:val="2"/>
          <w:sz w:val="32"/>
          <w:szCs w:val="32"/>
          <w:lang w:val="en-US" w:eastAsia="zh-CN" w:bidi="ar-SA"/>
        </w:rPr>
        <w:t>一是着重做好重要文件的解读工作。</w:t>
      </w:r>
      <w:r>
        <w:rPr>
          <w:rFonts w:hint="eastAsia" w:ascii="仿宋_GB2312" w:eastAsia="仿宋_GB2312"/>
          <w:color w:val="auto"/>
          <w:sz w:val="32"/>
          <w:szCs w:val="32"/>
        </w:rPr>
        <w:t>围绕2019年瓯海区经济社会发展总体要求和主要预期目标，以“两个健康”先行区创建、打造民营经济高质量发展标杆城区为重点，加大政策解读力度，全面公开、精准解读</w:t>
      </w:r>
      <w:r>
        <w:rPr>
          <w:rFonts w:hint="eastAsia" w:ascii="仿宋_GB2312" w:eastAsia="仿宋_GB2312"/>
          <w:color w:val="auto"/>
          <w:sz w:val="32"/>
          <w:szCs w:val="32"/>
          <w:lang w:eastAsia="zh-CN"/>
        </w:rPr>
        <w:t>《</w:t>
      </w:r>
      <w:r>
        <w:rPr>
          <w:rFonts w:hint="eastAsia" w:ascii="仿宋_GB2312" w:eastAsia="仿宋_GB2312"/>
          <w:color w:val="auto"/>
          <w:sz w:val="32"/>
          <w:szCs w:val="32"/>
        </w:rPr>
        <w:t>瓯海区“1+5+16”产业政策</w:t>
      </w:r>
      <w:r>
        <w:rPr>
          <w:rFonts w:hint="eastAsia" w:ascii="仿宋_GB2312" w:eastAsia="仿宋_GB2312"/>
          <w:color w:val="auto"/>
          <w:sz w:val="32"/>
          <w:szCs w:val="32"/>
          <w:lang w:eastAsia="zh-CN"/>
        </w:rPr>
        <w:t>》等相关政策</w:t>
      </w:r>
      <w:r>
        <w:rPr>
          <w:rFonts w:hint="eastAsia" w:ascii="仿宋_GB2312" w:eastAsia="仿宋_GB2312"/>
          <w:color w:val="auto"/>
          <w:sz w:val="32"/>
          <w:szCs w:val="32"/>
        </w:rPr>
        <w:t>，</w:t>
      </w:r>
      <w:r>
        <w:rPr>
          <w:rFonts w:hint="eastAsia" w:ascii="仿宋_GB2312" w:eastAsia="仿宋_GB2312"/>
          <w:color w:val="auto"/>
          <w:sz w:val="32"/>
          <w:szCs w:val="32"/>
          <w:lang w:eastAsia="zh-CN"/>
        </w:rPr>
        <w:t>采用“</w:t>
      </w:r>
      <w:r>
        <w:rPr>
          <w:rFonts w:hint="eastAsia" w:ascii="仿宋_GB2312" w:hAnsi="仿宋_GB2312" w:eastAsia="仿宋_GB2312" w:cs="Times New Roman"/>
          <w:color w:val="auto"/>
          <w:kern w:val="0"/>
          <w:sz w:val="32"/>
          <w:szCs w:val="24"/>
          <w:lang w:val="en-US" w:eastAsia="zh-CN" w:bidi="ar-SA"/>
        </w:rPr>
        <w:t xml:space="preserve">区长圈重点 </w:t>
      </w:r>
      <w:r>
        <w:rPr>
          <w:rFonts w:hint="eastAsia" w:ascii="仿宋_GB2312" w:hAnsi="仿宋_GB2312" w:eastAsia="仿宋_GB2312"/>
          <w:color w:val="auto"/>
          <w:sz w:val="32"/>
          <w:lang w:val="en-US" w:eastAsia="zh-CN"/>
        </w:rPr>
        <w:t>部门</w:t>
      </w:r>
      <w:r>
        <w:rPr>
          <w:rFonts w:hint="eastAsia" w:ascii="仿宋_GB2312" w:hAnsi="仿宋_GB2312" w:eastAsia="仿宋_GB2312" w:cs="Times New Roman"/>
          <w:color w:val="auto"/>
          <w:kern w:val="0"/>
          <w:sz w:val="32"/>
          <w:szCs w:val="24"/>
          <w:lang w:val="en-US" w:eastAsia="zh-CN" w:bidi="ar-SA"/>
        </w:rPr>
        <w:t>细解读</w:t>
      </w:r>
      <w:r>
        <w:rPr>
          <w:rFonts w:hint="eastAsia" w:ascii="仿宋_GB2312" w:eastAsia="仿宋_GB2312"/>
          <w:color w:val="auto"/>
          <w:sz w:val="32"/>
          <w:szCs w:val="32"/>
          <w:lang w:eastAsia="zh-CN"/>
        </w:rPr>
        <w:t>”、新闻解读、图片解读、视频解读等多种形式，同步制作“政策</w:t>
      </w:r>
      <w:r>
        <w:rPr>
          <w:rFonts w:hint="eastAsia" w:ascii="仿宋_GB2312" w:eastAsia="仿宋_GB2312"/>
          <w:color w:val="auto"/>
          <w:sz w:val="32"/>
          <w:szCs w:val="32"/>
          <w:lang w:val="en-US" w:eastAsia="zh-CN"/>
        </w:rPr>
        <w:t>+解读</w:t>
      </w:r>
      <w:r>
        <w:rPr>
          <w:rFonts w:hint="eastAsia" w:ascii="仿宋_GB2312" w:eastAsia="仿宋_GB2312"/>
          <w:color w:val="auto"/>
          <w:sz w:val="32"/>
          <w:szCs w:val="32"/>
          <w:lang w:eastAsia="zh-CN"/>
        </w:rPr>
        <w:t>”</w:t>
      </w:r>
      <w:r>
        <w:rPr>
          <w:rFonts w:hint="eastAsia" w:ascii="仿宋_GB2312" w:eastAsia="仿宋_GB2312"/>
          <w:color w:val="auto"/>
          <w:sz w:val="32"/>
          <w:szCs w:val="32"/>
          <w:lang w:val="en-US" w:eastAsia="zh-CN"/>
        </w:rPr>
        <w:t>口袋书，</w:t>
      </w:r>
      <w:r>
        <w:rPr>
          <w:rFonts w:hint="eastAsia" w:ascii="仿宋_GB2312" w:eastAsia="仿宋_GB2312"/>
          <w:color w:val="auto"/>
          <w:sz w:val="32"/>
          <w:szCs w:val="32"/>
        </w:rPr>
        <w:t>助力稳企业稳预期。</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color w:val="auto"/>
          <w:sz w:val="32"/>
          <w:szCs w:val="32"/>
          <w:lang w:eastAsia="zh-CN"/>
        </w:rPr>
      </w:pP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70528" behindDoc="0" locked="0" layoutInCell="1" allowOverlap="1">
            <wp:simplePos x="0" y="0"/>
            <wp:positionH relativeFrom="column">
              <wp:posOffset>-35560</wp:posOffset>
            </wp:positionH>
            <wp:positionV relativeFrom="paragraph">
              <wp:posOffset>58420</wp:posOffset>
            </wp:positionV>
            <wp:extent cx="5791835" cy="3646805"/>
            <wp:effectExtent l="0" t="0" r="18415" b="10795"/>
            <wp:wrapTopAndBottom/>
            <wp:docPr id="31" name="图片 3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
                    <pic:cNvPicPr>
                      <a:picLocks noChangeAspect="1"/>
                    </pic:cNvPicPr>
                  </pic:nvPicPr>
                  <pic:blipFill>
                    <a:blip r:embed="rId19"/>
                    <a:stretch>
                      <a:fillRect/>
                    </a:stretch>
                  </pic:blipFill>
                  <pic:spPr>
                    <a:xfrm>
                      <a:off x="0" y="0"/>
                      <a:ext cx="5791835" cy="3646805"/>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《瓯海区“1+5+16”产业政策》解读</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olor w:val="auto"/>
          <w:sz w:val="32"/>
          <w:szCs w:val="32"/>
          <w:lang w:val="en-US" w:eastAsia="zh-CN"/>
        </w:rPr>
      </w:pPr>
      <w:r>
        <w:rPr>
          <w:rFonts w:hint="eastAsia" w:ascii="仿宋_GB2312" w:hAnsi="仿宋_GB2312" w:eastAsia="仿宋_GB2312" w:cs="仿宋_GB2312"/>
          <w:b/>
          <w:bCs/>
          <w:color w:val="auto"/>
          <w:kern w:val="2"/>
          <w:sz w:val="32"/>
          <w:szCs w:val="32"/>
          <w:lang w:val="en-US" w:eastAsia="zh-CN" w:bidi="ar-SA"/>
        </w:rPr>
        <w:t>二是落实政策解读相关文件要求。</w:t>
      </w:r>
      <w:r>
        <w:rPr>
          <w:rFonts w:hint="eastAsia" w:ascii="仿宋_GB2312" w:eastAsia="仿宋_GB2312"/>
          <w:color w:val="auto"/>
          <w:sz w:val="32"/>
          <w:szCs w:val="32"/>
          <w:lang w:eastAsia="zh-CN"/>
        </w:rPr>
        <w:t>根据上级文件精神，制发</w:t>
      </w:r>
      <w:r>
        <w:rPr>
          <w:rFonts w:hint="eastAsia" w:ascii="仿宋_GB2312" w:eastAsia="仿宋_GB2312"/>
          <w:color w:val="auto"/>
          <w:sz w:val="32"/>
          <w:szCs w:val="32"/>
        </w:rPr>
        <w:t>《瓯海区行政机关政策解读工作实施办法》</w:t>
      </w:r>
      <w:r>
        <w:rPr>
          <w:rFonts w:hint="eastAsia" w:ascii="仿宋_GB2312" w:eastAsia="仿宋_GB2312"/>
          <w:color w:val="auto"/>
          <w:sz w:val="32"/>
          <w:szCs w:val="32"/>
          <w:lang w:eastAsia="zh-CN"/>
        </w:rPr>
        <w:t>，全区严格</w:t>
      </w:r>
      <w:r>
        <w:rPr>
          <w:rFonts w:hint="eastAsia" w:ascii="仿宋_GB2312" w:eastAsia="仿宋_GB2312"/>
          <w:color w:val="auto"/>
          <w:sz w:val="32"/>
          <w:szCs w:val="32"/>
        </w:rPr>
        <w:t>落实政策性文件起草与政策解读同步组织、同步审签、同步发布制度</w:t>
      </w:r>
      <w:r>
        <w:rPr>
          <w:rFonts w:hint="eastAsia" w:ascii="仿宋_GB2312" w:eastAsia="仿宋_GB2312"/>
          <w:color w:val="auto"/>
          <w:sz w:val="32"/>
          <w:szCs w:val="32"/>
          <w:lang w:eastAsia="zh-CN"/>
        </w:rPr>
        <w:t>，</w:t>
      </w:r>
      <w:r>
        <w:rPr>
          <w:rFonts w:hint="eastAsia" w:ascii="仿宋_GB2312" w:eastAsia="仿宋_GB2312"/>
          <w:color w:val="auto"/>
          <w:sz w:val="32"/>
          <w:szCs w:val="32"/>
        </w:rPr>
        <w:t>做到双向链接。</w:t>
      </w:r>
      <w:r>
        <w:rPr>
          <w:rFonts w:hint="eastAsia" w:ascii="仿宋_GB2312" w:eastAsia="仿宋_GB2312"/>
          <w:color w:val="auto"/>
          <w:sz w:val="32"/>
          <w:szCs w:val="32"/>
          <w:lang w:val="en-US" w:eastAsia="zh-CN"/>
        </w:rPr>
        <w:t>2019年，区政府及区政府办公室共完成25条区级行政性规范性文件的一对一解读工作，全区共发布109个解读信息，其中图解、视频解读、新闻解读类解读产品共19个。</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hAnsi="仿宋_GB2312" w:eastAsia="仿宋_GB2312" w:cs="仿宋_GB2312"/>
          <w:snapToGrid w:val="0"/>
          <w:color w:val="auto"/>
          <w:sz w:val="32"/>
          <w:szCs w:val="32"/>
          <w:u w:val="none"/>
          <w:lang w:eastAsia="zh-CN"/>
        </w:rPr>
      </w:pPr>
      <w:r>
        <w:rPr>
          <w:rFonts w:hint="eastAsia" w:ascii="仿宋_GB2312" w:hAnsi="仿宋_GB2312" w:eastAsia="仿宋_GB2312" w:cs="仿宋_GB2312"/>
          <w:b/>
          <w:bCs/>
          <w:color w:val="auto"/>
          <w:kern w:val="2"/>
          <w:sz w:val="32"/>
          <w:szCs w:val="32"/>
          <w:lang w:val="en-US" w:eastAsia="zh-CN" w:bidi="ar-SA"/>
        </w:rPr>
        <w:t>三是扩大政策解读宣传。</w:t>
      </w:r>
      <w:r>
        <w:rPr>
          <w:rFonts w:hint="eastAsia" w:ascii="仿宋_GB2312" w:eastAsia="仿宋_GB2312"/>
          <w:color w:val="auto"/>
          <w:sz w:val="32"/>
          <w:szCs w:val="32"/>
        </w:rPr>
        <w:t>开展2019年瓯海区“十佳政策解读”评选活动</w:t>
      </w:r>
      <w:r>
        <w:rPr>
          <w:rFonts w:hint="eastAsia" w:ascii="仿宋_GB2312" w:eastAsia="仿宋_GB2312"/>
          <w:color w:val="auto"/>
          <w:sz w:val="32"/>
          <w:szCs w:val="32"/>
          <w:lang w:eastAsia="zh-CN"/>
        </w:rPr>
        <w:t>，</w:t>
      </w:r>
      <w:r>
        <w:rPr>
          <w:rFonts w:hint="eastAsia" w:ascii="仿宋_GB2312" w:eastAsia="仿宋_GB2312"/>
          <w:color w:val="auto"/>
          <w:sz w:val="32"/>
          <w:szCs w:val="32"/>
        </w:rPr>
        <w:t>提高</w:t>
      </w:r>
      <w:r>
        <w:rPr>
          <w:rFonts w:hint="eastAsia" w:ascii="仿宋_GB2312" w:eastAsia="仿宋_GB2312"/>
          <w:color w:val="auto"/>
          <w:sz w:val="32"/>
          <w:szCs w:val="32"/>
          <w:lang w:eastAsia="zh-CN"/>
        </w:rPr>
        <w:t>全区相关部门对政策解读工作的认识和</w:t>
      </w:r>
      <w:r>
        <w:rPr>
          <w:rFonts w:hint="eastAsia" w:ascii="仿宋_GB2312" w:eastAsia="仿宋_GB2312"/>
          <w:color w:val="auto"/>
          <w:sz w:val="32"/>
          <w:szCs w:val="32"/>
        </w:rPr>
        <w:t>积极性、丰富政策解读形式</w:t>
      </w:r>
      <w:r>
        <w:rPr>
          <w:rFonts w:hint="eastAsia" w:ascii="仿宋_GB2312" w:eastAsia="仿宋_GB2312"/>
          <w:color w:val="auto"/>
          <w:sz w:val="32"/>
          <w:szCs w:val="32"/>
          <w:lang w:eastAsia="zh-CN"/>
        </w:rPr>
        <w:t>，</w:t>
      </w:r>
      <w:r>
        <w:rPr>
          <w:rFonts w:hint="eastAsia" w:ascii="仿宋_GB2312" w:hAnsi="仿宋_GB2312" w:eastAsia="仿宋_GB2312"/>
          <w:color w:val="auto"/>
          <w:sz w:val="32"/>
        </w:rPr>
        <w:t>邀请第三方机构</w:t>
      </w:r>
      <w:r>
        <w:rPr>
          <w:rFonts w:hint="eastAsia" w:ascii="仿宋_GB2312" w:hAnsi="仿宋_GB2312" w:eastAsia="仿宋_GB2312"/>
          <w:color w:val="auto"/>
          <w:sz w:val="32"/>
          <w:lang w:eastAsia="zh-CN"/>
        </w:rPr>
        <w:t>组成</w:t>
      </w:r>
      <w:r>
        <w:rPr>
          <w:rFonts w:hint="eastAsia" w:ascii="仿宋_GB2312" w:hAnsi="仿宋_GB2312" w:eastAsia="仿宋_GB2312"/>
          <w:color w:val="auto"/>
          <w:sz w:val="32"/>
        </w:rPr>
        <w:t>评审委员会，坚持公开、公平、公正原则，坚持面向群众，坚持效果导向</w:t>
      </w:r>
      <w:r>
        <w:rPr>
          <w:rFonts w:hint="eastAsia" w:ascii="仿宋_GB2312" w:hAnsi="仿宋_GB2312" w:eastAsia="仿宋_GB2312"/>
          <w:color w:val="auto"/>
          <w:sz w:val="32"/>
          <w:lang w:eastAsia="zh-CN"/>
        </w:rPr>
        <w:t>，</w:t>
      </w:r>
      <w:r>
        <w:rPr>
          <w:rFonts w:hint="eastAsia" w:ascii="仿宋_GB2312" w:eastAsia="仿宋_GB2312"/>
          <w:color w:val="auto"/>
          <w:sz w:val="32"/>
          <w:szCs w:val="32"/>
        </w:rPr>
        <w:t>加大政策解读工作宣传力度</w:t>
      </w:r>
      <w:r>
        <w:rPr>
          <w:rFonts w:hint="eastAsia" w:ascii="仿宋_GB2312" w:eastAsia="仿宋_GB2312"/>
          <w:color w:val="auto"/>
          <w:sz w:val="32"/>
          <w:szCs w:val="32"/>
          <w:lang w:eastAsia="zh-CN"/>
        </w:rPr>
        <w:t>、提高群众知晓度。本次评选活动中，</w:t>
      </w:r>
      <w:r>
        <w:rPr>
          <w:rFonts w:hint="eastAsia" w:ascii="仿宋_GB2312" w:hAnsi="仿宋_GB2312" w:eastAsia="仿宋_GB2312" w:cs="仿宋_GB2312"/>
          <w:snapToGrid w:val="0"/>
          <w:color w:val="auto"/>
          <w:sz w:val="32"/>
          <w:szCs w:val="32"/>
          <w:u w:val="none"/>
        </w:rPr>
        <w:t>全</w:t>
      </w:r>
      <w:r>
        <w:rPr>
          <w:rFonts w:hint="eastAsia" w:ascii="仿宋_GB2312" w:hAnsi="仿宋_GB2312" w:eastAsia="仿宋_GB2312" w:cs="仿宋_GB2312"/>
          <w:snapToGrid w:val="0"/>
          <w:color w:val="auto"/>
          <w:sz w:val="32"/>
          <w:szCs w:val="32"/>
          <w:u w:val="none"/>
          <w:lang w:eastAsia="zh-CN"/>
        </w:rPr>
        <w:t>区各信息公开责任单位</w:t>
      </w:r>
      <w:r>
        <w:rPr>
          <w:rFonts w:hint="eastAsia" w:ascii="仿宋_GB2312" w:hAnsi="仿宋_GB2312" w:eastAsia="仿宋_GB2312" w:cs="仿宋_GB2312"/>
          <w:snapToGrid w:val="0"/>
          <w:color w:val="auto"/>
          <w:sz w:val="32"/>
          <w:szCs w:val="32"/>
          <w:u w:val="none"/>
        </w:rPr>
        <w:t>共</w:t>
      </w:r>
      <w:r>
        <w:rPr>
          <w:rFonts w:hint="eastAsia" w:ascii="仿宋_GB2312" w:hAnsi="仿宋_GB2312" w:eastAsia="仿宋_GB2312" w:cs="仿宋_GB2312"/>
          <w:snapToGrid w:val="0"/>
          <w:color w:val="auto"/>
          <w:sz w:val="32"/>
          <w:szCs w:val="32"/>
          <w:u w:val="none"/>
          <w:lang w:eastAsia="zh-CN"/>
        </w:rPr>
        <w:t>报送</w:t>
      </w:r>
      <w:r>
        <w:rPr>
          <w:rFonts w:hint="eastAsia" w:ascii="仿宋_GB2312" w:hAnsi="仿宋_GB2312" w:eastAsia="仿宋_GB2312" w:cs="仿宋_GB2312"/>
          <w:snapToGrid w:val="0"/>
          <w:color w:val="auto"/>
          <w:sz w:val="32"/>
          <w:szCs w:val="32"/>
          <w:u w:val="none"/>
          <w:lang w:val="en-US" w:eastAsia="zh-CN"/>
        </w:rPr>
        <w:t>51个参赛案例</w:t>
      </w:r>
      <w:r>
        <w:rPr>
          <w:rFonts w:hint="eastAsia" w:ascii="仿宋_GB2312" w:hAnsi="仿宋_GB2312" w:eastAsia="仿宋_GB2312" w:cs="仿宋_GB2312"/>
          <w:snapToGrid w:val="0"/>
          <w:color w:val="auto"/>
          <w:sz w:val="32"/>
          <w:szCs w:val="32"/>
          <w:u w:val="none"/>
        </w:rPr>
        <w:t>参与评</w:t>
      </w:r>
      <w:r>
        <w:rPr>
          <w:rFonts w:hint="eastAsia" w:ascii="仿宋_GB2312" w:hAnsi="仿宋_GB2312" w:eastAsia="仿宋_GB2312" w:cs="仿宋_GB2312"/>
          <w:snapToGrid w:val="0"/>
          <w:color w:val="auto"/>
          <w:sz w:val="32"/>
          <w:szCs w:val="32"/>
          <w:u w:val="none"/>
          <w:lang w:eastAsia="zh-CN"/>
        </w:rPr>
        <w:t>选</w:t>
      </w:r>
      <w:r>
        <w:rPr>
          <w:rFonts w:hint="eastAsia" w:ascii="仿宋_GB2312" w:hAnsi="仿宋_GB2312" w:eastAsia="仿宋_GB2312" w:cs="仿宋_GB2312"/>
          <w:snapToGrid w:val="0"/>
          <w:color w:val="auto"/>
          <w:sz w:val="32"/>
          <w:szCs w:val="32"/>
          <w:u w:val="none"/>
        </w:rPr>
        <w:t>活动</w:t>
      </w:r>
      <w:r>
        <w:rPr>
          <w:rFonts w:hint="eastAsia" w:ascii="仿宋_GB2312" w:hAnsi="仿宋_GB2312" w:eastAsia="仿宋_GB2312" w:cs="仿宋_GB2312"/>
          <w:snapToGrid w:val="0"/>
          <w:color w:val="auto"/>
          <w:sz w:val="32"/>
          <w:szCs w:val="32"/>
          <w:u w:val="none"/>
          <w:lang w:eastAsia="zh-CN"/>
        </w:rPr>
        <w:t>，</w:t>
      </w:r>
      <w:r>
        <w:rPr>
          <w:rFonts w:hint="eastAsia" w:ascii="仿宋_GB2312" w:hAnsi="仿宋_GB2312" w:eastAsia="仿宋_GB2312" w:cs="仿宋_GB2312"/>
          <w:snapToGrid w:val="0"/>
          <w:color w:val="auto"/>
          <w:sz w:val="32"/>
          <w:szCs w:val="32"/>
          <w:u w:val="none"/>
        </w:rPr>
        <w:t>经过组织发动、接受申报、专家评审、公众投票、领导报审</w:t>
      </w:r>
      <w:r>
        <w:rPr>
          <w:rFonts w:hint="eastAsia" w:ascii="仿宋_GB2312" w:hAnsi="仿宋_GB2312" w:eastAsia="仿宋_GB2312" w:cs="仿宋_GB2312"/>
          <w:snapToGrid w:val="0"/>
          <w:color w:val="auto"/>
          <w:sz w:val="32"/>
          <w:szCs w:val="32"/>
          <w:u w:val="none"/>
          <w:lang w:eastAsia="zh-CN"/>
        </w:rPr>
        <w:t>、发布结果</w:t>
      </w:r>
      <w:r>
        <w:rPr>
          <w:rFonts w:hint="eastAsia" w:ascii="仿宋_GB2312" w:hAnsi="仿宋_GB2312" w:eastAsia="仿宋_GB2312" w:cs="仿宋_GB2312"/>
          <w:snapToGrid w:val="0"/>
          <w:color w:val="auto"/>
          <w:sz w:val="32"/>
          <w:szCs w:val="32"/>
          <w:u w:val="none"/>
        </w:rPr>
        <w:t>等环节，</w:t>
      </w:r>
      <w:r>
        <w:rPr>
          <w:rFonts w:hint="eastAsia" w:ascii="仿宋_GB2312" w:hAnsi="仿宋_GB2312" w:eastAsia="仿宋_GB2312" w:cs="仿宋_GB2312"/>
          <w:snapToGrid w:val="0"/>
          <w:color w:val="auto"/>
          <w:sz w:val="32"/>
          <w:szCs w:val="32"/>
          <w:u w:val="none"/>
          <w:lang w:eastAsia="zh-CN"/>
        </w:rPr>
        <w:t>区发改局、区教育局等单位报送的解读案例</w:t>
      </w:r>
      <w:r>
        <w:rPr>
          <w:rFonts w:hint="eastAsia" w:ascii="仿宋_GB2312" w:hAnsi="仿宋_GB2312" w:eastAsia="仿宋_GB2312" w:cs="仿宋_GB2312"/>
          <w:snapToGrid w:val="0"/>
          <w:color w:val="auto"/>
          <w:sz w:val="32"/>
          <w:szCs w:val="32"/>
          <w:u w:val="none"/>
        </w:rPr>
        <w:t>最终入选</w:t>
      </w:r>
      <w:r>
        <w:rPr>
          <w:rFonts w:hint="eastAsia" w:ascii="仿宋_GB2312" w:hAnsi="仿宋_GB2312" w:eastAsia="仿宋_GB2312" w:cs="仿宋_GB2312"/>
          <w:snapToGrid w:val="0"/>
          <w:color w:val="auto"/>
          <w:sz w:val="32"/>
          <w:szCs w:val="32"/>
          <w:u w:val="none"/>
          <w:lang w:eastAsia="zh-CN"/>
        </w:rPr>
        <w:t>瓯海区</w:t>
      </w:r>
      <w:r>
        <w:rPr>
          <w:rFonts w:hint="eastAsia" w:ascii="仿宋_GB2312" w:hAnsi="仿宋_GB2312" w:eastAsia="仿宋_GB2312" w:cs="仿宋_GB2312"/>
          <w:snapToGrid w:val="0"/>
          <w:color w:val="auto"/>
          <w:sz w:val="32"/>
          <w:szCs w:val="32"/>
          <w:u w:val="none"/>
        </w:rPr>
        <w:t>“十佳</w:t>
      </w:r>
      <w:r>
        <w:rPr>
          <w:rFonts w:hint="eastAsia" w:ascii="仿宋_GB2312" w:hAnsi="仿宋_GB2312" w:eastAsia="仿宋_GB2312" w:cs="仿宋_GB2312"/>
          <w:snapToGrid w:val="0"/>
          <w:color w:val="auto"/>
          <w:sz w:val="32"/>
          <w:szCs w:val="32"/>
          <w:u w:val="none"/>
          <w:lang w:eastAsia="zh-CN"/>
        </w:rPr>
        <w:t>政策解读</w:t>
      </w:r>
      <w:r>
        <w:rPr>
          <w:rFonts w:hint="eastAsia" w:ascii="仿宋_GB2312" w:hAnsi="仿宋_GB2312" w:eastAsia="仿宋_GB2312" w:cs="仿宋_GB2312"/>
          <w:snapToGrid w:val="0"/>
          <w:color w:val="auto"/>
          <w:sz w:val="32"/>
          <w:szCs w:val="32"/>
          <w:u w:val="none"/>
        </w:rPr>
        <w:t>”</w:t>
      </w:r>
      <w:r>
        <w:rPr>
          <w:rFonts w:hint="eastAsia" w:ascii="仿宋_GB2312" w:hAnsi="仿宋_GB2312" w:eastAsia="仿宋_GB2312" w:cs="仿宋_GB2312"/>
          <w:snapToGrid w:val="0"/>
          <w:color w:val="auto"/>
          <w:sz w:val="32"/>
          <w:szCs w:val="32"/>
          <w:u w:val="none"/>
          <w:lang w:eastAsia="zh-CN"/>
        </w:rPr>
        <w:t>清单。</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71552" behindDoc="0" locked="0" layoutInCell="1" allowOverlap="1">
            <wp:simplePos x="0" y="0"/>
            <wp:positionH relativeFrom="column">
              <wp:posOffset>3175</wp:posOffset>
            </wp:positionH>
            <wp:positionV relativeFrom="paragraph">
              <wp:posOffset>100330</wp:posOffset>
            </wp:positionV>
            <wp:extent cx="5654040" cy="3569335"/>
            <wp:effectExtent l="0" t="0" r="3810" b="12065"/>
            <wp:wrapTopAndBottom/>
            <wp:docPr id="32" name="图片 3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4"/>
                    <pic:cNvPicPr>
                      <a:picLocks noChangeAspect="1"/>
                    </pic:cNvPicPr>
                  </pic:nvPicPr>
                  <pic:blipFill>
                    <a:blip r:embed="rId20"/>
                    <a:stretch>
                      <a:fillRect/>
                    </a:stretch>
                  </pic:blipFill>
                  <pic:spPr>
                    <a:xfrm>
                      <a:off x="0" y="0"/>
                      <a:ext cx="5654040" cy="3569335"/>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2019年瓯海区“十佳政策解读”评选活动</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楷体" w:hAnsi="楷体" w:eastAsia="楷体" w:cs="楷体"/>
          <w:b w:val="0"/>
          <w:bCs w:val="0"/>
          <w:color w:val="auto"/>
          <w:kern w:val="2"/>
          <w:sz w:val="32"/>
          <w:szCs w:val="32"/>
          <w:lang w:val="en-US" w:eastAsia="zh-CN" w:bidi="ar-SA"/>
        </w:rPr>
        <w:t>（五）聚焦回应关切</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一是拓宽公众参与途径。</w:t>
      </w:r>
      <w:r>
        <w:rPr>
          <w:rFonts w:hint="eastAsia" w:ascii="仿宋_GB2312" w:eastAsia="仿宋_GB2312" w:cstheme="minorBidi"/>
          <w:color w:val="auto"/>
          <w:kern w:val="2"/>
          <w:sz w:val="32"/>
          <w:szCs w:val="32"/>
          <w:lang w:val="en-US" w:eastAsia="zh-CN" w:bidi="ar-SA"/>
        </w:rPr>
        <w:t>深入推进</w:t>
      </w:r>
      <w:r>
        <w:rPr>
          <w:rFonts w:hint="eastAsia" w:ascii="仿宋_GB2312" w:eastAsia="仿宋_GB2312" w:hAnsiTheme="minorHAnsi" w:cstheme="minorBidi"/>
          <w:color w:val="auto"/>
          <w:kern w:val="2"/>
          <w:sz w:val="32"/>
          <w:szCs w:val="32"/>
          <w:lang w:val="en-US" w:eastAsia="zh-CN" w:bidi="ar-SA"/>
        </w:rPr>
        <w:t>新（续）聘市民参政智囊团、完善落实公众列席旁听政府会议制度等，切实提高公众参与度。2019年，瓯海区已举办各类开放日活动26场次，</w:t>
      </w:r>
      <w:r>
        <w:rPr>
          <w:rFonts w:hint="eastAsia" w:ascii="仿宋_GB2312" w:hAnsi="仿宋_GB2312" w:eastAsia="仿宋_GB2312"/>
          <w:color w:val="auto"/>
          <w:sz w:val="32"/>
        </w:rPr>
        <w:t>涉及城市管理、安全生产、环境保护、统计、文化、体育、司法等多个领域</w:t>
      </w:r>
      <w:r>
        <w:rPr>
          <w:rFonts w:hint="eastAsia" w:ascii="仿宋_GB2312" w:hAnsi="仿宋_GB2312" w:eastAsia="仿宋_GB2312"/>
          <w:color w:val="auto"/>
          <w:sz w:val="32"/>
          <w:lang w:eastAsia="zh-CN"/>
        </w:rPr>
        <w:t>；</w:t>
      </w:r>
      <w:r>
        <w:rPr>
          <w:rFonts w:hint="eastAsia" w:ascii="仿宋_GB2312" w:eastAsia="仿宋_GB2312" w:hAnsiTheme="minorHAnsi" w:cstheme="minorBidi"/>
          <w:color w:val="auto"/>
          <w:kern w:val="2"/>
          <w:sz w:val="32"/>
          <w:szCs w:val="32"/>
          <w:lang w:val="en-US" w:eastAsia="zh-CN" w:bidi="ar-SA"/>
        </w:rPr>
        <w:t>召开区政府常务会议1</w:t>
      </w:r>
      <w:r>
        <w:rPr>
          <w:rFonts w:hint="eastAsia" w:ascii="仿宋_GB2312" w:eastAsia="仿宋_GB2312" w:cstheme="minorBidi"/>
          <w:color w:val="auto"/>
          <w:kern w:val="2"/>
          <w:sz w:val="32"/>
          <w:szCs w:val="32"/>
          <w:lang w:val="en-US" w:eastAsia="zh-CN" w:bidi="ar-SA"/>
        </w:rPr>
        <w:t>3</w:t>
      </w:r>
      <w:r>
        <w:rPr>
          <w:rFonts w:hint="eastAsia" w:ascii="仿宋_GB2312" w:eastAsia="仿宋_GB2312" w:hAnsiTheme="minorHAnsi" w:cstheme="minorBidi"/>
          <w:color w:val="auto"/>
          <w:kern w:val="2"/>
          <w:sz w:val="32"/>
          <w:szCs w:val="32"/>
          <w:lang w:val="en-US" w:eastAsia="zh-CN" w:bidi="ar-SA"/>
        </w:rPr>
        <w:t>次，其中参政智囊团成员和公众代表共58人次参与7次会议、28项政府决策过程，并提出近60条建议意见，为科学制定政策、依法决策提供了群众智慧。11月15日，举办以聚焦“政府数字化转型”为主题的区级“政府开放日”活动，由区长带队，邀请包括区人大代表、政协委员、参政智囊团成员、政府市民监督团成员等26名市民代表，一同实地考</w:t>
      </w:r>
      <w:r>
        <w:rPr>
          <w:rFonts w:hint="eastAsia" w:ascii="仿宋_GB2312" w:eastAsia="仿宋_GB2312" w:cstheme="minorBidi"/>
          <w:color w:val="auto"/>
          <w:kern w:val="2"/>
          <w:sz w:val="32"/>
          <w:szCs w:val="32"/>
          <w:lang w:val="en-US" w:eastAsia="zh-CN" w:bidi="ar-SA"/>
        </w:rPr>
        <w:t>察，并召开座谈会。</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72576" behindDoc="0" locked="0" layoutInCell="1" allowOverlap="1">
            <wp:simplePos x="0" y="0"/>
            <wp:positionH relativeFrom="column">
              <wp:posOffset>-208280</wp:posOffset>
            </wp:positionH>
            <wp:positionV relativeFrom="paragraph">
              <wp:posOffset>86995</wp:posOffset>
            </wp:positionV>
            <wp:extent cx="6032500" cy="3973195"/>
            <wp:effectExtent l="0" t="0" r="6350" b="8255"/>
            <wp:wrapTopAndBottom/>
            <wp:docPr id="34" name="图片 34"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5"/>
                    <pic:cNvPicPr>
                      <a:picLocks noChangeAspect="1"/>
                    </pic:cNvPicPr>
                  </pic:nvPicPr>
                  <pic:blipFill>
                    <a:blip r:embed="rId21"/>
                    <a:stretch>
                      <a:fillRect/>
                    </a:stretch>
                  </pic:blipFill>
                  <pic:spPr>
                    <a:xfrm>
                      <a:off x="0" y="0"/>
                      <a:ext cx="6032500" cy="3973195"/>
                    </a:xfrm>
                    <a:prstGeom prst="rect">
                      <a:avLst/>
                    </a:prstGeom>
                  </pic:spPr>
                </pic:pic>
              </a:graphicData>
            </a:graphic>
          </wp:anchor>
        </w:drawing>
      </w:r>
      <w:r>
        <w:rPr>
          <w:rFonts w:hint="eastAsia" w:ascii="仿宋_GB2312" w:hAnsi="仿宋_GB2312" w:eastAsia="仿宋_GB2312" w:cs="仿宋_GB2312"/>
          <w:color w:val="auto"/>
          <w:sz w:val="24"/>
          <w:szCs w:val="24"/>
          <w:lang w:val="en-US" w:eastAsia="zh-CN"/>
        </w:rPr>
        <w:t>2019年瓯海区“政府开放日”活动系列报道</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二是联通政府门户网站与瓯海区新闻网。</w:t>
      </w:r>
      <w:r>
        <w:rPr>
          <w:rFonts w:hint="eastAsia" w:ascii="仿宋_GB2312" w:eastAsia="仿宋_GB2312" w:hAnsiTheme="minorHAnsi" w:cstheme="minorBidi"/>
          <w:color w:val="auto"/>
          <w:kern w:val="2"/>
          <w:sz w:val="32"/>
          <w:szCs w:val="32"/>
          <w:lang w:val="en-US" w:eastAsia="zh-CN" w:bidi="ar-SA"/>
        </w:rPr>
        <w:t>在门户网站</w:t>
      </w:r>
      <w:r>
        <w:rPr>
          <w:rFonts w:hint="eastAsia" w:ascii="仿宋_GB2312" w:eastAsia="仿宋_GB2312" w:cstheme="minorBidi"/>
          <w:color w:val="auto"/>
          <w:kern w:val="2"/>
          <w:sz w:val="32"/>
          <w:szCs w:val="32"/>
          <w:lang w:val="en-US" w:eastAsia="zh-CN" w:bidi="ar-SA"/>
        </w:rPr>
        <w:t>开设的</w:t>
      </w:r>
      <w:r>
        <w:rPr>
          <w:rFonts w:hint="eastAsia" w:ascii="仿宋_GB2312" w:eastAsia="仿宋_GB2312" w:hAnsiTheme="minorHAnsi" w:cstheme="minorBidi"/>
          <w:color w:val="auto"/>
          <w:kern w:val="2"/>
          <w:sz w:val="32"/>
          <w:szCs w:val="32"/>
          <w:lang w:val="en-US" w:eastAsia="zh-CN" w:bidi="ar-SA"/>
        </w:rPr>
        <w:t>“五公开”专栏</w:t>
      </w:r>
      <w:r>
        <w:rPr>
          <w:rFonts w:hint="eastAsia" w:ascii="仿宋_GB2312" w:eastAsia="仿宋_GB2312" w:cstheme="minorBidi"/>
          <w:color w:val="auto"/>
          <w:kern w:val="2"/>
          <w:sz w:val="32"/>
          <w:szCs w:val="32"/>
          <w:lang w:val="en-US" w:eastAsia="zh-CN" w:bidi="ar-SA"/>
        </w:rPr>
        <w:t>的</w:t>
      </w:r>
      <w:r>
        <w:rPr>
          <w:rFonts w:hint="eastAsia" w:ascii="仿宋_GB2312" w:eastAsia="仿宋_GB2312" w:hAnsiTheme="minorHAnsi" w:cstheme="minorBidi"/>
          <w:color w:val="auto"/>
          <w:kern w:val="2"/>
          <w:sz w:val="32"/>
          <w:szCs w:val="32"/>
          <w:lang w:val="en-US" w:eastAsia="zh-CN" w:bidi="ar-SA"/>
        </w:rPr>
        <w:t>“决策公开”栏目</w:t>
      </w:r>
      <w:r>
        <w:rPr>
          <w:rFonts w:hint="eastAsia" w:ascii="仿宋_GB2312" w:eastAsia="仿宋_GB2312" w:cstheme="minorBidi"/>
          <w:color w:val="auto"/>
          <w:kern w:val="2"/>
          <w:sz w:val="32"/>
          <w:szCs w:val="32"/>
          <w:lang w:val="en-US" w:eastAsia="zh-CN" w:bidi="ar-SA"/>
        </w:rPr>
        <w:t>及时做好与瓯海新闻网的信息同步工作，全年共更新公开13次区政府常务会议，</w:t>
      </w:r>
      <w:r>
        <w:rPr>
          <w:rFonts w:hint="eastAsia" w:ascii="仿宋_GB2312" w:eastAsia="仿宋_GB2312" w:hAnsiTheme="minorHAnsi" w:cstheme="minorBidi"/>
          <w:color w:val="auto"/>
          <w:kern w:val="2"/>
          <w:sz w:val="32"/>
          <w:szCs w:val="32"/>
          <w:lang w:val="en-US" w:eastAsia="zh-CN" w:bidi="ar-SA"/>
        </w:rPr>
        <w:t>及时发布区政府常务会议实录短视频和会议简要报道</w:t>
      </w:r>
      <w:r>
        <w:rPr>
          <w:rFonts w:hint="eastAsia" w:ascii="仿宋_GB2312" w:eastAsia="仿宋_GB2312" w:cstheme="minorBidi"/>
          <w:color w:val="auto"/>
          <w:kern w:val="2"/>
          <w:sz w:val="32"/>
          <w:szCs w:val="32"/>
          <w:lang w:val="en-US" w:eastAsia="zh-CN" w:bidi="ar-SA"/>
        </w:rPr>
        <w:t>。</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三是完善重大决策意见征集和反馈。</w:t>
      </w:r>
      <w:r>
        <w:rPr>
          <w:rFonts w:hint="eastAsia" w:ascii="仿宋_GB2312" w:eastAsia="仿宋_GB2312" w:cstheme="minorBidi"/>
          <w:color w:val="auto"/>
          <w:kern w:val="2"/>
          <w:sz w:val="32"/>
          <w:szCs w:val="32"/>
          <w:lang w:val="en-US" w:eastAsia="zh-CN" w:bidi="ar-SA"/>
        </w:rPr>
        <w:t>在门户网站首页设置专栏，2019年共发布征集调查69期，向公众征</w:t>
      </w:r>
      <w:r>
        <w:rPr>
          <w:rFonts w:hint="eastAsia" w:ascii="仿宋_GB2312" w:eastAsia="仿宋_GB2312" w:hAnsiTheme="minorHAnsi" w:cstheme="minorBidi"/>
          <w:color w:val="auto"/>
          <w:kern w:val="2"/>
          <w:sz w:val="32"/>
          <w:szCs w:val="32"/>
          <w:lang w:val="en-US" w:eastAsia="zh-CN" w:bidi="ar-SA"/>
        </w:rPr>
        <w:t>求</w:t>
      </w:r>
      <w:r>
        <w:rPr>
          <w:rFonts w:hint="eastAsia" w:ascii="仿宋_GB2312" w:eastAsia="仿宋_GB2312" w:cstheme="minorBidi"/>
          <w:color w:val="auto"/>
          <w:kern w:val="2"/>
          <w:sz w:val="32"/>
          <w:szCs w:val="32"/>
          <w:lang w:val="en-US" w:eastAsia="zh-CN" w:bidi="ar-SA"/>
        </w:rPr>
        <w:t>包括行政规范性文件等</w:t>
      </w:r>
      <w:r>
        <w:rPr>
          <w:rFonts w:hint="eastAsia" w:ascii="仿宋_GB2312" w:eastAsia="仿宋_GB2312" w:hAnsiTheme="minorHAnsi" w:cstheme="minorBidi"/>
          <w:color w:val="auto"/>
          <w:kern w:val="2"/>
          <w:sz w:val="32"/>
          <w:szCs w:val="32"/>
          <w:lang w:val="en-US" w:eastAsia="zh-CN" w:bidi="ar-SA"/>
        </w:rPr>
        <w:t>重大行政决策</w:t>
      </w:r>
      <w:r>
        <w:rPr>
          <w:rFonts w:hint="eastAsia" w:ascii="仿宋_GB2312" w:eastAsia="仿宋_GB2312" w:cstheme="minorBidi"/>
          <w:color w:val="auto"/>
          <w:kern w:val="2"/>
          <w:sz w:val="32"/>
          <w:szCs w:val="32"/>
          <w:lang w:val="en-US" w:eastAsia="zh-CN" w:bidi="ar-SA"/>
        </w:rPr>
        <w:t>的</w:t>
      </w:r>
      <w:r>
        <w:rPr>
          <w:rFonts w:hint="eastAsia" w:ascii="仿宋_GB2312" w:eastAsia="仿宋_GB2312" w:hAnsiTheme="minorHAnsi" w:cstheme="minorBidi"/>
          <w:color w:val="auto"/>
          <w:kern w:val="2"/>
          <w:sz w:val="32"/>
          <w:szCs w:val="32"/>
          <w:lang w:val="en-US" w:eastAsia="zh-CN" w:bidi="ar-SA"/>
        </w:rPr>
        <w:t>意见，让公众</w:t>
      </w:r>
      <w:r>
        <w:rPr>
          <w:rFonts w:hint="eastAsia" w:ascii="仿宋_GB2312" w:eastAsia="仿宋_GB2312" w:cstheme="minorBidi"/>
          <w:color w:val="auto"/>
          <w:kern w:val="2"/>
          <w:sz w:val="32"/>
          <w:szCs w:val="32"/>
          <w:lang w:val="en-US" w:eastAsia="zh-CN" w:bidi="ar-SA"/>
        </w:rPr>
        <w:t>更直接地</w:t>
      </w:r>
      <w:r>
        <w:rPr>
          <w:rFonts w:hint="eastAsia" w:ascii="仿宋_GB2312" w:eastAsia="仿宋_GB2312" w:hAnsiTheme="minorHAnsi" w:cstheme="minorBidi"/>
          <w:color w:val="auto"/>
          <w:kern w:val="2"/>
          <w:sz w:val="32"/>
          <w:szCs w:val="32"/>
          <w:lang w:val="en-US" w:eastAsia="zh-CN" w:bidi="ar-SA"/>
        </w:rPr>
        <w:t>参与到政府决策中来，</w:t>
      </w:r>
      <w:r>
        <w:rPr>
          <w:rFonts w:hint="eastAsia" w:ascii="仿宋_GB2312" w:eastAsia="仿宋_GB2312" w:cstheme="minorBidi"/>
          <w:color w:val="auto"/>
          <w:kern w:val="2"/>
          <w:sz w:val="32"/>
          <w:szCs w:val="32"/>
          <w:lang w:val="en-US" w:eastAsia="zh-CN" w:bidi="ar-SA"/>
        </w:rPr>
        <w:t>并同步</w:t>
      </w:r>
      <w:r>
        <w:rPr>
          <w:rFonts w:hint="eastAsia" w:ascii="仿宋_GB2312" w:eastAsia="仿宋_GB2312" w:hAnsiTheme="minorHAnsi" w:cstheme="minorBidi"/>
          <w:color w:val="auto"/>
          <w:kern w:val="2"/>
          <w:sz w:val="32"/>
          <w:szCs w:val="32"/>
          <w:lang w:val="en-US" w:eastAsia="zh-CN" w:bidi="ar-SA"/>
        </w:rPr>
        <w:t>做好意见采纳情况反馈</w:t>
      </w:r>
      <w:r>
        <w:rPr>
          <w:rFonts w:hint="eastAsia" w:ascii="仿宋_GB2312" w:eastAsia="仿宋_GB2312" w:cstheme="minorBidi"/>
          <w:color w:val="auto"/>
          <w:kern w:val="2"/>
          <w:sz w:val="32"/>
          <w:szCs w:val="32"/>
          <w:lang w:val="en-US" w:eastAsia="zh-CN" w:bidi="ar-SA"/>
        </w:rPr>
        <w:t>，提高群众参与感、增强反馈机制。</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四是保障新媒体平台互动渠道畅通。</w:t>
      </w:r>
      <w:r>
        <w:rPr>
          <w:rFonts w:hint="eastAsia" w:ascii="仿宋_GB2312" w:eastAsia="仿宋_GB2312" w:cstheme="minorBidi"/>
          <w:color w:val="auto"/>
          <w:kern w:val="2"/>
          <w:sz w:val="32"/>
          <w:szCs w:val="32"/>
          <w:lang w:val="en-US" w:eastAsia="zh-CN" w:bidi="ar-SA"/>
        </w:rPr>
        <w:t>按照</w:t>
      </w:r>
      <w:r>
        <w:rPr>
          <w:rFonts w:hint="eastAsia" w:ascii="仿宋_GB2312" w:eastAsia="仿宋_GB2312" w:hAnsiTheme="minorHAnsi" w:cstheme="minorBidi"/>
          <w:color w:val="auto"/>
          <w:kern w:val="2"/>
          <w:sz w:val="32"/>
          <w:szCs w:val="32"/>
          <w:lang w:val="en-US" w:eastAsia="zh-CN" w:bidi="ar-SA"/>
        </w:rPr>
        <w:t>“谁开设、谁主办、谁负责</w:t>
      </w:r>
      <w:r>
        <w:rPr>
          <w:rFonts w:hint="default" w:ascii="仿宋_GB2312" w:eastAsia="仿宋_GB2312" w:hAnsiTheme="minorHAnsi" w:cstheme="minorBidi"/>
          <w:color w:val="auto"/>
          <w:kern w:val="2"/>
          <w:sz w:val="32"/>
          <w:szCs w:val="32"/>
          <w:lang w:val="en-US" w:eastAsia="zh-CN" w:bidi="ar-SA"/>
        </w:rPr>
        <w:t>”的原则</w:t>
      </w:r>
      <w:r>
        <w:rPr>
          <w:rFonts w:hint="eastAsia" w:ascii="仿宋_GB2312" w:eastAsia="仿宋_GB2312" w:hAnsiTheme="minorHAnsi" w:cstheme="minorBidi"/>
          <w:color w:val="auto"/>
          <w:kern w:val="2"/>
          <w:sz w:val="32"/>
          <w:szCs w:val="32"/>
          <w:lang w:val="en-US" w:eastAsia="zh-CN" w:bidi="ar-SA"/>
        </w:rPr>
        <w:t>落</w:t>
      </w:r>
      <w:r>
        <w:rPr>
          <w:rFonts w:hint="eastAsia" w:ascii="仿宋_GB2312" w:eastAsia="仿宋_GB2312" w:cstheme="minorBidi"/>
          <w:color w:val="auto"/>
          <w:kern w:val="2"/>
          <w:sz w:val="32"/>
          <w:szCs w:val="32"/>
          <w:lang w:val="en-US" w:eastAsia="zh-CN" w:bidi="ar-SA"/>
        </w:rPr>
        <w:t>实全区信息公开责任单位政务新媒体运营主体责任，保证政务新媒体更新运营，并确保留言反馈渠道畅通。</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黑体" w:hAnsi="黑体" w:eastAsia="黑体" w:cs="黑体"/>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五是推进政务咨询投诉举报受理。</w:t>
      </w:r>
      <w:r>
        <w:rPr>
          <w:rFonts w:hint="eastAsia" w:ascii="仿宋_GB2312" w:eastAsia="仿宋_GB2312" w:hAnsiTheme="minorHAnsi" w:cstheme="minorBidi"/>
          <w:color w:val="auto"/>
          <w:kern w:val="2"/>
          <w:sz w:val="32"/>
          <w:szCs w:val="32"/>
          <w:lang w:val="en-US" w:eastAsia="zh-CN" w:bidi="ar-SA"/>
        </w:rPr>
        <w:t>通过</w:t>
      </w:r>
      <w:r>
        <w:rPr>
          <w:rFonts w:hint="eastAsia" w:ascii="仿宋_GB2312" w:eastAsia="仿宋_GB2312" w:cstheme="minorBidi"/>
          <w:color w:val="auto"/>
          <w:kern w:val="2"/>
          <w:sz w:val="32"/>
          <w:szCs w:val="32"/>
          <w:lang w:val="en-US" w:eastAsia="zh-CN" w:bidi="ar-SA"/>
        </w:rPr>
        <w:t>政务</w:t>
      </w:r>
      <w:r>
        <w:rPr>
          <w:rFonts w:hint="eastAsia" w:ascii="仿宋_GB2312" w:eastAsia="仿宋_GB2312" w:hAnsiTheme="minorHAnsi" w:cstheme="minorBidi"/>
          <w:color w:val="auto"/>
          <w:kern w:val="2"/>
          <w:sz w:val="32"/>
          <w:szCs w:val="32"/>
          <w:lang w:val="en-US" w:eastAsia="zh-CN" w:bidi="ar-SA"/>
        </w:rPr>
        <w:t>统一咨询投诉举报平台及12345热线电话，受理政务咨询投诉、热线电话(包括信、访、网、电)共35200件，办结率99.93%、回访核实率99.96%、信访部门满意率99.62%。10月16日，区长曾瑞华接听12345政务服务热线，参与网上交流，回应民众热点关注问题51条。</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楷体" w:hAnsi="楷体" w:eastAsia="楷体" w:cs="楷体"/>
          <w:b w:val="0"/>
          <w:bCs w:val="0"/>
          <w:color w:val="auto"/>
          <w:kern w:val="2"/>
          <w:sz w:val="32"/>
          <w:szCs w:val="32"/>
          <w:lang w:val="en-US" w:eastAsia="zh-CN" w:bidi="ar-SA"/>
        </w:rPr>
      </w:pPr>
      <w:r>
        <w:rPr>
          <w:rFonts w:hint="eastAsia" w:ascii="楷体" w:hAnsi="楷体" w:eastAsia="楷体" w:cs="楷体"/>
          <w:b w:val="0"/>
          <w:bCs w:val="0"/>
          <w:color w:val="auto"/>
          <w:kern w:val="2"/>
          <w:sz w:val="32"/>
          <w:szCs w:val="32"/>
          <w:lang w:val="en-US" w:eastAsia="zh-CN" w:bidi="ar-SA"/>
        </w:rPr>
        <w:t>（六）健全监督保障</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一是全面部署工作要点。</w:t>
      </w:r>
      <w:r>
        <w:rPr>
          <w:rFonts w:hint="eastAsia" w:ascii="仿宋_GB2312" w:eastAsia="仿宋_GB2312" w:hAnsiTheme="minorHAnsi" w:cstheme="minorBidi"/>
          <w:color w:val="auto"/>
          <w:kern w:val="2"/>
          <w:sz w:val="32"/>
          <w:szCs w:val="32"/>
          <w:lang w:val="en-US" w:eastAsia="zh-CN" w:bidi="ar-SA"/>
        </w:rPr>
        <w:t>瓯海区印发《2019年瓯海区政务公开工作要点》，对</w:t>
      </w:r>
      <w:r>
        <w:rPr>
          <w:rFonts w:hint="eastAsia" w:ascii="仿宋_GB2312" w:eastAsia="仿宋_GB2312" w:cstheme="minorBidi"/>
          <w:color w:val="auto"/>
          <w:kern w:val="2"/>
          <w:sz w:val="32"/>
          <w:szCs w:val="32"/>
          <w:lang w:val="en-US" w:eastAsia="zh-CN" w:bidi="ar-SA"/>
        </w:rPr>
        <w:t>全区政务公开总体工作进行部署，落实责任主体，部门主要负责人亲自抓、分管负责人具体抓。</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stheme="minorBidi"/>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二是细化考核标准。</w:t>
      </w:r>
      <w:r>
        <w:rPr>
          <w:rFonts w:hint="eastAsia" w:ascii="仿宋_GB2312" w:eastAsia="仿宋_GB2312" w:cstheme="minorBidi"/>
          <w:color w:val="auto"/>
          <w:kern w:val="2"/>
          <w:sz w:val="32"/>
          <w:szCs w:val="32"/>
          <w:lang w:val="en-US" w:eastAsia="zh-CN" w:bidi="ar-SA"/>
        </w:rPr>
        <w:t>印发《温州市瓯海区2019年度区属部门政务公开日常动态考评细则》，将政务公开工作纳入镇街重要督办事项落实情况负面清单，分别从基础工作、主动公开、平台建设、依申请公开、政策解读和舆情回应等六个方面对其进行全面考核，对存在问题的单位和个人落实责任追究。</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楷体" w:hAnsi="楷体" w:eastAsia="楷体" w:cs="楷体"/>
          <w:color w:val="auto"/>
          <w:kern w:val="2"/>
          <w:sz w:val="32"/>
          <w:szCs w:val="32"/>
          <w:lang w:val="en-US" w:eastAsia="zh-CN" w:bidi="ar-SA"/>
        </w:rPr>
      </w:pPr>
      <w:r>
        <w:rPr>
          <w:rFonts w:hint="eastAsia" w:ascii="仿宋_GB2312" w:hAnsi="仿宋_GB2312" w:eastAsia="仿宋_GB2312" w:cs="仿宋_GB2312"/>
          <w:b/>
          <w:bCs/>
          <w:color w:val="auto"/>
          <w:kern w:val="2"/>
          <w:sz w:val="32"/>
          <w:szCs w:val="32"/>
          <w:lang w:val="en-US" w:eastAsia="zh-CN" w:bidi="ar-SA"/>
        </w:rPr>
        <w:t>三是完善工作考评。</w:t>
      </w:r>
      <w:r>
        <w:rPr>
          <w:rFonts w:hint="eastAsia" w:ascii="仿宋_GB2312" w:eastAsia="仿宋_GB2312" w:cstheme="minorBidi"/>
          <w:color w:val="auto"/>
          <w:kern w:val="2"/>
          <w:sz w:val="32"/>
          <w:szCs w:val="32"/>
          <w:lang w:val="en-US" w:eastAsia="zh-CN" w:bidi="ar-SA"/>
        </w:rPr>
        <w:t>邀请第三方评估机构对全区政务公开工作进行常态化评估，一年出具两期具体评估，查漏补缺，提升工作水平。除区级日常检查通报外，依托第三方网站监测公司，搭建监测平台，提供实时监测、出具月度报告，完善网站运营管理。</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3" w:firstLineChars="200"/>
        <w:jc w:val="both"/>
        <w:textAlignment w:val="auto"/>
        <w:rPr>
          <w:rFonts w:hint="eastAsia" w:ascii="仿宋_GB2312" w:eastAsia="仿宋_GB2312"/>
          <w:color w:val="auto"/>
          <w:sz w:val="32"/>
          <w:szCs w:val="32"/>
        </w:rPr>
      </w:pPr>
      <w:r>
        <w:rPr>
          <w:rFonts w:hint="eastAsia" w:ascii="仿宋_GB2312" w:hAnsi="仿宋_GB2312" w:eastAsia="仿宋_GB2312" w:cs="仿宋_GB2312"/>
          <w:b/>
          <w:bCs/>
          <w:color w:val="auto"/>
          <w:kern w:val="2"/>
          <w:sz w:val="32"/>
          <w:szCs w:val="32"/>
          <w:lang w:val="en-US" w:eastAsia="zh-CN" w:bidi="ar-SA"/>
        </w:rPr>
        <w:t>四是强化业务培训。</w:t>
      </w:r>
      <w:r>
        <w:rPr>
          <w:rFonts w:hint="eastAsia" w:ascii="仿宋_GB2312" w:eastAsia="仿宋_GB2312"/>
          <w:color w:val="auto"/>
          <w:sz w:val="32"/>
          <w:szCs w:val="32"/>
          <w:lang w:val="en-US" w:eastAsia="zh-CN"/>
        </w:rPr>
        <w:t>2019年5月、10月分别召开全区主动公开暨政府网站与政务新媒体建设和管理培训会、政务公开工作培训会，邀请第三方机构政务公开专业人员以及经验丰富的律师对</w:t>
      </w:r>
      <w:r>
        <w:rPr>
          <w:rFonts w:hint="eastAsia" w:ascii="仿宋_GB2312" w:eastAsia="仿宋_GB2312"/>
          <w:color w:val="auto"/>
          <w:sz w:val="32"/>
          <w:szCs w:val="32"/>
        </w:rPr>
        <w:t>全区政府信息公开责任单位分管领导、具体负责人</w:t>
      </w:r>
      <w:r>
        <w:rPr>
          <w:rFonts w:hint="eastAsia" w:ascii="仿宋_GB2312" w:eastAsia="仿宋_GB2312"/>
          <w:color w:val="auto"/>
          <w:sz w:val="32"/>
          <w:szCs w:val="32"/>
          <w:lang w:eastAsia="zh-CN"/>
        </w:rPr>
        <w:t>作</w:t>
      </w:r>
      <w:r>
        <w:rPr>
          <w:rFonts w:hint="eastAsia" w:ascii="仿宋_GB2312" w:eastAsia="仿宋_GB2312"/>
          <w:color w:val="auto"/>
          <w:sz w:val="32"/>
          <w:szCs w:val="32"/>
        </w:rPr>
        <w:t>全面培训，进一步提升工作人员的业务水平。</w:t>
      </w:r>
    </w:p>
    <w:p>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drawing>
          <wp:anchor distT="0" distB="0" distL="114300" distR="114300" simplePos="0" relativeHeight="251676672" behindDoc="0" locked="0" layoutInCell="1" allowOverlap="1">
            <wp:simplePos x="0" y="0"/>
            <wp:positionH relativeFrom="column">
              <wp:posOffset>78740</wp:posOffset>
            </wp:positionH>
            <wp:positionV relativeFrom="paragraph">
              <wp:posOffset>141605</wp:posOffset>
            </wp:positionV>
            <wp:extent cx="5544185" cy="3738880"/>
            <wp:effectExtent l="0" t="0" r="18415" b="13970"/>
            <wp:wrapTopAndBottom/>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22"/>
                    <a:srcRect t="13363"/>
                    <a:stretch>
                      <a:fillRect/>
                    </a:stretch>
                  </pic:blipFill>
                  <pic:spPr>
                    <a:xfrm>
                      <a:off x="0" y="0"/>
                      <a:ext cx="5544185" cy="3738880"/>
                    </a:xfrm>
                    <a:prstGeom prst="rect">
                      <a:avLst/>
                    </a:prstGeom>
                    <a:noFill/>
                    <a:ln>
                      <a:noFill/>
                    </a:ln>
                  </pic:spPr>
                </pic:pic>
              </a:graphicData>
            </a:graphic>
          </wp:anchor>
        </w:drawing>
      </w:r>
      <w:r>
        <w:rPr>
          <w:rFonts w:hint="eastAsia" w:ascii="仿宋_GB2312" w:hAnsi="仿宋_GB2312" w:eastAsia="仿宋_GB2312" w:cs="仿宋_GB2312"/>
          <w:color w:val="auto"/>
          <w:sz w:val="24"/>
          <w:szCs w:val="24"/>
          <w:lang w:val="en-US" w:eastAsia="zh-CN"/>
        </w:rPr>
        <w:t>2019年政府公开培训会</w:t>
      </w:r>
    </w:p>
    <w:p>
      <w:pPr>
        <w:pStyle w:val="15"/>
        <w:keepNext w:val="0"/>
        <w:keepLines w:val="0"/>
        <w:pageBreakBefore w:val="0"/>
        <w:widowControl w:val="0"/>
        <w:numPr>
          <w:ilvl w:val="0"/>
          <w:numId w:val="0"/>
        </w:numPr>
        <w:kinsoku/>
        <w:wordWrap/>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黑体" w:hAnsi="黑体" w:eastAsia="黑体" w:cs="黑体"/>
          <w:color w:val="auto"/>
          <w:kern w:val="2"/>
          <w:sz w:val="32"/>
          <w:szCs w:val="32"/>
          <w:lang w:val="en-US" w:eastAsia="zh-CN" w:bidi="ar-SA"/>
        </w:rPr>
      </w:pPr>
      <w:r>
        <w:rPr>
          <w:rFonts w:hint="eastAsia" w:ascii="黑体" w:hAnsi="黑体" w:eastAsia="黑体" w:cs="黑体"/>
          <w:color w:val="auto"/>
          <w:kern w:val="2"/>
          <w:sz w:val="32"/>
          <w:szCs w:val="32"/>
          <w:lang w:val="en-US" w:eastAsia="zh-CN" w:bidi="ar-SA"/>
        </w:rPr>
        <w:t>二、主动公开政府信息情况</w:t>
      </w:r>
    </w:p>
    <w:tbl>
      <w:tblPr>
        <w:tblStyle w:val="8"/>
        <w:tblW w:w="8685" w:type="dxa"/>
        <w:jc w:val="center"/>
        <w:tblLayout w:type="fixed"/>
        <w:tblCellMar>
          <w:top w:w="15" w:type="dxa"/>
          <w:left w:w="15" w:type="dxa"/>
          <w:bottom w:w="15" w:type="dxa"/>
          <w:right w:w="15" w:type="dxa"/>
        </w:tblCellMar>
      </w:tblPr>
      <w:tblGrid>
        <w:gridCol w:w="3113"/>
        <w:gridCol w:w="1875"/>
        <w:gridCol w:w="1449"/>
        <w:gridCol w:w="2248"/>
      </w:tblGrid>
      <w:tr>
        <w:tblPrEx>
          <w:tblCellMar>
            <w:top w:w="15" w:type="dxa"/>
            <w:left w:w="15" w:type="dxa"/>
            <w:bottom w:w="15" w:type="dxa"/>
            <w:right w:w="15" w:type="dxa"/>
          </w:tblCellMar>
        </w:tblPrEx>
        <w:trPr>
          <w:trHeight w:val="400" w:hRule="atLeast"/>
          <w:jc w:val="center"/>
        </w:trPr>
        <w:tc>
          <w:tcPr>
            <w:tcW w:w="8685" w:type="dxa"/>
            <w:gridSpan w:val="4"/>
            <w:tcBorders>
              <w:top w:val="single" w:color="auto" w:sz="8" w:space="0"/>
              <w:left w:val="single" w:color="auto" w:sz="8" w:space="0"/>
              <w:bottom w:val="single" w:color="auto" w:sz="8" w:space="0"/>
              <w:right w:val="single" w:color="auto" w:sz="8" w:space="0"/>
            </w:tcBorders>
            <w:shd w:val="clear" w:color="auto" w:fill="C6D9F1"/>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第二十条第（一）项</w:t>
            </w:r>
          </w:p>
        </w:tc>
      </w:tr>
      <w:tr>
        <w:tblPrEx>
          <w:tblCellMar>
            <w:top w:w="15" w:type="dxa"/>
            <w:left w:w="15" w:type="dxa"/>
            <w:bottom w:w="15" w:type="dxa"/>
            <w:right w:w="15" w:type="dxa"/>
          </w:tblCellMar>
        </w:tblPrEx>
        <w:trPr>
          <w:trHeight w:val="882" w:hRule="atLeast"/>
          <w:jc w:val="center"/>
        </w:trPr>
        <w:tc>
          <w:tcPr>
            <w:tcW w:w="3113" w:type="dxa"/>
            <w:tcBorders>
              <w:top w:val="single" w:color="auto" w:sz="8" w:space="0"/>
              <w:left w:val="single" w:color="auto" w:sz="8" w:space="0"/>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信息内容</w:t>
            </w:r>
          </w:p>
        </w:tc>
        <w:tc>
          <w:tcPr>
            <w:tcW w:w="1875" w:type="dxa"/>
            <w:tcBorders>
              <w:top w:val="single" w:color="auto" w:sz="8" w:space="0"/>
              <w:left w:val="nil"/>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本年新</w:t>
            </w:r>
            <w:r>
              <w:rPr>
                <w:rFonts w:hint="eastAsia" w:ascii="仿宋_GB2312" w:hAnsi="仿宋_GB2312" w:eastAsia="仿宋_GB2312" w:cs="仿宋_GB2312"/>
                <w:color w:val="auto"/>
                <w:kern w:val="0"/>
                <w:sz w:val="24"/>
                <w:szCs w:val="24"/>
              </w:rPr>
              <w:br w:type="textWrapping"/>
            </w:r>
            <w:r>
              <w:rPr>
                <w:rFonts w:hint="eastAsia" w:ascii="仿宋_GB2312" w:hAnsi="仿宋_GB2312" w:eastAsia="仿宋_GB2312" w:cs="仿宋_GB2312"/>
                <w:color w:val="auto"/>
                <w:kern w:val="0"/>
                <w:sz w:val="24"/>
                <w:szCs w:val="24"/>
              </w:rPr>
              <w:t>制作数量</w:t>
            </w:r>
          </w:p>
        </w:tc>
        <w:tc>
          <w:tcPr>
            <w:tcW w:w="1449"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本年新</w:t>
            </w:r>
            <w:r>
              <w:rPr>
                <w:rFonts w:hint="eastAsia" w:ascii="仿宋_GB2312" w:hAnsi="仿宋_GB2312" w:eastAsia="仿宋_GB2312" w:cs="仿宋_GB2312"/>
                <w:color w:val="auto"/>
                <w:kern w:val="0"/>
                <w:sz w:val="24"/>
                <w:szCs w:val="24"/>
              </w:rPr>
              <w:br w:type="textWrapping"/>
            </w:r>
            <w:r>
              <w:rPr>
                <w:rFonts w:hint="eastAsia" w:ascii="仿宋_GB2312" w:hAnsi="仿宋_GB2312" w:eastAsia="仿宋_GB2312" w:cs="仿宋_GB2312"/>
                <w:color w:val="auto"/>
                <w:kern w:val="0"/>
                <w:sz w:val="24"/>
                <w:szCs w:val="24"/>
              </w:rPr>
              <w:t>公开数量</w:t>
            </w:r>
          </w:p>
        </w:tc>
        <w:tc>
          <w:tcPr>
            <w:tcW w:w="2248" w:type="dxa"/>
            <w:tcBorders>
              <w:top w:val="single" w:color="auto" w:sz="8" w:space="0"/>
              <w:left w:val="nil"/>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对外公开总数量</w:t>
            </w:r>
          </w:p>
        </w:tc>
      </w:tr>
      <w:tr>
        <w:tblPrEx>
          <w:tblCellMar>
            <w:top w:w="15" w:type="dxa"/>
            <w:left w:w="15" w:type="dxa"/>
            <w:bottom w:w="15" w:type="dxa"/>
            <w:right w:w="15" w:type="dxa"/>
          </w:tblCellMar>
        </w:tblPrEx>
        <w:trPr>
          <w:trHeight w:val="523" w:hRule="atLeast"/>
          <w:jc w:val="center"/>
        </w:trPr>
        <w:tc>
          <w:tcPr>
            <w:tcW w:w="3113" w:type="dxa"/>
            <w:tcBorders>
              <w:top w:val="single" w:color="auto" w:sz="8" w:space="0"/>
              <w:left w:val="single" w:color="auto" w:sz="8" w:space="0"/>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规章</w:t>
            </w:r>
          </w:p>
        </w:tc>
        <w:tc>
          <w:tcPr>
            <w:tcW w:w="1875" w:type="dxa"/>
            <w:tcBorders>
              <w:top w:val="single" w:color="auto" w:sz="8" w:space="0"/>
              <w:left w:val="nil"/>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w:t>
            </w:r>
          </w:p>
        </w:tc>
        <w:tc>
          <w:tcPr>
            <w:tcW w:w="1449"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3</w:t>
            </w:r>
          </w:p>
        </w:tc>
        <w:tc>
          <w:tcPr>
            <w:tcW w:w="2248" w:type="dxa"/>
            <w:tcBorders>
              <w:top w:val="single" w:color="auto" w:sz="8" w:space="0"/>
              <w:left w:val="nil"/>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16</w:t>
            </w:r>
          </w:p>
        </w:tc>
      </w:tr>
      <w:tr>
        <w:tblPrEx>
          <w:tblCellMar>
            <w:top w:w="15" w:type="dxa"/>
            <w:left w:w="15" w:type="dxa"/>
            <w:bottom w:w="15" w:type="dxa"/>
            <w:right w:w="15" w:type="dxa"/>
          </w:tblCellMar>
        </w:tblPrEx>
        <w:trPr>
          <w:trHeight w:val="471" w:hRule="atLeast"/>
          <w:jc w:val="center"/>
        </w:trPr>
        <w:tc>
          <w:tcPr>
            <w:tcW w:w="3113" w:type="dxa"/>
            <w:tcBorders>
              <w:top w:val="single" w:color="auto" w:sz="8" w:space="0"/>
              <w:left w:val="single" w:color="auto" w:sz="8" w:space="0"/>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规范性文件</w:t>
            </w:r>
          </w:p>
        </w:tc>
        <w:tc>
          <w:tcPr>
            <w:tcW w:w="1875" w:type="dxa"/>
            <w:tcBorders>
              <w:top w:val="single" w:color="auto" w:sz="8" w:space="0"/>
              <w:left w:val="nil"/>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80</w:t>
            </w:r>
          </w:p>
        </w:tc>
        <w:tc>
          <w:tcPr>
            <w:tcW w:w="1449"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80</w:t>
            </w:r>
            <w:r>
              <w:rPr>
                <w:rFonts w:hint="eastAsia" w:ascii="仿宋_GB2312" w:hAnsi="仿宋_GB2312" w:eastAsia="仿宋_GB2312" w:cs="仿宋_GB2312"/>
                <w:color w:val="auto"/>
                <w:kern w:val="0"/>
                <w:sz w:val="24"/>
                <w:szCs w:val="24"/>
              </w:rPr>
              <w:t> </w:t>
            </w:r>
          </w:p>
        </w:tc>
        <w:tc>
          <w:tcPr>
            <w:tcW w:w="2248" w:type="dxa"/>
            <w:tcBorders>
              <w:top w:val="single" w:color="auto" w:sz="8" w:space="0"/>
              <w:left w:val="nil"/>
              <w:bottom w:val="single" w:color="auto" w:sz="8" w:space="0"/>
              <w:right w:val="single" w:color="auto" w:sz="8" w:space="0"/>
            </w:tcBorders>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198</w:t>
            </w:r>
            <w:r>
              <w:rPr>
                <w:rFonts w:hint="eastAsia" w:ascii="仿宋_GB2312" w:hAnsi="仿宋_GB2312" w:eastAsia="仿宋_GB2312" w:cs="仿宋_GB2312"/>
                <w:color w:val="auto"/>
                <w:kern w:val="0"/>
                <w:sz w:val="24"/>
                <w:szCs w:val="24"/>
              </w:rPr>
              <w:t>　</w:t>
            </w:r>
          </w:p>
        </w:tc>
      </w:tr>
      <w:tr>
        <w:tblPrEx>
          <w:tblCellMar>
            <w:top w:w="15" w:type="dxa"/>
            <w:left w:w="15" w:type="dxa"/>
            <w:bottom w:w="15" w:type="dxa"/>
            <w:right w:w="15" w:type="dxa"/>
          </w:tblCellMar>
        </w:tblPrEx>
        <w:trPr>
          <w:trHeight w:val="480" w:hRule="atLeast"/>
          <w:jc w:val="center"/>
        </w:trPr>
        <w:tc>
          <w:tcPr>
            <w:tcW w:w="8685" w:type="dxa"/>
            <w:gridSpan w:val="4"/>
            <w:tcBorders>
              <w:top w:val="single" w:color="auto" w:sz="8" w:space="0"/>
              <w:left w:val="single" w:color="auto" w:sz="8" w:space="0"/>
              <w:bottom w:val="single" w:color="auto" w:sz="8" w:space="0"/>
              <w:right w:val="single" w:color="auto" w:sz="8" w:space="0"/>
            </w:tcBorders>
            <w:shd w:val="clear" w:color="auto" w:fill="C6D9F1"/>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第二十条第（五）项</w:t>
            </w:r>
          </w:p>
        </w:tc>
      </w:tr>
      <w:tr>
        <w:tblPrEx>
          <w:tblCellMar>
            <w:top w:w="15" w:type="dxa"/>
            <w:left w:w="15" w:type="dxa"/>
            <w:bottom w:w="15" w:type="dxa"/>
            <w:right w:w="15" w:type="dxa"/>
          </w:tblCellMar>
        </w:tblPrEx>
        <w:trPr>
          <w:trHeight w:val="634"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信息内容</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上一年</w:t>
            </w:r>
          </w:p>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项目数量</w:t>
            </w:r>
          </w:p>
        </w:tc>
        <w:tc>
          <w:tcPr>
            <w:tcW w:w="1449"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本年增/减</w:t>
            </w:r>
          </w:p>
        </w:tc>
        <w:tc>
          <w:tcPr>
            <w:tcW w:w="2248"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处理决定数量</w:t>
            </w:r>
          </w:p>
        </w:tc>
      </w:tr>
      <w:tr>
        <w:tblPrEx>
          <w:tblCellMar>
            <w:top w:w="15" w:type="dxa"/>
            <w:left w:w="15" w:type="dxa"/>
            <w:bottom w:w="15" w:type="dxa"/>
            <w:right w:w="15" w:type="dxa"/>
          </w:tblCellMar>
        </w:tblPrEx>
        <w:trPr>
          <w:trHeight w:val="528"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行政许可</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524</w:t>
            </w:r>
          </w:p>
        </w:tc>
        <w:tc>
          <w:tcPr>
            <w:tcW w:w="1449"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227</w:t>
            </w:r>
          </w:p>
        </w:tc>
        <w:tc>
          <w:tcPr>
            <w:tcW w:w="2248"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47786</w:t>
            </w:r>
          </w:p>
        </w:tc>
      </w:tr>
      <w:tr>
        <w:tblPrEx>
          <w:tblCellMar>
            <w:top w:w="15" w:type="dxa"/>
            <w:left w:w="15" w:type="dxa"/>
            <w:bottom w:w="15" w:type="dxa"/>
            <w:right w:w="15" w:type="dxa"/>
          </w:tblCellMar>
        </w:tblPrEx>
        <w:trPr>
          <w:trHeight w:val="550"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其他对外管理服务事项</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1101</w:t>
            </w:r>
          </w:p>
        </w:tc>
        <w:tc>
          <w:tcPr>
            <w:tcW w:w="1449"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504</w:t>
            </w:r>
          </w:p>
        </w:tc>
        <w:tc>
          <w:tcPr>
            <w:tcW w:w="2248"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495454</w:t>
            </w:r>
          </w:p>
        </w:tc>
      </w:tr>
      <w:tr>
        <w:tblPrEx>
          <w:tblCellMar>
            <w:top w:w="15" w:type="dxa"/>
            <w:left w:w="15" w:type="dxa"/>
            <w:bottom w:w="15" w:type="dxa"/>
            <w:right w:w="15" w:type="dxa"/>
          </w:tblCellMar>
        </w:tblPrEx>
        <w:trPr>
          <w:trHeight w:val="361" w:hRule="atLeast"/>
          <w:jc w:val="center"/>
        </w:trPr>
        <w:tc>
          <w:tcPr>
            <w:tcW w:w="8685" w:type="dxa"/>
            <w:gridSpan w:val="4"/>
            <w:tcBorders>
              <w:top w:val="single" w:color="auto" w:sz="8" w:space="0"/>
              <w:left w:val="single" w:color="auto" w:sz="8" w:space="0"/>
              <w:bottom w:val="single" w:color="auto" w:sz="8" w:space="0"/>
              <w:right w:val="single" w:color="auto" w:sz="8" w:space="0"/>
            </w:tcBorders>
            <w:shd w:val="clear" w:color="auto" w:fill="C6D9F1"/>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第二十条第（六）项</w:t>
            </w:r>
          </w:p>
        </w:tc>
      </w:tr>
      <w:tr>
        <w:tblPrEx>
          <w:tblCellMar>
            <w:top w:w="15" w:type="dxa"/>
            <w:left w:w="15" w:type="dxa"/>
            <w:bottom w:w="15" w:type="dxa"/>
            <w:right w:w="15" w:type="dxa"/>
          </w:tblCellMar>
        </w:tblPrEx>
        <w:trPr>
          <w:trHeight w:val="634"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信息内容</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上一年</w:t>
            </w:r>
          </w:p>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项目数量</w:t>
            </w:r>
          </w:p>
        </w:tc>
        <w:tc>
          <w:tcPr>
            <w:tcW w:w="1449"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本年增/减</w:t>
            </w:r>
          </w:p>
        </w:tc>
        <w:tc>
          <w:tcPr>
            <w:tcW w:w="2248"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处理决定数量</w:t>
            </w:r>
          </w:p>
        </w:tc>
      </w:tr>
      <w:tr>
        <w:tblPrEx>
          <w:tblCellMar>
            <w:top w:w="15" w:type="dxa"/>
            <w:left w:w="15" w:type="dxa"/>
            <w:bottom w:w="15" w:type="dxa"/>
            <w:right w:w="15" w:type="dxa"/>
          </w:tblCellMar>
        </w:tblPrEx>
        <w:trPr>
          <w:trHeight w:val="430"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行政处罚</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2618</w:t>
            </w:r>
          </w:p>
        </w:tc>
        <w:tc>
          <w:tcPr>
            <w:tcW w:w="1449"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528</w:t>
            </w:r>
          </w:p>
        </w:tc>
        <w:tc>
          <w:tcPr>
            <w:tcW w:w="2248"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9208</w:t>
            </w:r>
          </w:p>
        </w:tc>
      </w:tr>
      <w:tr>
        <w:tblPrEx>
          <w:tblCellMar>
            <w:top w:w="15" w:type="dxa"/>
            <w:left w:w="15" w:type="dxa"/>
            <w:bottom w:w="15" w:type="dxa"/>
            <w:right w:w="15" w:type="dxa"/>
          </w:tblCellMar>
        </w:tblPrEx>
        <w:trPr>
          <w:trHeight w:val="409"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行政强制</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115</w:t>
            </w:r>
          </w:p>
        </w:tc>
        <w:tc>
          <w:tcPr>
            <w:tcW w:w="1449"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17</w:t>
            </w:r>
          </w:p>
        </w:tc>
        <w:tc>
          <w:tcPr>
            <w:tcW w:w="2248"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72</w:t>
            </w:r>
          </w:p>
        </w:tc>
      </w:tr>
      <w:tr>
        <w:tblPrEx>
          <w:tblCellMar>
            <w:top w:w="15" w:type="dxa"/>
            <w:left w:w="15" w:type="dxa"/>
            <w:bottom w:w="15" w:type="dxa"/>
            <w:right w:w="15" w:type="dxa"/>
          </w:tblCellMar>
        </w:tblPrEx>
        <w:trPr>
          <w:trHeight w:val="474" w:hRule="atLeast"/>
          <w:jc w:val="center"/>
        </w:trPr>
        <w:tc>
          <w:tcPr>
            <w:tcW w:w="8685" w:type="dxa"/>
            <w:gridSpan w:val="4"/>
            <w:tcBorders>
              <w:top w:val="single" w:color="auto" w:sz="8" w:space="0"/>
              <w:left w:val="single" w:color="auto" w:sz="8" w:space="0"/>
              <w:bottom w:val="single" w:color="auto" w:sz="8" w:space="0"/>
              <w:right w:val="single" w:color="auto" w:sz="8" w:space="0"/>
            </w:tcBorders>
            <w:shd w:val="clear" w:color="auto" w:fill="C6D9F1"/>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第二十条第（八）项</w:t>
            </w:r>
          </w:p>
        </w:tc>
      </w:tr>
      <w:tr>
        <w:tblPrEx>
          <w:tblCellMar>
            <w:top w:w="15" w:type="dxa"/>
            <w:left w:w="15" w:type="dxa"/>
            <w:bottom w:w="15" w:type="dxa"/>
            <w:right w:w="15" w:type="dxa"/>
          </w:tblCellMar>
        </w:tblPrEx>
        <w:trPr>
          <w:trHeight w:val="564"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信息内容</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上一年</w:t>
            </w:r>
          </w:p>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项目数量</w:t>
            </w:r>
          </w:p>
        </w:tc>
        <w:tc>
          <w:tcPr>
            <w:tcW w:w="3697" w:type="dxa"/>
            <w:gridSpan w:val="2"/>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本年增/减</w:t>
            </w:r>
          </w:p>
        </w:tc>
      </w:tr>
      <w:tr>
        <w:tblPrEx>
          <w:tblCellMar>
            <w:top w:w="15" w:type="dxa"/>
            <w:left w:w="15" w:type="dxa"/>
            <w:bottom w:w="15" w:type="dxa"/>
            <w:right w:w="15" w:type="dxa"/>
          </w:tblCellMar>
        </w:tblPrEx>
        <w:trPr>
          <w:trHeight w:val="461"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行政事业性收费</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33</w:t>
            </w:r>
          </w:p>
        </w:tc>
        <w:tc>
          <w:tcPr>
            <w:tcW w:w="3697" w:type="dxa"/>
            <w:gridSpan w:val="2"/>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0</w:t>
            </w:r>
          </w:p>
        </w:tc>
      </w:tr>
      <w:tr>
        <w:tblPrEx>
          <w:tblCellMar>
            <w:top w:w="15" w:type="dxa"/>
            <w:left w:w="15" w:type="dxa"/>
            <w:bottom w:w="15" w:type="dxa"/>
            <w:right w:w="15" w:type="dxa"/>
          </w:tblCellMar>
        </w:tblPrEx>
        <w:trPr>
          <w:trHeight w:val="476" w:hRule="atLeast"/>
          <w:jc w:val="center"/>
        </w:trPr>
        <w:tc>
          <w:tcPr>
            <w:tcW w:w="8685" w:type="dxa"/>
            <w:gridSpan w:val="4"/>
            <w:tcBorders>
              <w:top w:val="single" w:color="auto" w:sz="8" w:space="0"/>
              <w:left w:val="single" w:color="auto" w:sz="8" w:space="0"/>
              <w:bottom w:val="single" w:color="auto" w:sz="8" w:space="0"/>
              <w:right w:val="single" w:color="auto" w:sz="8" w:space="0"/>
            </w:tcBorders>
            <w:shd w:val="clear" w:color="auto" w:fill="C6D9F1"/>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第二十条第（九）项</w:t>
            </w:r>
          </w:p>
        </w:tc>
      </w:tr>
      <w:tr>
        <w:tblPrEx>
          <w:tblCellMar>
            <w:top w:w="15" w:type="dxa"/>
            <w:left w:w="15" w:type="dxa"/>
            <w:bottom w:w="15" w:type="dxa"/>
            <w:right w:w="15" w:type="dxa"/>
          </w:tblCellMar>
        </w:tblPrEx>
        <w:trPr>
          <w:trHeight w:val="585"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信息内容</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采购项目数量</w:t>
            </w:r>
          </w:p>
        </w:tc>
        <w:tc>
          <w:tcPr>
            <w:tcW w:w="3697" w:type="dxa"/>
            <w:gridSpan w:val="2"/>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采购总金额</w:t>
            </w:r>
          </w:p>
        </w:tc>
      </w:tr>
      <w:tr>
        <w:tblPrEx>
          <w:tblCellMar>
            <w:top w:w="15" w:type="dxa"/>
            <w:left w:w="15" w:type="dxa"/>
            <w:bottom w:w="15" w:type="dxa"/>
            <w:right w:w="15" w:type="dxa"/>
          </w:tblCellMar>
        </w:tblPrEx>
        <w:trPr>
          <w:trHeight w:val="539" w:hRule="atLeast"/>
          <w:jc w:val="center"/>
        </w:trPr>
        <w:tc>
          <w:tcPr>
            <w:tcW w:w="3113" w:type="dxa"/>
            <w:tcBorders>
              <w:top w:val="single" w:color="auto" w:sz="8" w:space="0"/>
              <w:left w:val="single" w:color="auto" w:sz="8" w:space="0"/>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政府集中采购</w:t>
            </w:r>
          </w:p>
        </w:tc>
        <w:tc>
          <w:tcPr>
            <w:tcW w:w="1875" w:type="dxa"/>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仿宋_GB2312" w:hAnsi="仿宋_GB2312" w:eastAsia="仿宋_GB2312" w:cs="仿宋_GB2312"/>
                <w:color w:val="auto"/>
                <w:kern w:val="0"/>
                <w:sz w:val="24"/>
                <w:szCs w:val="24"/>
                <w:lang w:val="en-US" w:eastAsia="zh-CN"/>
              </w:rPr>
            </w:pPr>
            <w:r>
              <w:rPr>
                <w:rFonts w:hint="eastAsia" w:ascii="仿宋_GB2312" w:hAnsi="仿宋_GB2312" w:eastAsia="仿宋_GB2312" w:cs="仿宋_GB2312"/>
                <w:color w:val="auto"/>
                <w:kern w:val="0"/>
                <w:sz w:val="24"/>
                <w:szCs w:val="24"/>
                <w:lang w:val="en-US" w:eastAsia="zh-CN"/>
              </w:rPr>
              <w:t>666</w:t>
            </w:r>
          </w:p>
        </w:tc>
        <w:tc>
          <w:tcPr>
            <w:tcW w:w="3697" w:type="dxa"/>
            <w:gridSpan w:val="2"/>
            <w:tcBorders>
              <w:top w:val="single" w:color="auto" w:sz="8" w:space="0"/>
              <w:left w:val="nil"/>
              <w:bottom w:val="single" w:color="auto" w:sz="8" w:space="0"/>
              <w:right w:val="single" w:color="auto" w:sz="8" w:space="0"/>
            </w:tcBorders>
            <w:shd w:val="clear" w:color="auto" w:fill="FFFFFF"/>
            <w:noWrap/>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11853.</w:t>
            </w:r>
            <w:r>
              <w:rPr>
                <w:rFonts w:hint="eastAsia" w:ascii="仿宋_GB2312" w:hAnsi="仿宋_GB2312" w:eastAsia="仿宋_GB2312" w:cs="仿宋_GB2312"/>
                <w:color w:val="auto"/>
                <w:kern w:val="0"/>
                <w:sz w:val="24"/>
                <w:szCs w:val="24"/>
                <w:lang w:val="en-US" w:eastAsia="zh-CN"/>
              </w:rPr>
              <w:t>38</w:t>
            </w:r>
            <w:r>
              <w:rPr>
                <w:rFonts w:hint="eastAsia" w:ascii="仿宋_GB2312" w:hAnsi="仿宋_GB2312" w:eastAsia="仿宋_GB2312" w:cs="仿宋_GB2312"/>
                <w:color w:val="auto"/>
                <w:kern w:val="0"/>
                <w:sz w:val="24"/>
                <w:szCs w:val="24"/>
              </w:rPr>
              <w:t>万元</w:t>
            </w:r>
          </w:p>
        </w:tc>
      </w:tr>
    </w:tbl>
    <w:p>
      <w:pPr>
        <w:pStyle w:val="15"/>
        <w:keepNext w:val="0"/>
        <w:keepLines w:val="0"/>
        <w:pageBreakBefore w:val="0"/>
        <w:widowControl w:val="0"/>
        <w:numPr>
          <w:ilvl w:val="0"/>
          <w:numId w:val="0"/>
        </w:numPr>
        <w:kinsoku/>
        <w:wordWrap/>
        <w:overflowPunct/>
        <w:topLinePunct w:val="0"/>
        <w:autoSpaceDE/>
        <w:autoSpaceDN/>
        <w:bidi w:val="0"/>
        <w:adjustRightInd/>
        <w:snapToGrid/>
        <w:spacing w:line="576" w:lineRule="exact"/>
        <w:ind w:right="0" w:rightChars="0" w:firstLine="640" w:firstLineChars="200"/>
        <w:jc w:val="both"/>
        <w:textAlignment w:val="auto"/>
        <w:rPr>
          <w:rFonts w:hint="eastAsia" w:ascii="黑体" w:hAnsi="黑体" w:eastAsia="黑体" w:cs="黑体"/>
          <w:color w:val="auto"/>
          <w:kern w:val="2"/>
          <w:sz w:val="32"/>
          <w:szCs w:val="32"/>
          <w:lang w:val="en-US" w:eastAsia="zh-CN" w:bidi="ar-SA"/>
        </w:rPr>
      </w:pPr>
      <w:r>
        <w:rPr>
          <w:rFonts w:hint="eastAsia" w:ascii="黑体" w:hAnsi="黑体" w:eastAsia="黑体" w:cs="黑体"/>
          <w:color w:val="auto"/>
          <w:kern w:val="2"/>
          <w:sz w:val="32"/>
          <w:szCs w:val="32"/>
          <w:lang w:val="en-US" w:eastAsia="zh-CN" w:bidi="ar-SA"/>
        </w:rPr>
        <w:t>三、收到和处理政府信息公开申请情况</w:t>
      </w:r>
    </w:p>
    <w:tbl>
      <w:tblPr>
        <w:tblStyle w:val="8"/>
        <w:tblW w:w="907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15" w:type="dxa"/>
          <w:left w:w="15" w:type="dxa"/>
          <w:bottom w:w="15" w:type="dxa"/>
          <w:right w:w="15" w:type="dxa"/>
        </w:tblCellMar>
      </w:tblPr>
      <w:tblGrid>
        <w:gridCol w:w="696"/>
        <w:gridCol w:w="936"/>
        <w:gridCol w:w="2012"/>
        <w:gridCol w:w="807"/>
        <w:gridCol w:w="746"/>
        <w:gridCol w:w="739"/>
        <w:gridCol w:w="794"/>
        <w:gridCol w:w="946"/>
        <w:gridCol w:w="698"/>
        <w:gridCol w:w="69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3550" w:type="dxa"/>
            <w:gridSpan w:val="3"/>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（本列数据的勾稽关系为：第一项加第二项之和，等于第三项加第四项之和）</w:t>
            </w:r>
          </w:p>
        </w:tc>
        <w:tc>
          <w:tcPr>
            <w:tcW w:w="5521" w:type="dxa"/>
            <w:gridSpan w:val="7"/>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申请人情况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gridSpan w:val="3"/>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814" w:type="dxa"/>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自然人</w:t>
            </w:r>
          </w:p>
        </w:tc>
        <w:tc>
          <w:tcPr>
            <w:tcW w:w="4013" w:type="dxa"/>
            <w:gridSpan w:val="5"/>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法人或其他组织</w:t>
            </w:r>
          </w:p>
        </w:tc>
        <w:tc>
          <w:tcPr>
            <w:tcW w:w="694" w:type="dxa"/>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总计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gridSpan w:val="3"/>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814" w:type="dxa"/>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商业企业</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科研机构</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社会公益组织</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法律服务机构</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其他</w:t>
            </w: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3550" w:type="dxa"/>
            <w:gridSpan w:val="3"/>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一、本年新收政府信息公开申请数量</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1215</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261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1482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3550" w:type="dxa"/>
            <w:gridSpan w:val="3"/>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二、上年结转政府信息公开申请数量</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608" w:type="dxa"/>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三、本年度办理结果</w:t>
            </w:r>
          </w:p>
        </w:tc>
        <w:tc>
          <w:tcPr>
            <w:tcW w:w="2942" w:type="dxa"/>
            <w:gridSpan w:val="2"/>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（一）予以公开</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340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29</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374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942" w:type="dxa"/>
            <w:gridSpan w:val="2"/>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（二）部分公开（区分处理的，只计这一情形，不计其他情形）</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434</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16</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853" w:type="dxa"/>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（三）不予公开</w:t>
            </w: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1.属于国家秘密</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2.其他法律行政法规禁止公开</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3.危及“三安全一稳定”</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4.保护第三方合法权益</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5.属于三类内部事务信息</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6.属于四类过程性信息</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7.属于行政执法案卷</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5</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8.属于行政查询事项</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853" w:type="dxa"/>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（四）无法提供</w:t>
            </w: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1.本机关不掌握相关政府信息</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333</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178</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512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2.没有现成信息需要另行制作</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30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27" w:hRule="atLeast"/>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3.补正后申请内容仍不明确</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853" w:type="dxa"/>
            <w:vMerge w:val="restart"/>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（五）不予处理</w:t>
            </w: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1.信访举报投诉类申请</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2.重复申请</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22</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25</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3.要求提供公开出版物</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4.无正当理由大量反复申请</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089" w:type="dxa"/>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5.要求行政机关确认或重新出具已获取信息</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942" w:type="dxa"/>
            <w:gridSpan w:val="2"/>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（六）其他处理</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14</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13</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0" w:type="auto"/>
            <w:vMerge w:val="continue"/>
            <w:tcBorders>
              <w:tl2br w:val="nil"/>
              <w:tr2bl w:val="nil"/>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p>
        </w:tc>
        <w:tc>
          <w:tcPr>
            <w:tcW w:w="2942" w:type="dxa"/>
            <w:gridSpan w:val="2"/>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（七）总计</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1197</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261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4</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1464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jc w:val="center"/>
        </w:trPr>
        <w:tc>
          <w:tcPr>
            <w:tcW w:w="3550" w:type="dxa"/>
            <w:gridSpan w:val="3"/>
            <w:tcBorders>
              <w:tl2br w:val="nil"/>
              <w:tr2bl w:val="nil"/>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left"/>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四、结转下年度继续办理</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1</w:t>
            </w:r>
          </w:p>
        </w:tc>
        <w:tc>
          <w:tcPr>
            <w:tcW w:w="756"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81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975"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712"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0</w:t>
            </w:r>
          </w:p>
        </w:tc>
        <w:tc>
          <w:tcPr>
            <w:tcW w:w="694" w:type="dxa"/>
            <w:tcBorders>
              <w:tl2br w:val="nil"/>
              <w:tr2bl w:val="nil"/>
            </w:tcBorders>
            <w:shd w:val="clear" w:color="auto" w:fill="FFFFFF"/>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仿宋_GB2312" w:eastAsia="仿宋_GB2312" w:cs="仿宋_GB2312"/>
                <w:color w:val="auto"/>
                <w:kern w:val="0"/>
                <w:sz w:val="24"/>
                <w:szCs w:val="24"/>
              </w:rPr>
            </w:pPr>
            <w:r>
              <w:rPr>
                <w:rFonts w:hint="eastAsia" w:ascii="仿宋_GB2312" w:hAnsi="宋体" w:eastAsia="仿宋_GB2312" w:cs="仿宋_GB2312"/>
                <w:i w:val="0"/>
                <w:color w:val="auto"/>
                <w:kern w:val="0"/>
                <w:sz w:val="24"/>
                <w:szCs w:val="24"/>
                <w:u w:val="none"/>
                <w:lang w:val="en-US" w:eastAsia="zh-CN" w:bidi="ar"/>
              </w:rPr>
              <w:t>22</w:t>
            </w:r>
          </w:p>
        </w:tc>
      </w:tr>
    </w:tbl>
    <w:p>
      <w:pPr>
        <w:pStyle w:val="15"/>
        <w:keepNext w:val="0"/>
        <w:keepLines w:val="0"/>
        <w:pageBreakBefore w:val="0"/>
        <w:widowControl w:val="0"/>
        <w:numPr>
          <w:ilvl w:val="0"/>
          <w:numId w:val="0"/>
        </w:numPr>
        <w:kinsoku/>
        <w:wordWrap/>
        <w:overflowPunct/>
        <w:topLinePunct w:val="0"/>
        <w:autoSpaceDE/>
        <w:autoSpaceDN/>
        <w:bidi w:val="0"/>
        <w:adjustRightInd/>
        <w:snapToGrid/>
        <w:spacing w:line="576" w:lineRule="exact"/>
        <w:ind w:right="0" w:rightChars="0" w:firstLine="640" w:firstLineChars="200"/>
        <w:jc w:val="both"/>
        <w:textAlignment w:val="auto"/>
        <w:rPr>
          <w:rFonts w:hint="eastAsia" w:ascii="黑体" w:hAnsi="黑体" w:eastAsia="黑体" w:cs="黑体"/>
          <w:color w:val="auto"/>
          <w:kern w:val="2"/>
          <w:sz w:val="32"/>
          <w:szCs w:val="32"/>
          <w:lang w:val="en-US" w:eastAsia="zh-CN" w:bidi="ar-SA"/>
        </w:rPr>
      </w:pPr>
      <w:r>
        <w:rPr>
          <w:rFonts w:hint="eastAsia" w:ascii="黑体" w:hAnsi="黑体" w:eastAsia="黑体" w:cs="黑体"/>
          <w:color w:val="auto"/>
          <w:kern w:val="2"/>
          <w:sz w:val="32"/>
          <w:szCs w:val="32"/>
          <w:lang w:val="en-US" w:eastAsia="zh-CN" w:bidi="ar-SA"/>
        </w:rPr>
        <w:t>四、政府信息公开行政复议、行政诉讼情况</w:t>
      </w:r>
    </w:p>
    <w:p>
      <w:pPr>
        <w:pStyle w:val="15"/>
        <w:keepNext w:val="0"/>
        <w:keepLines w:val="0"/>
        <w:pageBreakBefore w:val="0"/>
        <w:widowControl w:val="0"/>
        <w:numPr>
          <w:ilvl w:val="0"/>
          <w:numId w:val="0"/>
        </w:numPr>
        <w:kinsoku/>
        <w:wordWrap/>
        <w:overflowPunct/>
        <w:topLinePunct w:val="0"/>
        <w:autoSpaceDE/>
        <w:autoSpaceDN/>
        <w:bidi w:val="0"/>
        <w:adjustRightInd/>
        <w:snapToGrid/>
        <w:spacing w:line="576" w:lineRule="exact"/>
        <w:ind w:right="0" w:rightChars="0" w:firstLine="640" w:firstLineChars="200"/>
        <w:jc w:val="both"/>
        <w:textAlignment w:val="auto"/>
        <w:rPr>
          <w:rFonts w:hint="default" w:ascii="仿宋_GB2312" w:eastAsia="仿宋_GB2312"/>
          <w:snapToGrid w:val="0"/>
          <w:color w:val="auto"/>
          <w:sz w:val="32"/>
          <w:szCs w:val="32"/>
          <w:lang w:val="en-US" w:eastAsia="zh-CN"/>
        </w:rPr>
      </w:pPr>
      <w:r>
        <w:rPr>
          <w:rFonts w:hint="eastAsia" w:ascii="仿宋_GB2312" w:eastAsia="仿宋_GB2312"/>
          <w:snapToGrid w:val="0"/>
          <w:color w:val="auto"/>
          <w:sz w:val="32"/>
          <w:szCs w:val="32"/>
          <w:lang w:val="en-US" w:eastAsia="zh-CN"/>
        </w:rPr>
        <w:t>2019年，全区共被提起行政复议或诉讼55件，较去年同期的18件，增幅达200%，结果维持占27.3%、纠错占34.5%、其他结果和尚未审结共占38.2%。其中，区政府被提起行政复议1件、未经复议直接起诉3件均为审结；复议后起诉1件，结果维持1件。</w:t>
      </w:r>
    </w:p>
    <w:tbl>
      <w:tblPr>
        <w:tblStyle w:val="8"/>
        <w:tblW w:w="9149" w:type="dxa"/>
        <w:jc w:val="center"/>
        <w:tblLayout w:type="autofit"/>
        <w:tblCellMar>
          <w:top w:w="15" w:type="dxa"/>
          <w:left w:w="15" w:type="dxa"/>
          <w:bottom w:w="15" w:type="dxa"/>
          <w:right w:w="15" w:type="dxa"/>
        </w:tblCellMar>
      </w:tblPr>
      <w:tblGrid>
        <w:gridCol w:w="604"/>
        <w:gridCol w:w="604"/>
        <w:gridCol w:w="604"/>
        <w:gridCol w:w="604"/>
        <w:gridCol w:w="658"/>
        <w:gridCol w:w="550"/>
        <w:gridCol w:w="605"/>
        <w:gridCol w:w="605"/>
        <w:gridCol w:w="605"/>
        <w:gridCol w:w="605"/>
        <w:gridCol w:w="605"/>
        <w:gridCol w:w="605"/>
        <w:gridCol w:w="605"/>
        <w:gridCol w:w="606"/>
        <w:gridCol w:w="684"/>
      </w:tblGrid>
      <w:tr>
        <w:tblPrEx>
          <w:tblCellMar>
            <w:top w:w="15" w:type="dxa"/>
            <w:left w:w="15" w:type="dxa"/>
            <w:bottom w:w="15" w:type="dxa"/>
            <w:right w:w="15" w:type="dxa"/>
          </w:tblCellMar>
        </w:tblPrEx>
        <w:trPr>
          <w:jc w:val="center"/>
        </w:trPr>
        <w:tc>
          <w:tcPr>
            <w:tcW w:w="3074" w:type="dxa"/>
            <w:gridSpan w:val="5"/>
            <w:tcBorders>
              <w:top w:val="single" w:color="auto" w:sz="8" w:space="0"/>
              <w:left w:val="single" w:color="auto" w:sz="8" w:space="0"/>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行政复议</w:t>
            </w:r>
          </w:p>
        </w:tc>
        <w:tc>
          <w:tcPr>
            <w:tcW w:w="6075" w:type="dxa"/>
            <w:gridSpan w:val="10"/>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行政诉讼</w:t>
            </w:r>
          </w:p>
        </w:tc>
      </w:tr>
      <w:tr>
        <w:tblPrEx>
          <w:tblCellMar>
            <w:top w:w="15" w:type="dxa"/>
            <w:left w:w="15" w:type="dxa"/>
            <w:bottom w:w="15" w:type="dxa"/>
            <w:right w:w="15" w:type="dxa"/>
          </w:tblCellMar>
        </w:tblPrEx>
        <w:trPr>
          <w:jc w:val="center"/>
        </w:trPr>
        <w:tc>
          <w:tcPr>
            <w:tcW w:w="604" w:type="dxa"/>
            <w:vMerge w:val="restart"/>
            <w:tcBorders>
              <w:top w:val="nil"/>
              <w:left w:val="single" w:color="auto" w:sz="8" w:space="0"/>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结果维持</w:t>
            </w:r>
          </w:p>
        </w:tc>
        <w:tc>
          <w:tcPr>
            <w:tcW w:w="604" w:type="dxa"/>
            <w:vMerge w:val="restart"/>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结果纠正</w:t>
            </w:r>
          </w:p>
        </w:tc>
        <w:tc>
          <w:tcPr>
            <w:tcW w:w="604" w:type="dxa"/>
            <w:vMerge w:val="restart"/>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其他结果</w:t>
            </w:r>
          </w:p>
        </w:tc>
        <w:tc>
          <w:tcPr>
            <w:tcW w:w="604" w:type="dxa"/>
            <w:vMerge w:val="restart"/>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尚未审结</w:t>
            </w:r>
          </w:p>
        </w:tc>
        <w:tc>
          <w:tcPr>
            <w:tcW w:w="658" w:type="dxa"/>
            <w:vMerge w:val="restart"/>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总计</w:t>
            </w:r>
          </w:p>
        </w:tc>
        <w:tc>
          <w:tcPr>
            <w:tcW w:w="2970" w:type="dxa"/>
            <w:gridSpan w:val="5"/>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未经复议直接起诉</w:t>
            </w:r>
          </w:p>
        </w:tc>
        <w:tc>
          <w:tcPr>
            <w:tcW w:w="3105" w:type="dxa"/>
            <w:gridSpan w:val="5"/>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复议后起诉</w:t>
            </w:r>
          </w:p>
        </w:tc>
      </w:tr>
      <w:tr>
        <w:tblPrEx>
          <w:tblCellMar>
            <w:top w:w="15" w:type="dxa"/>
            <w:left w:w="15" w:type="dxa"/>
            <w:bottom w:w="15" w:type="dxa"/>
            <w:right w:w="15" w:type="dxa"/>
          </w:tblCellMar>
        </w:tblPrEx>
        <w:trPr>
          <w:jc w:val="center"/>
        </w:trPr>
        <w:tc>
          <w:tcPr>
            <w:tcW w:w="0" w:type="auto"/>
            <w:vMerge w:val="continue"/>
            <w:tcBorders>
              <w:top w:val="nil"/>
              <w:left w:val="single" w:color="auto" w:sz="8" w:space="0"/>
              <w:bottom w:val="single" w:color="auto" w:sz="8" w:space="0"/>
              <w:right w:val="single" w:color="auto" w:sz="8" w:space="0"/>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p>
        </w:tc>
        <w:tc>
          <w:tcPr>
            <w:tcW w:w="0" w:type="auto"/>
            <w:vMerge w:val="continue"/>
            <w:tcBorders>
              <w:top w:val="nil"/>
              <w:left w:val="nil"/>
              <w:bottom w:val="single" w:color="auto" w:sz="8" w:space="0"/>
              <w:right w:val="single" w:color="auto" w:sz="8" w:space="0"/>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p>
        </w:tc>
        <w:tc>
          <w:tcPr>
            <w:tcW w:w="0" w:type="auto"/>
            <w:vMerge w:val="continue"/>
            <w:tcBorders>
              <w:top w:val="single" w:color="auto" w:sz="8" w:space="0"/>
              <w:left w:val="nil"/>
              <w:bottom w:val="single" w:color="auto" w:sz="8" w:space="0"/>
              <w:right w:val="single" w:color="auto" w:sz="8" w:space="0"/>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p>
        </w:tc>
        <w:tc>
          <w:tcPr>
            <w:tcW w:w="0" w:type="auto"/>
            <w:vMerge w:val="continue"/>
            <w:tcBorders>
              <w:top w:val="single" w:color="auto" w:sz="8" w:space="0"/>
              <w:left w:val="nil"/>
              <w:bottom w:val="single" w:color="auto" w:sz="8" w:space="0"/>
              <w:right w:val="single" w:color="auto" w:sz="8" w:space="0"/>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p>
        </w:tc>
        <w:tc>
          <w:tcPr>
            <w:tcW w:w="0" w:type="auto"/>
            <w:vMerge w:val="continue"/>
            <w:tcBorders>
              <w:top w:val="single" w:color="auto" w:sz="8" w:space="0"/>
              <w:left w:val="nil"/>
              <w:bottom w:val="single" w:color="auto" w:sz="8" w:space="0"/>
              <w:right w:val="single" w:color="auto" w:sz="8" w:space="0"/>
            </w:tcBorders>
            <w:shd w:val="clear" w:color="auto" w:fill="FFFFFF"/>
            <w:noWrap w:val="0"/>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p>
        </w:tc>
        <w:tc>
          <w:tcPr>
            <w:tcW w:w="550"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结果维持</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结果纠正</w:t>
            </w:r>
          </w:p>
        </w:tc>
        <w:tc>
          <w:tcPr>
            <w:tcW w:w="605"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其他结果</w:t>
            </w:r>
          </w:p>
        </w:tc>
        <w:tc>
          <w:tcPr>
            <w:tcW w:w="605"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尚未审结</w:t>
            </w:r>
          </w:p>
        </w:tc>
        <w:tc>
          <w:tcPr>
            <w:tcW w:w="605"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总计</w:t>
            </w:r>
          </w:p>
        </w:tc>
        <w:tc>
          <w:tcPr>
            <w:tcW w:w="605"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结果维持</w:t>
            </w:r>
          </w:p>
        </w:tc>
        <w:tc>
          <w:tcPr>
            <w:tcW w:w="605"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结果纠正</w:t>
            </w:r>
          </w:p>
        </w:tc>
        <w:tc>
          <w:tcPr>
            <w:tcW w:w="605"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其他结果</w:t>
            </w:r>
          </w:p>
        </w:tc>
        <w:tc>
          <w:tcPr>
            <w:tcW w:w="606"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尚未审结</w:t>
            </w:r>
          </w:p>
        </w:tc>
        <w:tc>
          <w:tcPr>
            <w:tcW w:w="684" w:type="dxa"/>
            <w:tcBorders>
              <w:top w:val="single" w:color="auto" w:sz="8" w:space="0"/>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rPr>
              <w:t>总计</w:t>
            </w:r>
          </w:p>
        </w:tc>
      </w:tr>
      <w:tr>
        <w:tblPrEx>
          <w:tblCellMar>
            <w:top w:w="15" w:type="dxa"/>
            <w:left w:w="15" w:type="dxa"/>
            <w:bottom w:w="15" w:type="dxa"/>
            <w:right w:w="15" w:type="dxa"/>
          </w:tblCellMar>
        </w:tblPrEx>
        <w:trPr>
          <w:jc w:val="center"/>
        </w:trPr>
        <w:tc>
          <w:tcPr>
            <w:tcW w:w="604" w:type="dxa"/>
            <w:tcBorders>
              <w:top w:val="nil"/>
              <w:left w:val="single" w:color="auto" w:sz="8" w:space="0"/>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11</w:t>
            </w:r>
          </w:p>
        </w:tc>
        <w:tc>
          <w:tcPr>
            <w:tcW w:w="604"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11</w:t>
            </w:r>
          </w:p>
        </w:tc>
        <w:tc>
          <w:tcPr>
            <w:tcW w:w="604"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2</w:t>
            </w:r>
          </w:p>
        </w:tc>
        <w:tc>
          <w:tcPr>
            <w:tcW w:w="604"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7</w:t>
            </w:r>
          </w:p>
        </w:tc>
        <w:tc>
          <w:tcPr>
            <w:tcW w:w="658"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31</w:t>
            </w:r>
          </w:p>
        </w:tc>
        <w:tc>
          <w:tcPr>
            <w:tcW w:w="550"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1</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7</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2</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6</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16</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3</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1</w:t>
            </w:r>
          </w:p>
        </w:tc>
        <w:tc>
          <w:tcPr>
            <w:tcW w:w="605"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0</w:t>
            </w:r>
          </w:p>
        </w:tc>
        <w:tc>
          <w:tcPr>
            <w:tcW w:w="606"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4</w:t>
            </w:r>
          </w:p>
        </w:tc>
        <w:tc>
          <w:tcPr>
            <w:tcW w:w="684" w:type="dxa"/>
            <w:tcBorders>
              <w:top w:val="nil"/>
              <w:left w:val="nil"/>
              <w:bottom w:val="single" w:color="auto" w:sz="8" w:space="0"/>
              <w:right w:val="single" w:color="auto" w:sz="8" w:space="0"/>
            </w:tcBorders>
            <w:shd w:val="clear" w:color="auto" w:fill="FFFFFF"/>
            <w:noWrap w:val="0"/>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eastAsia" w:ascii="仿宋_GB2312" w:hAnsi="仿宋_GB2312" w:eastAsia="仿宋_GB2312" w:cs="仿宋_GB2312"/>
                <w:color w:val="auto"/>
                <w:kern w:val="0"/>
                <w:sz w:val="24"/>
                <w:szCs w:val="24"/>
              </w:rPr>
            </w:pPr>
            <w:r>
              <w:rPr>
                <w:rFonts w:hint="eastAsia" w:ascii="仿宋_GB2312" w:hAnsi="仿宋_GB2312" w:eastAsia="仿宋_GB2312" w:cs="仿宋_GB2312"/>
                <w:color w:val="auto"/>
                <w:kern w:val="0"/>
                <w:sz w:val="24"/>
                <w:szCs w:val="24"/>
                <w:lang w:val="en-US" w:eastAsia="zh-CN"/>
              </w:rPr>
              <w:t>8</w:t>
            </w:r>
          </w:p>
        </w:tc>
      </w:tr>
    </w:tbl>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right="0" w:rightChars="0" w:firstLine="640" w:firstLineChars="200"/>
        <w:jc w:val="both"/>
        <w:textAlignment w:val="auto"/>
        <w:rPr>
          <w:rFonts w:hint="eastAsia" w:ascii="黑体" w:hAnsi="黑体" w:eastAsia="黑体" w:cs="黑体"/>
          <w:color w:val="auto"/>
          <w:kern w:val="2"/>
          <w:sz w:val="32"/>
          <w:szCs w:val="32"/>
          <w:lang w:val="en-US" w:eastAsia="zh-CN" w:bidi="ar-SA"/>
        </w:rPr>
      </w:pPr>
      <w:r>
        <w:rPr>
          <w:rFonts w:hint="eastAsia" w:ascii="黑体" w:hAnsi="黑体" w:eastAsia="黑体" w:cs="黑体"/>
          <w:color w:val="auto"/>
          <w:kern w:val="2"/>
          <w:sz w:val="32"/>
          <w:szCs w:val="32"/>
          <w:lang w:val="en-US" w:eastAsia="zh-CN" w:bidi="ar-SA"/>
        </w:rPr>
        <w:t>五、存在的主要问题及改进情况</w:t>
      </w:r>
    </w:p>
    <w:p>
      <w:pPr>
        <w:wordWrap w:val="0"/>
        <w:spacing w:line="576" w:lineRule="exact"/>
        <w:ind w:firstLine="640"/>
        <w:jc w:val="left"/>
        <w:rPr>
          <w:rFonts w:ascii="仿宋_GB2312" w:eastAsia="仿宋_GB2312"/>
          <w:snapToGrid w:val="0"/>
          <w:sz w:val="32"/>
          <w:szCs w:val="32"/>
        </w:rPr>
      </w:pPr>
      <w:r>
        <w:rPr>
          <w:rFonts w:hint="eastAsia" w:ascii="仿宋_GB2312" w:eastAsia="仿宋_GB2312"/>
          <w:snapToGrid w:val="0"/>
          <w:sz w:val="32"/>
          <w:szCs w:val="32"/>
        </w:rPr>
        <w:t>自2017年瓯海区被确定为全国基层政务公开标准化规范化试点区以来，区委、区政府高度重视全区政务公开工作，健全体制机制建设，持续推进政务公开制度完善，细化要点落实责任，全区政务公开工作水平有了较大提升，但仍存在薄弱环节亟待改进，主要体现在：</w:t>
      </w:r>
    </w:p>
    <w:p>
      <w:pPr>
        <w:tabs>
          <w:tab w:val="left" w:pos="312"/>
        </w:tabs>
        <w:wordWrap w:val="0"/>
        <w:spacing w:line="576" w:lineRule="exact"/>
        <w:ind w:firstLine="643" w:firstLineChars="200"/>
        <w:rPr>
          <w:rFonts w:ascii="仿宋" w:hAnsi="仿宋" w:eastAsia="仿宋" w:cs="仿宋_GB2312"/>
          <w:sz w:val="32"/>
          <w:szCs w:val="32"/>
          <w:shd w:val="clear" w:color="auto" w:fill="FFFFFF"/>
        </w:rPr>
      </w:pPr>
      <w:r>
        <w:rPr>
          <w:rFonts w:hint="eastAsia" w:ascii="仿宋_GB2312" w:hAnsi="仿宋_GB2312" w:eastAsia="仿宋_GB2312" w:cs="仿宋_GB2312"/>
          <w:b/>
          <w:bCs/>
          <w:color w:val="auto"/>
          <w:kern w:val="2"/>
          <w:sz w:val="32"/>
          <w:szCs w:val="32"/>
          <w:lang w:val="en-US" w:eastAsia="zh-CN" w:bidi="ar-SA"/>
        </w:rPr>
        <w:t>一是公开意识待提高。</w:t>
      </w:r>
      <w:r>
        <w:rPr>
          <w:rFonts w:hint="eastAsia" w:ascii="仿宋_GB2312" w:eastAsia="仿宋_GB2312"/>
          <w:snapToGrid w:val="0"/>
          <w:sz w:val="32"/>
          <w:szCs w:val="32"/>
        </w:rPr>
        <w:t>2019年新版《条例》进一步扩大了政府信息主动公开的范围和深度，明确了政府信息公开的界限，完善了依申请公开的程序规定，上级文件多次就新形势下政务公开工作部署新任务、新要求。目前工作中，仍存在公开不彻底、没有形成常态化机制、没有真正公开群众关心的内容、公开制度文件落实不到位等现象，归根结底是因为“公开是常态，不公开是例外”的理念未深入，对于“五公开”</w:t>
      </w:r>
      <w:r>
        <w:rPr>
          <w:rFonts w:hint="eastAsia" w:ascii="仿宋_GB2312" w:hAnsi="黑体" w:eastAsia="仿宋_GB2312"/>
          <w:snapToGrid w:val="0"/>
          <w:sz w:val="32"/>
          <w:szCs w:val="32"/>
        </w:rPr>
        <w:t>（五公开：决策、执行、管理、服务、结果全过程公开）</w:t>
      </w:r>
      <w:r>
        <w:rPr>
          <w:rFonts w:hint="eastAsia" w:ascii="仿宋_GB2312" w:eastAsia="仿宋_GB2312"/>
          <w:snapToGrid w:val="0"/>
          <w:sz w:val="32"/>
          <w:szCs w:val="32"/>
        </w:rPr>
        <w:t>认识不足。</w:t>
      </w:r>
    </w:p>
    <w:p>
      <w:pPr>
        <w:tabs>
          <w:tab w:val="left" w:pos="312"/>
        </w:tabs>
        <w:wordWrap w:val="0"/>
        <w:spacing w:line="576" w:lineRule="exact"/>
        <w:ind w:firstLine="643" w:firstLineChars="200"/>
        <w:rPr>
          <w:rFonts w:ascii="仿宋_GB2312" w:hAnsi="黑体" w:eastAsia="仿宋_GB2312"/>
          <w:snapToGrid w:val="0"/>
          <w:sz w:val="32"/>
          <w:szCs w:val="32"/>
        </w:rPr>
      </w:pPr>
      <w:r>
        <w:rPr>
          <w:rFonts w:hint="eastAsia" w:ascii="仿宋_GB2312" w:hAnsi="仿宋_GB2312" w:eastAsia="仿宋_GB2312" w:cs="仿宋_GB2312"/>
          <w:b/>
          <w:bCs/>
          <w:color w:val="auto"/>
          <w:kern w:val="2"/>
          <w:sz w:val="32"/>
          <w:szCs w:val="32"/>
          <w:lang w:val="en-US" w:eastAsia="zh-CN" w:bidi="ar-SA"/>
        </w:rPr>
        <w:t>二是全面公开机制待推进。</w:t>
      </w:r>
      <w:r>
        <w:rPr>
          <w:rFonts w:hint="eastAsia" w:ascii="仿宋_GB2312" w:hAnsi="黑体" w:eastAsia="仿宋_GB2312"/>
          <w:snapToGrid w:val="0"/>
          <w:sz w:val="32"/>
          <w:szCs w:val="32"/>
        </w:rPr>
        <w:t>全国基层政务公开标准化规范化试点工作经验推广力度有待加强，做好选定新领域新一轮试点工作，全面推进基层政务公开标准化规范化工作的任务亟待进行。政务公开水平提升后，群众对于基层党务公开、村务公开的要求日益增长，但是目前尚无相关的制度进行有效衔接，容易造成公开不彻底等现象，难以满足群众需要。“五公开”执行不够到位，未做到政务公开的全流程公开，减少了政策起草、制发、试行后的群众参与度。</w:t>
      </w:r>
    </w:p>
    <w:p>
      <w:pPr>
        <w:tabs>
          <w:tab w:val="left" w:pos="312"/>
        </w:tabs>
        <w:wordWrap w:val="0"/>
        <w:spacing w:line="576" w:lineRule="exact"/>
        <w:ind w:firstLine="643" w:firstLineChars="200"/>
        <w:rPr>
          <w:rFonts w:ascii="仿宋_GB2312" w:hAnsi="黑体" w:eastAsia="仿宋_GB2312"/>
          <w:snapToGrid w:val="0"/>
          <w:sz w:val="32"/>
          <w:szCs w:val="32"/>
        </w:rPr>
      </w:pPr>
      <w:r>
        <w:rPr>
          <w:rFonts w:hint="eastAsia" w:ascii="仿宋_GB2312" w:hAnsi="仿宋_GB2312" w:eastAsia="仿宋_GB2312" w:cs="仿宋_GB2312"/>
          <w:b/>
          <w:bCs/>
          <w:color w:val="auto"/>
          <w:kern w:val="2"/>
          <w:sz w:val="32"/>
          <w:szCs w:val="32"/>
          <w:lang w:val="en-US" w:eastAsia="zh-CN" w:bidi="ar-SA"/>
        </w:rPr>
        <w:t>三是主动公开待完善。</w:t>
      </w:r>
      <w:r>
        <w:rPr>
          <w:rFonts w:hint="eastAsia" w:ascii="仿宋_GB2312" w:hAnsi="黑体" w:eastAsia="仿宋_GB2312"/>
          <w:snapToGrid w:val="0"/>
          <w:sz w:val="32"/>
          <w:szCs w:val="32"/>
          <w:lang w:val="en-US" w:eastAsia="zh-CN"/>
        </w:rPr>
        <w:t>公</w:t>
      </w:r>
      <w:r>
        <w:rPr>
          <w:rFonts w:hint="eastAsia" w:ascii="仿宋_GB2312" w:hAnsi="黑体" w:eastAsia="仿宋_GB2312"/>
          <w:snapToGrid w:val="0"/>
          <w:sz w:val="32"/>
          <w:szCs w:val="32"/>
        </w:rPr>
        <w:t>开面窄，政府发文的文件公开率不高，主动公开的公文占所有规范制发公文的比例未达到70%，仍有提升空间。公开程度低，公开解读少，现解读工作主要集中在对规范性文件进行解读，其他政策文件解读力度不足，且解读形式单一，公开发布不规范。</w:t>
      </w:r>
    </w:p>
    <w:p>
      <w:pPr>
        <w:tabs>
          <w:tab w:val="left" w:pos="312"/>
        </w:tabs>
        <w:wordWrap w:val="0"/>
        <w:spacing w:line="576" w:lineRule="exact"/>
        <w:ind w:firstLine="643" w:firstLineChars="200"/>
        <w:rPr>
          <w:rFonts w:ascii="仿宋_GB2312" w:hAnsi="黑体" w:eastAsia="仿宋_GB2312"/>
          <w:snapToGrid w:val="0"/>
          <w:sz w:val="32"/>
          <w:szCs w:val="32"/>
        </w:rPr>
      </w:pPr>
      <w:r>
        <w:rPr>
          <w:rFonts w:hint="eastAsia" w:ascii="仿宋_GB2312" w:hAnsi="仿宋_GB2312" w:eastAsia="仿宋_GB2312" w:cs="仿宋_GB2312"/>
          <w:b/>
          <w:bCs/>
          <w:color w:val="auto"/>
          <w:kern w:val="2"/>
          <w:sz w:val="32"/>
          <w:szCs w:val="32"/>
          <w:lang w:val="en-US" w:eastAsia="zh-CN" w:bidi="ar-SA"/>
        </w:rPr>
        <w:t>四是依申请公开工作能力不足。</w:t>
      </w:r>
      <w:r>
        <w:rPr>
          <w:rFonts w:hint="eastAsia" w:ascii="仿宋_GB2312" w:hAnsi="黑体" w:eastAsia="仿宋_GB2312"/>
          <w:snapToGrid w:val="0"/>
          <w:sz w:val="32"/>
          <w:szCs w:val="32"/>
        </w:rPr>
        <w:t>新《条例》出台后，虽统一安排培训，但部分经办或审核人员对《条例》理解不到位。近年来，随着政府信息公开宣传开展，申请人提出的政府信息公开难度和专业性不断加大，对公开范围、公开程度、公开方式等把握不准、缺乏研判能力都将带来行政争议败诉或被纠错的风险。</w:t>
      </w:r>
    </w:p>
    <w:p>
      <w:pPr>
        <w:tabs>
          <w:tab w:val="left" w:pos="312"/>
        </w:tabs>
        <w:wordWrap w:val="0"/>
        <w:spacing w:line="576" w:lineRule="exact"/>
        <w:ind w:firstLine="640" w:firstLineChars="200"/>
        <w:rPr>
          <w:rFonts w:ascii="仿宋_GB2312" w:hAnsi="黑体" w:eastAsia="仿宋_GB2312"/>
          <w:snapToGrid w:val="0"/>
          <w:color w:val="auto"/>
          <w:sz w:val="32"/>
          <w:szCs w:val="32"/>
        </w:rPr>
      </w:pPr>
      <w:r>
        <w:rPr>
          <w:rFonts w:hint="eastAsia" w:ascii="仿宋_GB2312" w:hAnsi="黑体" w:eastAsia="仿宋_GB2312"/>
          <w:snapToGrid w:val="0"/>
          <w:sz w:val="32"/>
          <w:szCs w:val="32"/>
        </w:rPr>
        <w:t>2020年，瓯海区将继续开展“刀刃向内”的自我革命，坚持“应公开、尽公开”，做好公开平台建设，以公开透明的理念引领公开工作，</w:t>
      </w:r>
      <w:r>
        <w:rPr>
          <w:rFonts w:hint="eastAsia" w:ascii="仿宋_GB2312" w:eastAsia="仿宋_GB2312"/>
          <w:sz w:val="32"/>
          <w:szCs w:val="32"/>
        </w:rPr>
        <w:t>多措并举推进</w:t>
      </w:r>
      <w:r>
        <w:rPr>
          <w:rFonts w:ascii="仿宋_GB2312" w:eastAsia="仿宋_GB2312"/>
          <w:sz w:val="32"/>
          <w:szCs w:val="32"/>
        </w:rPr>
        <w:t>新时代政务公开，</w:t>
      </w:r>
      <w:r>
        <w:rPr>
          <w:rFonts w:hint="eastAsia" w:ascii="仿宋_GB2312" w:hAnsi="黑体" w:eastAsia="仿宋_GB2312"/>
          <w:snapToGrid w:val="0"/>
          <w:sz w:val="32"/>
          <w:szCs w:val="32"/>
        </w:rPr>
        <w:t>实现以公开促落实，以公开促规范，以公开促服务的目的，</w:t>
      </w:r>
      <w:r>
        <w:rPr>
          <w:rFonts w:ascii="仿宋_GB2312" w:eastAsia="仿宋_GB2312"/>
          <w:sz w:val="32"/>
          <w:szCs w:val="32"/>
        </w:rPr>
        <w:t>为推进国家治理体系和治理能力现代化作出新贡献</w:t>
      </w:r>
      <w:r>
        <w:rPr>
          <w:rFonts w:hint="eastAsia" w:ascii="仿宋_GB2312" w:eastAsia="仿宋_GB2312"/>
          <w:sz w:val="32"/>
          <w:szCs w:val="32"/>
        </w:rPr>
        <w:t>，</w:t>
      </w:r>
      <w:r>
        <w:rPr>
          <w:rFonts w:hint="eastAsia" w:ascii="仿宋_GB2312" w:hAnsi="黑体" w:eastAsia="仿宋_GB2312"/>
          <w:snapToGrid w:val="0"/>
          <w:sz w:val="32"/>
          <w:szCs w:val="32"/>
        </w:rPr>
        <w:t>重点抓好以下方面做</w:t>
      </w:r>
      <w:r>
        <w:rPr>
          <w:rFonts w:hint="eastAsia" w:ascii="仿宋_GB2312" w:hAnsi="黑体" w:eastAsia="仿宋_GB2312"/>
          <w:snapToGrid w:val="0"/>
          <w:color w:val="auto"/>
          <w:sz w:val="32"/>
          <w:szCs w:val="32"/>
        </w:rPr>
        <w:t>好改进提升工作：</w:t>
      </w:r>
    </w:p>
    <w:p>
      <w:pPr>
        <w:pStyle w:val="4"/>
        <w:wordWrap w:val="0"/>
        <w:spacing w:line="576" w:lineRule="exact"/>
        <w:rPr>
          <w:rFonts w:ascii="仿宋_GB2312" w:hAnsi="黑体"/>
          <w:snapToGrid w:val="0"/>
          <w:szCs w:val="32"/>
        </w:rPr>
      </w:pPr>
      <w:r>
        <w:rPr>
          <w:rFonts w:hint="eastAsia" w:ascii="仿宋_GB2312" w:hAnsi="仿宋_GB2312" w:eastAsia="仿宋_GB2312" w:cs="仿宋_GB2312"/>
          <w:b/>
          <w:bCs/>
          <w:color w:val="auto"/>
          <w:kern w:val="2"/>
          <w:sz w:val="32"/>
          <w:szCs w:val="32"/>
          <w:lang w:val="en-US" w:eastAsia="zh-CN" w:bidi="ar-SA"/>
        </w:rPr>
        <w:t>一是提高全社会公开意识。</w:t>
      </w:r>
      <w:r>
        <w:rPr>
          <w:rFonts w:hint="eastAsia" w:ascii="仿宋_GB2312" w:hAnsi="黑体"/>
          <w:snapToGrid w:val="0"/>
          <w:szCs w:val="32"/>
        </w:rPr>
        <w:t>全面贯彻落实国家、省、市有关要求，围绕政府中心工作，强化服务意识，提高服务质量，进一步做好政务公开。落实分管领导+专人负责机制，加强新版《条例》社会宣传和政府工作人员的学习培训力度，增进企业、群众了解政府信息公开内容，培养政府工作人员掌握基本能力，增强全社会公开意识和氛围。</w:t>
      </w:r>
    </w:p>
    <w:p>
      <w:pPr>
        <w:pStyle w:val="4"/>
        <w:wordWrap w:val="0"/>
        <w:spacing w:line="576" w:lineRule="exact"/>
        <w:rPr>
          <w:rFonts w:ascii="仿宋_GB2312" w:hAnsi="黑体"/>
          <w:snapToGrid w:val="0"/>
          <w:szCs w:val="32"/>
        </w:rPr>
      </w:pPr>
      <w:r>
        <w:rPr>
          <w:rFonts w:hint="eastAsia" w:ascii="仿宋_GB2312" w:hAnsi="仿宋_GB2312" w:eastAsia="仿宋_GB2312" w:cs="仿宋_GB2312"/>
          <w:b/>
          <w:bCs/>
          <w:color w:val="auto"/>
          <w:kern w:val="2"/>
          <w:sz w:val="32"/>
          <w:szCs w:val="32"/>
          <w:lang w:val="en-US" w:eastAsia="zh-CN" w:bidi="ar-SA"/>
        </w:rPr>
        <w:t>二是推进基层政务公开体系建设。</w:t>
      </w:r>
      <w:r>
        <w:rPr>
          <w:rFonts w:hint="eastAsia" w:ascii="仿宋_GB2312" w:hAnsi="黑体"/>
          <w:snapToGrid w:val="0"/>
          <w:szCs w:val="32"/>
        </w:rPr>
        <w:t>充分利用全国试点经验，做好试点领域向其他领域拓展延伸，进一步厘清公开边界，结合前期试点经验，做好公开领域划分的顶层设计，</w:t>
      </w:r>
      <w:r>
        <w:rPr>
          <w:rFonts w:hint="eastAsia" w:ascii="仿宋_GB2312"/>
          <w:szCs w:val="32"/>
        </w:rPr>
        <w:t>参考全国其他试点地区相关领域的公开标准，制定公开标准，</w:t>
      </w:r>
      <w:r>
        <w:rPr>
          <w:rFonts w:hint="eastAsia" w:ascii="仿宋_GB2312" w:hAnsi="黑体"/>
          <w:snapToGrid w:val="0"/>
          <w:szCs w:val="32"/>
        </w:rPr>
        <w:t>逐步推进全面基层政务公开领域体系建设。</w:t>
      </w:r>
    </w:p>
    <w:p>
      <w:pPr>
        <w:wordWrap w:val="0"/>
        <w:spacing w:line="576" w:lineRule="exact"/>
        <w:ind w:firstLine="643" w:firstLineChars="200"/>
        <w:rPr>
          <w:rFonts w:ascii="仿宋_GB2312" w:eastAsia="仿宋_GB2312"/>
          <w:sz w:val="32"/>
          <w:szCs w:val="32"/>
        </w:rPr>
      </w:pPr>
      <w:r>
        <w:rPr>
          <w:rFonts w:hint="eastAsia" w:ascii="仿宋_GB2312" w:hAnsi="仿宋_GB2312" w:eastAsia="仿宋_GB2312" w:cs="仿宋_GB2312"/>
          <w:b/>
          <w:bCs/>
          <w:color w:val="auto"/>
          <w:kern w:val="2"/>
          <w:sz w:val="32"/>
          <w:szCs w:val="32"/>
          <w:lang w:val="en-US" w:eastAsia="zh-CN" w:bidi="ar-SA"/>
        </w:rPr>
        <w:t>三是强化主动公开管理。</w:t>
      </w:r>
      <w:r>
        <w:rPr>
          <w:rFonts w:hint="eastAsia" w:ascii="仿宋_GB2312" w:eastAsia="仿宋_GB2312"/>
          <w:sz w:val="32"/>
          <w:szCs w:val="32"/>
        </w:rPr>
        <w:t>进一步完善政府部门公文拟稿流程，拟稿时明确公文公开属性，多级审查确保公开属性正确，真正做到“应公开、尽公开”，提高政府公文公开率。加强政府信息审核发布管理，安排专人进行政府信息上网工作，正确发布政府信息、准确填写信息属性、规范调整信息格式。配套做好政策文件解读工作，抓好各单位解读本单位制发的政策文件，进一步完善政策解读专家团制度，区政府每年至少举行一次政策解读案例评选等活动，丰富解读形式、提升解读质量、加大宣传力度。</w:t>
      </w:r>
    </w:p>
    <w:p>
      <w:pPr>
        <w:wordWrap w:val="0"/>
        <w:spacing w:line="576" w:lineRule="exact"/>
        <w:ind w:firstLine="643" w:firstLineChars="200"/>
      </w:pPr>
      <w:r>
        <w:rPr>
          <w:rFonts w:hint="eastAsia" w:ascii="仿宋_GB2312" w:hAnsi="仿宋_GB2312" w:eastAsia="仿宋_GB2312" w:cs="仿宋_GB2312"/>
          <w:b/>
          <w:bCs/>
          <w:color w:val="auto"/>
          <w:kern w:val="2"/>
          <w:sz w:val="32"/>
          <w:szCs w:val="32"/>
          <w:lang w:val="en-US" w:eastAsia="zh-CN" w:bidi="ar-SA"/>
        </w:rPr>
        <w:t>四是完善依申请公开工作程序。</w:t>
      </w:r>
      <w:r>
        <w:rPr>
          <w:rFonts w:hint="eastAsia" w:ascii="仿宋_GB2312" w:eastAsia="仿宋_GB2312"/>
          <w:sz w:val="32"/>
          <w:szCs w:val="32"/>
        </w:rPr>
        <w:t>进一步优化调整《瓯海区政府信息依申请公开工作程序》，从答复内容、答复格式、答复流程等多个方面，全面规范全区依申请公开处理工作，健全接收、登记、办理、答复的操作规程和处理流程，充分发挥法制科室、法律顾问的作用，并统一采用浙江政务服务网统一后台进行依申请公开处理登记。</w:t>
      </w:r>
    </w:p>
    <w:p>
      <w:pPr>
        <w:pStyle w:val="15"/>
        <w:keepNext w:val="0"/>
        <w:keepLines w:val="0"/>
        <w:pageBreakBefore w:val="0"/>
        <w:widowControl w:val="0"/>
        <w:numPr>
          <w:ilvl w:val="0"/>
          <w:numId w:val="0"/>
        </w:numPr>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黑体" w:hAnsi="黑体" w:eastAsia="黑体" w:cs="黑体"/>
          <w:color w:val="auto"/>
          <w:kern w:val="2"/>
          <w:sz w:val="32"/>
          <w:szCs w:val="32"/>
          <w:lang w:val="en-US" w:eastAsia="zh-CN" w:bidi="ar-SA"/>
        </w:rPr>
      </w:pPr>
      <w:r>
        <w:rPr>
          <w:rFonts w:hint="eastAsia" w:ascii="黑体" w:hAnsi="黑体" w:eastAsia="黑体" w:cs="黑体"/>
          <w:color w:val="auto"/>
          <w:kern w:val="2"/>
          <w:sz w:val="32"/>
          <w:szCs w:val="32"/>
          <w:lang w:val="en-US" w:eastAsia="zh-CN" w:bidi="ar-SA"/>
        </w:rPr>
        <w:t>六、其他需要报告的事项</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仿宋_GB2312" w:eastAsia="仿宋_GB2312"/>
          <w:color w:val="auto"/>
          <w:sz w:val="32"/>
          <w:szCs w:val="32"/>
          <w:lang w:val="en-US" w:eastAsia="zh-CN"/>
        </w:rPr>
      </w:pPr>
      <w:r>
        <w:rPr>
          <w:rFonts w:hint="eastAsia" w:ascii="仿宋_GB2312" w:eastAsia="仿宋_GB2312"/>
          <w:color w:val="auto"/>
          <w:sz w:val="32"/>
          <w:szCs w:val="32"/>
          <w:lang w:val="en-US" w:eastAsia="zh-CN"/>
        </w:rPr>
        <w:t>2019年，全区各级行政机关未向社会公众、企业收取与政府信息公开有关的费用。</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0" w:firstLineChars="200"/>
        <w:jc w:val="both"/>
        <w:textAlignment w:val="auto"/>
        <w:rPr>
          <w:rFonts w:hint="eastAsia" w:ascii="黑体" w:hAnsi="黑体" w:eastAsia="黑体" w:cs="黑体"/>
          <w:color w:val="auto"/>
          <w:kern w:val="2"/>
          <w:sz w:val="32"/>
          <w:szCs w:val="32"/>
          <w:lang w:val="en-US" w:eastAsia="zh-CN" w:bidi="ar-SA"/>
        </w:rPr>
      </w:pPr>
      <w:r>
        <w:rPr>
          <w:rFonts w:hint="eastAsia" w:ascii="仿宋_GB2312" w:eastAsia="仿宋_GB2312"/>
          <w:color w:val="auto"/>
          <w:sz w:val="32"/>
          <w:szCs w:val="32"/>
          <w:lang w:val="en-US" w:eastAsia="zh-CN"/>
        </w:rPr>
        <w:t>无其他需要报告的事项。</w:t>
      </w:r>
    </w:p>
    <w:p>
      <w:pPr>
        <w:pStyle w:val="3"/>
        <w:bidi w:val="0"/>
        <w:rPr>
          <w:rFonts w:hint="eastAsia"/>
          <w:color w:val="auto"/>
          <w:lang w:val="en-US" w:eastAsia="zh-CN"/>
        </w:rPr>
      </w:pP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0" w:firstLineChars="200"/>
        <w:jc w:val="right"/>
        <w:textAlignment w:val="auto"/>
        <w:rPr>
          <w:rFonts w:hint="default" w:ascii="仿宋_GB2312" w:eastAsia="仿宋_GB2312" w:hAnsiTheme="minorHAnsi" w:cstheme="minorBidi"/>
          <w:color w:val="auto"/>
          <w:kern w:val="2"/>
          <w:sz w:val="32"/>
          <w:szCs w:val="32"/>
          <w:lang w:val="en-US" w:eastAsia="zh-CN" w:bidi="ar-SA"/>
        </w:rPr>
      </w:pPr>
      <w:r>
        <w:rPr>
          <w:rFonts w:hint="eastAsia" w:ascii="仿宋_GB2312" w:eastAsia="仿宋_GB2312" w:hAnsiTheme="minorHAnsi" w:cstheme="minorBidi"/>
          <w:color w:val="auto"/>
          <w:kern w:val="2"/>
          <w:sz w:val="32"/>
          <w:szCs w:val="32"/>
          <w:lang w:val="en-US" w:eastAsia="zh-CN" w:bidi="ar-SA"/>
        </w:rPr>
        <w:t>温州市瓯海区人民政府</w:t>
      </w:r>
      <w:r>
        <w:rPr>
          <w:rFonts w:hint="eastAsia" w:ascii="仿宋_GB2312" w:eastAsia="仿宋_GB2312" w:cstheme="minorBidi"/>
          <w:color w:val="auto"/>
          <w:kern w:val="2"/>
          <w:sz w:val="32"/>
          <w:szCs w:val="32"/>
          <w:lang w:val="en-US" w:eastAsia="zh-CN" w:bidi="ar-SA"/>
        </w:rPr>
        <w:t xml:space="preserve">    </w:t>
      </w:r>
    </w:p>
    <w:p>
      <w:pPr>
        <w:keepNext w:val="0"/>
        <w:keepLines w:val="0"/>
        <w:pageBreakBefore w:val="0"/>
        <w:widowControl w:val="0"/>
        <w:kinsoku/>
        <w:wordWrap w:val="0"/>
        <w:overflowPunct/>
        <w:topLinePunct w:val="0"/>
        <w:autoSpaceDE/>
        <w:autoSpaceDN/>
        <w:bidi w:val="0"/>
        <w:adjustRightInd/>
        <w:snapToGrid/>
        <w:spacing w:line="576" w:lineRule="exact"/>
        <w:ind w:left="0" w:leftChars="0" w:right="0" w:rightChars="0" w:firstLine="640" w:firstLineChars="200"/>
        <w:jc w:val="right"/>
        <w:textAlignment w:val="auto"/>
        <w:rPr>
          <w:rFonts w:hint="eastAsia" w:ascii="仿宋_GB2312" w:eastAsia="仿宋_GB2312" w:cstheme="minorBidi"/>
          <w:color w:val="auto"/>
          <w:kern w:val="2"/>
          <w:sz w:val="32"/>
          <w:szCs w:val="32"/>
          <w:lang w:val="en-US" w:eastAsia="zh-CN" w:bidi="ar-SA"/>
        </w:rPr>
      </w:pPr>
      <w:r>
        <w:rPr>
          <w:rFonts w:hint="eastAsia" w:ascii="仿宋_GB2312" w:eastAsia="仿宋_GB2312" w:hAnsiTheme="minorHAnsi" w:cstheme="minorBidi"/>
          <w:color w:val="auto"/>
          <w:kern w:val="2"/>
          <w:sz w:val="32"/>
          <w:szCs w:val="32"/>
          <w:lang w:val="en-US" w:eastAsia="zh-CN" w:bidi="ar-SA"/>
        </w:rPr>
        <w:t>20</w:t>
      </w:r>
      <w:r>
        <w:rPr>
          <w:rFonts w:hint="eastAsia" w:ascii="仿宋_GB2312" w:eastAsia="仿宋_GB2312" w:cstheme="minorBidi"/>
          <w:color w:val="auto"/>
          <w:kern w:val="2"/>
          <w:sz w:val="32"/>
          <w:szCs w:val="32"/>
          <w:lang w:val="en-US" w:eastAsia="zh-CN" w:bidi="ar-SA"/>
        </w:rPr>
        <w:t>20</w:t>
      </w:r>
      <w:r>
        <w:rPr>
          <w:rFonts w:hint="eastAsia" w:ascii="仿宋_GB2312" w:eastAsia="仿宋_GB2312" w:hAnsiTheme="minorHAnsi" w:cstheme="minorBidi"/>
          <w:color w:val="auto"/>
          <w:kern w:val="2"/>
          <w:sz w:val="32"/>
          <w:szCs w:val="32"/>
          <w:lang w:val="en-US" w:eastAsia="zh-CN" w:bidi="ar-SA"/>
        </w:rPr>
        <w:t>年1月</w:t>
      </w:r>
      <w:r>
        <w:rPr>
          <w:rFonts w:hint="eastAsia" w:ascii="仿宋_GB2312" w:eastAsia="仿宋_GB2312" w:cstheme="minorBidi"/>
          <w:color w:val="auto"/>
          <w:kern w:val="2"/>
          <w:sz w:val="32"/>
          <w:szCs w:val="32"/>
          <w:lang w:val="en-US" w:eastAsia="zh-CN" w:bidi="ar-SA"/>
        </w:rPr>
        <w:t>18</w:t>
      </w:r>
      <w:r>
        <w:rPr>
          <w:rFonts w:hint="eastAsia" w:ascii="仿宋_GB2312" w:eastAsia="仿宋_GB2312" w:hAnsiTheme="minorHAnsi" w:cstheme="minorBidi"/>
          <w:color w:val="auto"/>
          <w:kern w:val="2"/>
          <w:sz w:val="32"/>
          <w:szCs w:val="32"/>
          <w:lang w:val="en-US" w:eastAsia="zh-CN" w:bidi="ar-SA"/>
        </w:rPr>
        <w:t>日</w:t>
      </w:r>
      <w:r>
        <w:rPr>
          <w:rFonts w:hint="eastAsia" w:ascii="仿宋_GB2312" w:eastAsia="仿宋_GB2312" w:cstheme="minorBidi"/>
          <w:color w:val="auto"/>
          <w:kern w:val="2"/>
          <w:sz w:val="32"/>
          <w:szCs w:val="32"/>
          <w:lang w:val="en-US" w:eastAsia="zh-CN" w:bidi="ar-SA"/>
        </w:rPr>
        <w:t xml:space="preserve">   </w:t>
      </w:r>
      <w:r>
        <w:rPr>
          <w:rFonts w:hint="eastAsia" w:ascii="仿宋_GB2312" w:eastAsia="仿宋_GB2312" w:hAnsiTheme="minorHAnsi" w:cstheme="minorBidi"/>
          <w:color w:val="auto"/>
          <w:kern w:val="2"/>
          <w:sz w:val="32"/>
          <w:szCs w:val="32"/>
          <w:lang w:val="en-US" w:eastAsia="zh-CN" w:bidi="ar-SA"/>
        </w:rPr>
        <w:t>    </w:t>
      </w:r>
    </w:p>
    <w:sectPr>
      <w:footerReference r:id="rId3" w:type="default"/>
      <w:pgSz w:w="11906" w:h="16838"/>
      <w:pgMar w:top="2098" w:right="1531" w:bottom="1984" w:left="1531"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3"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script"/>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Helvetica">
    <w:altName w:val="Arial"/>
    <w:panose1 w:val="020B0604020202020204"/>
    <w:charset w:val="00"/>
    <w:family w:val="swiss"/>
    <w:pitch w:val="default"/>
    <w:sig w:usb0="00000000" w:usb1="00000000" w:usb2="00000000" w:usb3="00000000" w:csb0="00000001" w:csb1="00000000"/>
  </w:font>
  <w:font w:name="ˎ̥">
    <w:altName w:val="Simplified Arabic Fixed"/>
    <w:panose1 w:val="00000000000000000000"/>
    <w:charset w:val="00"/>
    <w:family w:val="roman"/>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Simplified Arabic Fixed">
    <w:panose1 w:val="02070309020205020404"/>
    <w:charset w:val="00"/>
    <w:family w:val="auto"/>
    <w:pitch w:val="default"/>
    <w:sig w:usb0="00002003" w:usb1="00000000" w:usb2="00000000" w:usb3="00000000" w:csb0="00000041" w:csb1="200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right="210" w:rightChars="100"/>
      <w:rPr>
        <w:rStyle w:val="11"/>
        <w:rFonts w:ascii="仿宋_GB2312" w:eastAsia="仿宋_GB2312"/>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ind w:right="210" w:rightChars="100"/>
                          </w:pPr>
                          <w:r>
                            <w:rPr>
                              <w:rStyle w:val="11"/>
                              <w:rFonts w:hint="eastAsia" w:ascii="仿宋_GB2312" w:eastAsia="仿宋_GB2312"/>
                              <w:sz w:val="28"/>
                              <w:szCs w:val="28"/>
                            </w:rPr>
                            <w:t xml:space="preserve">— </w:t>
                          </w:r>
                          <w:r>
                            <w:rPr>
                              <w:rFonts w:hint="eastAsia" w:ascii="仿宋_GB2312" w:eastAsia="仿宋_GB2312"/>
                              <w:sz w:val="28"/>
                              <w:szCs w:val="28"/>
                            </w:rPr>
                            <w:fldChar w:fldCharType="begin"/>
                          </w:r>
                          <w:r>
                            <w:rPr>
                              <w:rStyle w:val="11"/>
                              <w:rFonts w:hint="eastAsia" w:ascii="仿宋_GB2312" w:eastAsia="仿宋_GB2312"/>
                              <w:sz w:val="28"/>
                              <w:szCs w:val="28"/>
                            </w:rPr>
                            <w:instrText xml:space="preserve">PAGE  </w:instrText>
                          </w:r>
                          <w:r>
                            <w:rPr>
                              <w:rFonts w:hint="eastAsia" w:ascii="仿宋_GB2312" w:eastAsia="仿宋_GB2312"/>
                              <w:sz w:val="28"/>
                              <w:szCs w:val="28"/>
                            </w:rPr>
                            <w:fldChar w:fldCharType="separate"/>
                          </w:r>
                          <w:r>
                            <w:rPr>
                              <w:rStyle w:val="11"/>
                              <w:rFonts w:ascii="仿宋_GB2312" w:eastAsia="仿宋_GB2312"/>
                              <w:sz w:val="28"/>
                              <w:szCs w:val="28"/>
                            </w:rPr>
                            <w:t>1</w:t>
                          </w:r>
                          <w:r>
                            <w:rPr>
                              <w:rFonts w:hint="eastAsia" w:ascii="仿宋_GB2312" w:eastAsia="仿宋_GB2312"/>
                              <w:sz w:val="28"/>
                              <w:szCs w:val="28"/>
                            </w:rPr>
                            <w:fldChar w:fldCharType="end"/>
                          </w:r>
                          <w:r>
                            <w:rPr>
                              <w:rStyle w:val="11"/>
                              <w:rFonts w:hint="eastAsia" w:ascii="仿宋_GB2312" w:eastAsia="仿宋_GB2312"/>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5"/>
                      <w:ind w:right="210" w:rightChars="100"/>
                    </w:pPr>
                    <w:r>
                      <w:rPr>
                        <w:rStyle w:val="11"/>
                        <w:rFonts w:hint="eastAsia" w:ascii="仿宋_GB2312" w:eastAsia="仿宋_GB2312"/>
                        <w:sz w:val="28"/>
                        <w:szCs w:val="28"/>
                      </w:rPr>
                      <w:t xml:space="preserve">— </w:t>
                    </w:r>
                    <w:r>
                      <w:rPr>
                        <w:rFonts w:hint="eastAsia" w:ascii="仿宋_GB2312" w:eastAsia="仿宋_GB2312"/>
                        <w:sz w:val="28"/>
                        <w:szCs w:val="28"/>
                      </w:rPr>
                      <w:fldChar w:fldCharType="begin"/>
                    </w:r>
                    <w:r>
                      <w:rPr>
                        <w:rStyle w:val="11"/>
                        <w:rFonts w:hint="eastAsia" w:ascii="仿宋_GB2312" w:eastAsia="仿宋_GB2312"/>
                        <w:sz w:val="28"/>
                        <w:szCs w:val="28"/>
                      </w:rPr>
                      <w:instrText xml:space="preserve">PAGE  </w:instrText>
                    </w:r>
                    <w:r>
                      <w:rPr>
                        <w:rFonts w:hint="eastAsia" w:ascii="仿宋_GB2312" w:eastAsia="仿宋_GB2312"/>
                        <w:sz w:val="28"/>
                        <w:szCs w:val="28"/>
                      </w:rPr>
                      <w:fldChar w:fldCharType="separate"/>
                    </w:r>
                    <w:r>
                      <w:rPr>
                        <w:rStyle w:val="11"/>
                        <w:rFonts w:ascii="仿宋_GB2312" w:eastAsia="仿宋_GB2312"/>
                        <w:sz w:val="28"/>
                        <w:szCs w:val="28"/>
                      </w:rPr>
                      <w:t>1</w:t>
                    </w:r>
                    <w:r>
                      <w:rPr>
                        <w:rFonts w:hint="eastAsia" w:ascii="仿宋_GB2312" w:eastAsia="仿宋_GB2312"/>
                        <w:sz w:val="28"/>
                        <w:szCs w:val="28"/>
                      </w:rPr>
                      <w:fldChar w:fldCharType="end"/>
                    </w:r>
                    <w:r>
                      <w:rPr>
                        <w:rStyle w:val="11"/>
                        <w:rFonts w:hint="eastAsia" w:ascii="仿宋_GB2312" w:eastAsia="仿宋_GB2312"/>
                        <w:sz w:val="28"/>
                        <w:szCs w:val="28"/>
                      </w:rPr>
                      <w:t xml:space="preserve"> —</w:t>
                    </w:r>
                  </w:p>
                </w:txbxContent>
              </v:textbox>
            </v:shape>
          </w:pict>
        </mc:Fallback>
      </mc:AlternateContent>
    </w:r>
  </w:p>
  <w:p>
    <w:pPr>
      <w:pStyle w:val="5"/>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EwNDIxMDQ4YjliZjBkMmE1ZGY4NTQ1Y2FmYTU1OTkifQ=="/>
  </w:docVars>
  <w:rsids>
    <w:rsidRoot w:val="00172A27"/>
    <w:rsid w:val="00857C1C"/>
    <w:rsid w:val="00F4406B"/>
    <w:rsid w:val="010E01A5"/>
    <w:rsid w:val="01507F0A"/>
    <w:rsid w:val="02BF26B5"/>
    <w:rsid w:val="0332287C"/>
    <w:rsid w:val="03817468"/>
    <w:rsid w:val="0457243E"/>
    <w:rsid w:val="045F0BE0"/>
    <w:rsid w:val="04CC4133"/>
    <w:rsid w:val="065E449B"/>
    <w:rsid w:val="09D93943"/>
    <w:rsid w:val="0A075B1F"/>
    <w:rsid w:val="0C276063"/>
    <w:rsid w:val="0F597086"/>
    <w:rsid w:val="0FC57956"/>
    <w:rsid w:val="10C961BD"/>
    <w:rsid w:val="152B62BD"/>
    <w:rsid w:val="17F55C1C"/>
    <w:rsid w:val="18AD3FB0"/>
    <w:rsid w:val="18E32850"/>
    <w:rsid w:val="19135632"/>
    <w:rsid w:val="198E7B63"/>
    <w:rsid w:val="19CF0897"/>
    <w:rsid w:val="1A8D70FF"/>
    <w:rsid w:val="1B095B81"/>
    <w:rsid w:val="1C1F40D6"/>
    <w:rsid w:val="1DDC5195"/>
    <w:rsid w:val="1E8E1A90"/>
    <w:rsid w:val="1F211B1C"/>
    <w:rsid w:val="20832CB3"/>
    <w:rsid w:val="20C32EE3"/>
    <w:rsid w:val="244253DE"/>
    <w:rsid w:val="25075B98"/>
    <w:rsid w:val="25546DC4"/>
    <w:rsid w:val="2586190C"/>
    <w:rsid w:val="25B77709"/>
    <w:rsid w:val="25DC1B6E"/>
    <w:rsid w:val="296F22BA"/>
    <w:rsid w:val="29832314"/>
    <w:rsid w:val="2AD34935"/>
    <w:rsid w:val="2AE519B8"/>
    <w:rsid w:val="2C314A20"/>
    <w:rsid w:val="2E07168E"/>
    <w:rsid w:val="2E5A0339"/>
    <w:rsid w:val="2FC425F4"/>
    <w:rsid w:val="32640277"/>
    <w:rsid w:val="3308465D"/>
    <w:rsid w:val="33A7409F"/>
    <w:rsid w:val="33BC374B"/>
    <w:rsid w:val="33D35DFB"/>
    <w:rsid w:val="33EA559A"/>
    <w:rsid w:val="36220322"/>
    <w:rsid w:val="363B76E1"/>
    <w:rsid w:val="37567385"/>
    <w:rsid w:val="37E06640"/>
    <w:rsid w:val="39ED0496"/>
    <w:rsid w:val="3D513C90"/>
    <w:rsid w:val="3DF92CD5"/>
    <w:rsid w:val="3F9B3B10"/>
    <w:rsid w:val="3FCE1C9F"/>
    <w:rsid w:val="420E7818"/>
    <w:rsid w:val="425A1926"/>
    <w:rsid w:val="46832FDA"/>
    <w:rsid w:val="46EB42CE"/>
    <w:rsid w:val="46F82F2B"/>
    <w:rsid w:val="476040D5"/>
    <w:rsid w:val="4BB51030"/>
    <w:rsid w:val="521623F1"/>
    <w:rsid w:val="53D47B85"/>
    <w:rsid w:val="562F5EAA"/>
    <w:rsid w:val="5638461F"/>
    <w:rsid w:val="57A62FD4"/>
    <w:rsid w:val="57F16129"/>
    <w:rsid w:val="58B27507"/>
    <w:rsid w:val="58B95A87"/>
    <w:rsid w:val="59620554"/>
    <w:rsid w:val="59FA0317"/>
    <w:rsid w:val="5A605122"/>
    <w:rsid w:val="5B012A72"/>
    <w:rsid w:val="5BDB7A54"/>
    <w:rsid w:val="5CA126E4"/>
    <w:rsid w:val="60135F76"/>
    <w:rsid w:val="60841BF4"/>
    <w:rsid w:val="611A2E40"/>
    <w:rsid w:val="64B31346"/>
    <w:rsid w:val="650E456B"/>
    <w:rsid w:val="67ED1DFA"/>
    <w:rsid w:val="68053136"/>
    <w:rsid w:val="68356FF3"/>
    <w:rsid w:val="6A6373E0"/>
    <w:rsid w:val="6C6151E7"/>
    <w:rsid w:val="6C771301"/>
    <w:rsid w:val="6D3154AC"/>
    <w:rsid w:val="6EDC41AD"/>
    <w:rsid w:val="6F4C3C66"/>
    <w:rsid w:val="6FA26045"/>
    <w:rsid w:val="74040A41"/>
    <w:rsid w:val="75427E41"/>
    <w:rsid w:val="757754B2"/>
    <w:rsid w:val="75EB6423"/>
    <w:rsid w:val="761A6DD4"/>
    <w:rsid w:val="791F67BB"/>
    <w:rsid w:val="79A84055"/>
    <w:rsid w:val="7AAD4E87"/>
    <w:rsid w:val="7B7F7C3D"/>
    <w:rsid w:val="7E5013A8"/>
    <w:rsid w:val="7F6D2E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paragraph" w:styleId="3">
    <w:name w:val="heading 3"/>
    <w:basedOn w:val="1"/>
    <w:next w:val="1"/>
    <w:unhideWhenUsed/>
    <w:qFormat/>
    <w:uiPriority w:val="0"/>
    <w:pPr>
      <w:spacing w:before="0" w:beforeAutospacing="1" w:after="0" w:afterAutospacing="1"/>
      <w:jc w:val="left"/>
    </w:pPr>
    <w:rPr>
      <w:rFonts w:hint="eastAsia" w:ascii="宋体" w:hAnsi="宋体" w:eastAsia="宋体" w:cs="宋体"/>
      <w:b/>
      <w:kern w:val="0"/>
      <w:sz w:val="27"/>
      <w:szCs w:val="27"/>
      <w:lang w:val="en-US" w:eastAsia="zh-CN" w:bidi="ar"/>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4">
    <w:name w:val="Body Text Indent"/>
    <w:basedOn w:val="1"/>
    <w:qFormat/>
    <w:uiPriority w:val="0"/>
    <w:pPr>
      <w:ind w:firstLine="630"/>
    </w:pPr>
    <w:rPr>
      <w:rFonts w:eastAsia="仿宋_GB2312"/>
      <w:sz w:val="32"/>
    </w:rPr>
  </w:style>
  <w:style w:type="paragraph" w:styleId="5">
    <w:name w:val="footer"/>
    <w:basedOn w:val="1"/>
    <w:unhideWhenUsed/>
    <w:qFormat/>
    <w:uiPriority w:val="99"/>
    <w:pPr>
      <w:tabs>
        <w:tab w:val="center" w:pos="4153"/>
        <w:tab w:val="right" w:pos="8306"/>
      </w:tabs>
      <w:snapToGrid w:val="0"/>
      <w:spacing w:beforeLines="0" w:afterLines="0"/>
      <w:jc w:val="left"/>
    </w:pPr>
    <w:rPr>
      <w:rFonts w:hint="eastAsia"/>
      <w:sz w:val="18"/>
    </w:rPr>
  </w:style>
  <w:style w:type="paragraph" w:styleId="6">
    <w:name w:val="header"/>
    <w:basedOn w:val="1"/>
    <w:unhideWhenUsed/>
    <w:qFormat/>
    <w:uiPriority w:val="99"/>
    <w:pPr>
      <w:pBdr>
        <w:bottom w:val="single" w:color="auto" w:sz="6" w:space="1"/>
      </w:pBdr>
      <w:tabs>
        <w:tab w:val="center" w:pos="4153"/>
        <w:tab w:val="right" w:pos="8306"/>
      </w:tabs>
      <w:snapToGrid w:val="0"/>
      <w:spacing w:beforeLines="0" w:afterLines="0"/>
      <w:jc w:val="center"/>
    </w:pPr>
    <w:rPr>
      <w:rFonts w:hint="eastAsia"/>
      <w:sz w:val="18"/>
    </w:rPr>
  </w:style>
  <w:style w:type="paragraph" w:styleId="7">
    <w:name w:val="Normal (Web)"/>
    <w:basedOn w:val="1"/>
    <w:qFormat/>
    <w:uiPriority w:val="99"/>
    <w:pPr>
      <w:widowControl/>
      <w:spacing w:before="100" w:beforeAutospacing="1" w:after="100" w:afterAutospacing="1"/>
      <w:jc w:val="left"/>
    </w:pPr>
    <w:rPr>
      <w:rFonts w:ascii="宋体" w:hAnsi="宋体" w:cs="宋体"/>
      <w:kern w:val="0"/>
      <w:sz w:val="24"/>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page number"/>
    <w:basedOn w:val="10"/>
    <w:unhideWhenUsed/>
    <w:qFormat/>
    <w:uiPriority w:val="0"/>
    <w:rPr>
      <w:rFonts w:hint="default"/>
      <w:sz w:val="24"/>
    </w:rPr>
  </w:style>
  <w:style w:type="character" w:styleId="12">
    <w:name w:val="Emphasis"/>
    <w:basedOn w:val="10"/>
    <w:qFormat/>
    <w:uiPriority w:val="0"/>
    <w:rPr>
      <w:i/>
    </w:rPr>
  </w:style>
  <w:style w:type="character" w:styleId="13">
    <w:name w:val="Hyperlink"/>
    <w:basedOn w:val="10"/>
    <w:qFormat/>
    <w:uiPriority w:val="0"/>
    <w:rPr>
      <w:color w:val="0000FF"/>
      <w:u w:val="single"/>
    </w:rPr>
  </w:style>
  <w:style w:type="paragraph" w:customStyle="1" w:styleId="14">
    <w:name w:val="文件大标题"/>
    <w:basedOn w:val="1"/>
    <w:qFormat/>
    <w:uiPriority w:val="0"/>
    <w:pPr>
      <w:snapToGrid w:val="0"/>
      <w:spacing w:before="289" w:beforeLines="50" w:line="560" w:lineRule="exact"/>
      <w:ind w:firstLine="200" w:firstLineChars="200"/>
      <w:jc w:val="center"/>
    </w:pPr>
    <w:rPr>
      <w:rFonts w:ascii="方正小标宋简体" w:hAnsi="宋体" w:eastAsia="方正小标宋简体" w:cs="Times New Roman"/>
      <w:bCs/>
      <w:snapToGrid w:val="0"/>
      <w:sz w:val="44"/>
      <w:szCs w:val="24"/>
    </w:rPr>
  </w:style>
  <w:style w:type="paragraph" w:styleId="15">
    <w:name w:val="List Paragraph"/>
    <w:basedOn w:val="1"/>
    <w:qFormat/>
    <w:uiPriority w:val="34"/>
    <w:pPr>
      <w:ind w:firstLine="420" w:firstLineChars="200"/>
    </w:pPr>
  </w:style>
  <w:style w:type="character" w:customStyle="1" w:styleId="16">
    <w:name w:val="l-btn-left"/>
    <w:basedOn w:val="10"/>
    <w:qFormat/>
    <w:uiPriority w:val="0"/>
  </w:style>
  <w:style w:type="character" w:customStyle="1" w:styleId="17">
    <w:name w:val="l-btn-left1"/>
    <w:basedOn w:val="10"/>
    <w:qFormat/>
    <w:uiPriority w:val="0"/>
  </w:style>
  <w:style w:type="character" w:customStyle="1" w:styleId="18">
    <w:name w:val="l-btn-left2"/>
    <w:basedOn w:val="10"/>
    <w:qFormat/>
    <w:uiPriority w:val="0"/>
  </w:style>
  <w:style w:type="character" w:customStyle="1" w:styleId="19">
    <w:name w:val="l-btn-left3"/>
    <w:basedOn w:val="10"/>
    <w:qFormat/>
    <w:uiPriority w:val="0"/>
  </w:style>
  <w:style w:type="character" w:customStyle="1" w:styleId="20">
    <w:name w:val="l-btn-text"/>
    <w:basedOn w:val="10"/>
    <w:qFormat/>
    <w:uiPriority w:val="0"/>
    <w:rPr>
      <w:vertAlign w:val="baseline"/>
    </w:rPr>
  </w:style>
  <w:style w:type="character" w:customStyle="1" w:styleId="21">
    <w:name w:val="l-btn-icon-left"/>
    <w:basedOn w:val="10"/>
    <w:qFormat/>
    <w:uiPriority w:val="0"/>
  </w:style>
  <w:style w:type="character" w:customStyle="1" w:styleId="22">
    <w:name w:val="l-btn-icon-right"/>
    <w:basedOn w:val="10"/>
    <w:qFormat/>
    <w:uiPriority w:val="0"/>
  </w:style>
  <w:style w:type="character" w:customStyle="1" w:styleId="23">
    <w:name w:val="l-btn-empty"/>
    <w:basedOn w:val="10"/>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24</Pages>
  <Words>7773</Words>
  <Characters>8237</Characters>
  <Lines>0</Lines>
  <Paragraphs>0</Paragraphs>
  <TotalTime>12</TotalTime>
  <ScaleCrop>false</ScaleCrop>
  <LinksUpToDate>false</LinksUpToDate>
  <CharactersWithSpaces>8256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2019-12-30T03:13:00Z</dcterms:created>
  <dc:creator>Luuuuqy.</dc:creator>
  <cp:lastModifiedBy>轩</cp:lastModifiedBy>
  <cp:lastPrinted>2020-02-18T09:26:00Z</cp:lastPrinted>
  <dcterms:modified xsi:type="dcterms:W3CDTF">2023-05-25T01:53:07Z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B0D004F050F74E3A85D01BA93C9974BD_12</vt:lpwstr>
  </property>
</Properties>
</file>