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温州市人民政府办公室</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default" w:ascii="方正小标宋简体" w:eastAsia="方正小标宋简体"/>
          <w:sz w:val="44"/>
          <w:szCs w:val="44"/>
          <w:lang w:val="en"/>
        </w:rPr>
        <w:t>1</w:t>
      </w:r>
      <w:r>
        <w:rPr>
          <w:rFonts w:hint="eastAsia" w:ascii="方正小标宋简体" w:eastAsia="方正小标宋简体"/>
          <w:sz w:val="44"/>
          <w:szCs w:val="44"/>
        </w:rPr>
        <w:t>年政府信息公开工作年度报告</w:t>
      </w:r>
    </w:p>
    <w:p>
      <w:pPr>
        <w:spacing w:line="560" w:lineRule="exact"/>
        <w:jc w:val="center"/>
        <w:rPr>
          <w:rFonts w:ascii="方正小标宋简体" w:eastAsia="方正小标宋简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根据《中华人民共和国政府信息公开条例》（国务院令第</w:t>
      </w:r>
      <w:r>
        <w:rPr>
          <w:rFonts w:ascii="仿宋_GB2312" w:eastAsia="仿宋_GB2312"/>
          <w:sz w:val="32"/>
          <w:szCs w:val="32"/>
        </w:rPr>
        <w:t>711号）</w:t>
      </w:r>
      <w:r>
        <w:rPr>
          <w:rFonts w:hint="eastAsia" w:ascii="仿宋_GB2312" w:eastAsia="仿宋_GB2312"/>
          <w:sz w:val="32"/>
          <w:szCs w:val="32"/>
        </w:rPr>
        <w:t>、《浙江省政府信息公开暂行办法》</w:t>
      </w:r>
      <w:r>
        <w:rPr>
          <w:rFonts w:ascii="仿宋_GB2312" w:eastAsia="仿宋_GB2312"/>
          <w:sz w:val="32"/>
          <w:szCs w:val="32"/>
        </w:rPr>
        <w:t>规定和</w:t>
      </w:r>
      <w:r>
        <w:rPr>
          <w:rFonts w:hint="eastAsia" w:ascii="仿宋_GB2312" w:eastAsia="仿宋_GB2312"/>
          <w:sz w:val="32"/>
          <w:szCs w:val="32"/>
        </w:rPr>
        <w:t>《国务院办公厅政府信息与政务公开办公室关于政府信息公开工作年度报告有关事项的通知》（国办公开办函〔</w:t>
      </w:r>
      <w:r>
        <w:rPr>
          <w:rFonts w:ascii="仿宋_GB2312" w:eastAsia="仿宋_GB2312"/>
          <w:sz w:val="32"/>
          <w:szCs w:val="32"/>
        </w:rPr>
        <w:t>2019〕60号）要求</w:t>
      </w:r>
      <w:r>
        <w:rPr>
          <w:rFonts w:hint="eastAsia" w:ascii="仿宋_GB2312" w:eastAsia="仿宋_GB2312"/>
          <w:sz w:val="32"/>
          <w:szCs w:val="32"/>
        </w:rPr>
        <w:t>，编制本机关202</w:t>
      </w:r>
      <w:r>
        <w:rPr>
          <w:rFonts w:hint="default" w:ascii="仿宋_GB2312" w:eastAsia="仿宋_GB2312"/>
          <w:sz w:val="32"/>
          <w:szCs w:val="32"/>
          <w:lang w:val="en"/>
        </w:rPr>
        <w:t>1</w:t>
      </w:r>
      <w:r>
        <w:rPr>
          <w:rFonts w:hint="eastAsia" w:ascii="仿宋_GB2312" w:eastAsia="仿宋_GB2312"/>
          <w:sz w:val="32"/>
          <w:szCs w:val="32"/>
        </w:rPr>
        <w:t>年度政府信息公开年度报告并向社会公布</w:t>
      </w:r>
      <w:r>
        <w:rPr>
          <w:rFonts w:ascii="仿宋_GB2312" w:eastAsia="仿宋_GB2312"/>
          <w:sz w:val="32"/>
          <w:szCs w:val="32"/>
        </w:rPr>
        <w:t>。</w:t>
      </w:r>
      <w:r>
        <w:rPr>
          <w:rFonts w:hint="eastAsia" w:ascii="仿宋_GB2312" w:eastAsia="仿宋_GB2312"/>
          <w:sz w:val="32"/>
          <w:szCs w:val="32"/>
        </w:rPr>
        <w:t>本报告中所列数据统计期限为</w:t>
      </w:r>
      <w:r>
        <w:rPr>
          <w:rFonts w:ascii="仿宋_GB2312" w:eastAsia="仿宋_GB2312"/>
          <w:sz w:val="32"/>
          <w:szCs w:val="32"/>
        </w:rPr>
        <w:t>20</w:t>
      </w:r>
      <w:r>
        <w:rPr>
          <w:rFonts w:hint="eastAsia" w:ascii="仿宋_GB2312" w:eastAsia="仿宋_GB2312"/>
          <w:sz w:val="32"/>
          <w:szCs w:val="32"/>
        </w:rPr>
        <w:t>2</w:t>
      </w:r>
      <w:r>
        <w:rPr>
          <w:rFonts w:hint="default" w:ascii="仿宋_GB2312" w:eastAsia="仿宋_GB2312"/>
          <w:sz w:val="32"/>
          <w:szCs w:val="32"/>
          <w:lang w:val="en"/>
        </w:rPr>
        <w:t>1</w:t>
      </w:r>
      <w:r>
        <w:rPr>
          <w:rFonts w:ascii="仿宋_GB2312" w:eastAsia="仿宋_GB2312"/>
          <w:sz w:val="32"/>
          <w:szCs w:val="32"/>
        </w:rPr>
        <w:t>年1月1日至12月31日。</w:t>
      </w:r>
      <w:r>
        <w:rPr>
          <w:rFonts w:hint="eastAsia" w:ascii="仿宋_GB2312" w:eastAsia="仿宋_GB2312"/>
          <w:sz w:val="32"/>
          <w:szCs w:val="32"/>
        </w:rPr>
        <w:t>本报告的电子版可在</w:t>
      </w:r>
      <w:bookmarkStart w:id="0" w:name="_Hlk62483573"/>
      <w:r>
        <w:rPr>
          <w:rFonts w:hint="eastAsia" w:ascii="仿宋_GB2312" w:eastAsia="仿宋_GB2312"/>
          <w:sz w:val="32"/>
          <w:szCs w:val="32"/>
        </w:rPr>
        <w:t>“中国·温州”市政府门户网站</w:t>
      </w:r>
      <w:bookmarkEnd w:id="0"/>
      <w:r>
        <w:rPr>
          <w:rFonts w:hint="eastAsia" w:ascii="仿宋_GB2312" w:eastAsia="仿宋_GB2312"/>
          <w:sz w:val="32"/>
          <w:szCs w:val="32"/>
        </w:rPr>
        <w:t>（</w:t>
      </w:r>
      <w:r>
        <w:rPr>
          <w:rFonts w:ascii="仿宋_GB2312" w:eastAsia="仿宋_GB2312"/>
          <w:sz w:val="32"/>
          <w:szCs w:val="32"/>
        </w:rPr>
        <w:t>www.wenzhou.gov.cn）下载。如对报告内容有疑问，请与温州市人民政府办公室联系（地址：温州市鹿城区绣山路321号行政管理中心；邮编：32500</w:t>
      </w:r>
      <w:r>
        <w:rPr>
          <w:rFonts w:hint="eastAsia" w:ascii="仿宋_GB2312" w:eastAsia="仿宋_GB2312"/>
          <w:sz w:val="32"/>
          <w:szCs w:val="32"/>
        </w:rPr>
        <w:t>9</w:t>
      </w:r>
      <w:r>
        <w:rPr>
          <w:rFonts w:ascii="仿宋_GB2312" w:eastAsia="仿宋_GB2312"/>
          <w:sz w:val="32"/>
          <w:szCs w:val="32"/>
        </w:rPr>
        <w:t>；电话：0577-8896</w:t>
      </w:r>
      <w:r>
        <w:rPr>
          <w:rFonts w:hint="eastAsia" w:ascii="仿宋_GB2312" w:eastAsia="仿宋_GB2312"/>
          <w:sz w:val="32"/>
          <w:szCs w:val="32"/>
        </w:rPr>
        <w:t>9570</w:t>
      </w:r>
      <w:r>
        <w:rPr>
          <w:rFonts w:ascii="仿宋_GB2312" w:eastAsia="仿宋_GB2312"/>
          <w:sz w:val="32"/>
          <w:szCs w:val="32"/>
        </w:rPr>
        <w:t>；电子邮件：wzzwgkb</w:t>
      </w:r>
      <w:r>
        <w:rPr>
          <w:rFonts w:ascii="Book Antiqua" w:hAnsi="Book Antiqua" w:eastAsia="文星简小标宋" w:cs="Microsoft Sans Serif"/>
          <w:sz w:val="32"/>
          <w:szCs w:val="32"/>
        </w:rPr>
        <w:t>@</w:t>
      </w:r>
      <w:r>
        <w:rPr>
          <w:rFonts w:ascii="仿宋_GB2312" w:eastAsia="仿宋_GB2312"/>
          <w:sz w:val="32"/>
          <w:szCs w:val="32"/>
        </w:rPr>
        <w:t>wenzhou.gov.cn）。</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600" w:lineRule="exact"/>
        <w:ind w:firstLine="640" w:firstLineChars="200"/>
        <w:rPr>
          <w:rFonts w:hint="eastAsia" w:ascii="Times New Roman" w:hAnsi="Times New Roman" w:eastAsia="仿宋_GB2312"/>
          <w:bCs/>
          <w:spacing w:val="-4"/>
          <w:sz w:val="32"/>
          <w:szCs w:val="32"/>
          <w:lang w:val="en-US" w:eastAsia="zh-CN"/>
        </w:rPr>
      </w:pPr>
      <w:r>
        <w:rPr>
          <w:rFonts w:hint="eastAsia" w:ascii="仿宋_GB2312" w:eastAsia="仿宋_GB2312"/>
          <w:sz w:val="32"/>
          <w:szCs w:val="32"/>
        </w:rPr>
        <w:t>202</w:t>
      </w:r>
      <w:r>
        <w:rPr>
          <w:rFonts w:hint="default" w:ascii="仿宋_GB2312" w:eastAsia="仿宋_GB2312"/>
          <w:sz w:val="32"/>
          <w:szCs w:val="32"/>
          <w:lang w:val="en"/>
        </w:rPr>
        <w:t>1</w:t>
      </w:r>
      <w:r>
        <w:rPr>
          <w:rFonts w:hint="eastAsia" w:ascii="仿宋_GB2312" w:eastAsia="仿宋_GB2312"/>
          <w:sz w:val="32"/>
          <w:szCs w:val="32"/>
        </w:rPr>
        <w:t>年，温州市人民政府办公室坚持</w:t>
      </w:r>
      <w:r>
        <w:rPr>
          <w:rFonts w:hint="eastAsia" w:ascii="Times New Roman" w:hAnsi="Times New Roman" w:eastAsia="仿宋_GB2312"/>
          <w:spacing w:val="-4"/>
          <w:sz w:val="32"/>
          <w:szCs w:val="32"/>
        </w:rPr>
        <w:t>以习近平新时代中国特色社会主义思想为指导，坚持以人民为中心的发展思想，以全面贯彻落实《</w:t>
      </w:r>
      <w:r>
        <w:rPr>
          <w:rFonts w:hint="eastAsia" w:ascii="仿宋_GB2312" w:eastAsia="仿宋_GB2312"/>
          <w:sz w:val="32"/>
          <w:szCs w:val="32"/>
        </w:rPr>
        <w:t>中华人民共和国政府信息公开条例</w:t>
      </w:r>
      <w:r>
        <w:rPr>
          <w:rFonts w:hint="eastAsia" w:ascii="Times New Roman" w:hAnsi="Times New Roman" w:eastAsia="仿宋_GB2312"/>
          <w:spacing w:val="-4"/>
          <w:sz w:val="32"/>
          <w:szCs w:val="32"/>
        </w:rPr>
        <w:t>》为主线</w:t>
      </w:r>
      <w:r>
        <w:rPr>
          <w:rFonts w:hint="eastAsia" w:ascii="Times New Roman" w:hAnsi="Times New Roman" w:eastAsia="仿宋_GB2312"/>
          <w:bCs/>
          <w:spacing w:val="-4"/>
          <w:sz w:val="32"/>
          <w:szCs w:val="32"/>
        </w:rPr>
        <w:t>，</w:t>
      </w:r>
      <w:r>
        <w:rPr>
          <w:rFonts w:hint="eastAsia" w:ascii="Times New Roman" w:hAnsi="Times New Roman" w:eastAsia="仿宋_GB2312"/>
          <w:bCs/>
          <w:spacing w:val="-4"/>
          <w:sz w:val="32"/>
          <w:szCs w:val="32"/>
          <w:lang w:val="en-US" w:eastAsia="zh-CN"/>
        </w:rPr>
        <w:t>紧紧围绕市政府中心工作和办公室重点项目，夯实工作基础，提升工作质效，强化载体创新，取得了较好的工作成效。</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000000" w:themeColor="text1"/>
          <w:spacing w:val="-4"/>
          <w:sz w:val="32"/>
          <w:szCs w:val="32"/>
          <w:lang w:val="en-US" w:eastAsia="zh-CN"/>
        </w:rPr>
      </w:pPr>
      <w:r>
        <w:rPr>
          <w:rFonts w:hint="eastAsia" w:ascii="楷体_GB2312" w:eastAsia="楷体_GB2312"/>
          <w:sz w:val="32"/>
          <w:szCs w:val="32"/>
        </w:rPr>
        <w:t>（一）</w:t>
      </w:r>
      <w:r>
        <w:rPr>
          <w:rFonts w:hint="eastAsia" w:ascii="楷体_GB2312" w:eastAsia="楷体_GB2312"/>
          <w:sz w:val="32"/>
          <w:szCs w:val="32"/>
          <w:lang w:eastAsia="zh-CN"/>
        </w:rPr>
        <w:t>深化法定主动公开内容</w:t>
      </w:r>
      <w:r>
        <w:rPr>
          <w:rFonts w:hint="eastAsia" w:ascii="楷体_GB2312" w:eastAsia="楷体_GB2312"/>
          <w:sz w:val="32"/>
          <w:szCs w:val="32"/>
        </w:rPr>
        <w:t>。</w:t>
      </w:r>
      <w:r>
        <w:rPr>
          <w:rFonts w:hint="eastAsia" w:ascii="Times New Roman" w:hAnsi="Times New Roman" w:eastAsia="仿宋_GB2312"/>
          <w:color w:val="000000" w:themeColor="text1"/>
          <w:spacing w:val="-4"/>
          <w:sz w:val="32"/>
          <w:szCs w:val="32"/>
          <w:lang w:val="en-US" w:eastAsia="zh-CN"/>
        </w:rPr>
        <w:t>紧扣强基础抓基层深化政务公开，围绕公众普遍需求和重点民生事项，全面优化政务公开事项标准目录，持续加强政务信息管理，不断改进政策信息公开方式，提升政务公开惠民便民水平。一是打造重要政策文件“展示窗口”。在全面梳理现行有效的政府规章、行政规范性文件的基础上，对政府门户网站已发布的政策文件进行查漏补缺，及时补充政策层级、主题、体裁、服务对象、有效性、规范性文件统一编号等文件要素，规范重要政策栏目建设和发布形式，实现14个地方性法规、6个政府规章、141个市政府规范性文件和876个部门规范性文件在“政府信息公开专栏”集中统一公开，方便公众查询使用。二是推出政务公开服务地图。整合市域范围内政务公开示范点、政府信息查询点和政府信息公开申请受理点等766个服务点信息，通过搜索查询、图层控制、定位导航等服务功能开发，直观展示网点分布、服务内容、空间距离等信息，实现政务公开服务“一图展示、一屏互动、一键导航”。目前，地图已在浙里办、“政三角”微信公众号及温州市人民政府网上线。</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olor w:val="000000" w:themeColor="text1"/>
          <w:spacing w:val="-4"/>
          <w:sz w:val="32"/>
          <w:szCs w:val="32"/>
          <w:lang w:val="en-US" w:eastAsia="zh-CN"/>
        </w:rPr>
      </w:pPr>
      <w:r>
        <w:rPr>
          <w:rFonts w:hint="eastAsia" w:ascii="楷体_GB2312" w:eastAsia="楷体_GB2312"/>
          <w:sz w:val="32"/>
          <w:szCs w:val="32"/>
        </w:rPr>
        <w:t>（二）</w:t>
      </w:r>
      <w:r>
        <w:rPr>
          <w:rFonts w:hint="eastAsia" w:ascii="楷体_GB2312" w:hAnsi="Times New Roman" w:eastAsia="楷体_GB2312"/>
          <w:spacing w:val="-4"/>
          <w:sz w:val="32"/>
          <w:szCs w:val="32"/>
          <w:lang w:eastAsia="zh-CN"/>
        </w:rPr>
        <w:t>提高</w:t>
      </w:r>
      <w:r>
        <w:rPr>
          <w:rFonts w:hint="eastAsia" w:ascii="楷体_GB2312" w:eastAsia="楷体_GB2312"/>
          <w:sz w:val="32"/>
          <w:szCs w:val="32"/>
        </w:rPr>
        <w:t>依申请公开</w:t>
      </w:r>
      <w:r>
        <w:rPr>
          <w:rFonts w:hint="eastAsia" w:ascii="楷体_GB2312" w:hAnsi="Times New Roman" w:eastAsia="楷体_GB2312"/>
          <w:spacing w:val="-4"/>
          <w:sz w:val="32"/>
          <w:szCs w:val="32"/>
        </w:rPr>
        <w:t>办理质效</w:t>
      </w:r>
      <w:r>
        <w:rPr>
          <w:rFonts w:hint="eastAsia" w:ascii="Times New Roman" w:hAnsi="Times New Roman" w:eastAsia="仿宋_GB2312"/>
          <w:color w:val="000000" w:themeColor="text1"/>
          <w:spacing w:val="-4"/>
          <w:sz w:val="32"/>
          <w:szCs w:val="32"/>
          <w:lang w:val="en-US" w:eastAsia="zh-CN"/>
        </w:rPr>
        <w:t>。一是坚持闭环管理，规范处理程序。健全从登记、审核、办理、答复、归档的全链条管理制度，根据11月出台的《浙江省政府信息公开申请办理参考文书》，增加答复合法性审核环节，确保答复内容的合法合规。同时，坚持落实首办问责制度，强化办理服务意识，建立了依申请公开办理事前介入模式，疑难件逐级上报会商答复，变事后监督为同步监督，从依法履行职责的角度，保障公众合理信息需求。推广了“法律顾问团”经验模式，并鼓励政务公开法律顾问资源共建共享，邀请多位专家作政府信息公开诉讼案例解析，有条件的地区和单位采用派驻律师的方式充分发挥“外脑”和“智库”的作用，为公开工作提供客观、专业的法律意见。二是</w:t>
      </w:r>
      <w:r>
        <w:rPr>
          <w:rFonts w:hint="default" w:ascii="Times New Roman" w:hAnsi="Times New Roman" w:eastAsia="仿宋_GB2312"/>
          <w:color w:val="000000" w:themeColor="text1"/>
          <w:spacing w:val="-4"/>
          <w:sz w:val="32"/>
          <w:szCs w:val="32"/>
          <w:lang w:val="en-US" w:eastAsia="zh-CN"/>
        </w:rPr>
        <w:t>强化迭代升级，优化全市依申请公开办理平台。以oa依申请公开件联合办理系统的开发应用为基础，运用互联网、大数据等数字化处理手段，形成全市依申请件受理登记、审核、办理、答复、送达、归档一体化在线处理系统，初步探索互动交流和典型案例指导功能。</w:t>
      </w:r>
      <w:r>
        <w:rPr>
          <w:rFonts w:hint="eastAsia" w:ascii="Times New Roman" w:hAnsi="Times New Roman" w:eastAsia="仿宋_GB2312"/>
          <w:color w:val="000000" w:themeColor="text1"/>
          <w:spacing w:val="-4"/>
          <w:sz w:val="32"/>
          <w:szCs w:val="32"/>
          <w:lang w:val="en-US" w:eastAsia="zh-CN"/>
        </w:rPr>
        <w:t>三是增加沟通能力，提升服务质量。组织全市政务公开培训，邀请多位专家作政府信息公开件实务处理、诉讼案例解析、舆情应对及回应关切等专题讲座，重点规范政府信息公开咨询电话接听，特别在新冠肺炎疫情期间耐心向申请人做好政策指引，积极化解当事人的疑惑和负面情绪。</w:t>
      </w:r>
    </w:p>
    <w:p>
      <w:pPr>
        <w:keepNext w:val="0"/>
        <w:keepLines w:val="0"/>
        <w:pageBreakBefore w:val="0"/>
        <w:widowControl/>
        <w:suppressLineNumbers w:val="0"/>
        <w:kinsoku/>
        <w:wordWrap/>
        <w:overflowPunct/>
        <w:topLinePunct w:val="0"/>
        <w:autoSpaceDE/>
        <w:autoSpaceDN/>
        <w:bidi w:val="0"/>
        <w:spacing w:line="560" w:lineRule="exact"/>
        <w:ind w:firstLine="624" w:firstLineChars="200"/>
        <w:jc w:val="left"/>
        <w:textAlignment w:val="auto"/>
        <w:rPr>
          <w:rFonts w:hint="default" w:ascii="Times New Roman" w:hAnsi="Times New Roman" w:eastAsia="仿宋_GB2312"/>
          <w:color w:val="000000" w:themeColor="text1"/>
          <w:spacing w:val="-4"/>
          <w:sz w:val="32"/>
          <w:szCs w:val="32"/>
          <w:lang w:val="en-US" w:eastAsia="zh-CN"/>
        </w:rPr>
      </w:pPr>
      <w:r>
        <w:rPr>
          <w:rFonts w:hint="eastAsia" w:ascii="Times New Roman" w:hAnsi="Times New Roman" w:eastAsia="仿宋_GB2312"/>
          <w:color w:val="000000" w:themeColor="text1"/>
          <w:spacing w:val="-4"/>
          <w:sz w:val="32"/>
          <w:szCs w:val="32"/>
          <w:lang w:val="en-US" w:eastAsia="zh-CN"/>
        </w:rPr>
        <w:t>今年，市政府办公室共受理政府信息公开申请218件，信息公开投诉10件、咨询60余件，市政府办公室全年办理市政府信息公开行政复议和诉讼案件6件，继续保持零纠错零败诉，确保了市政府的公信力。</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000000" w:themeColor="text1"/>
          <w:spacing w:val="-4"/>
          <w:sz w:val="32"/>
          <w:szCs w:val="32"/>
          <w:lang w:val="en-US" w:eastAsia="zh-CN"/>
        </w:rPr>
      </w:pPr>
      <w:r>
        <w:rPr>
          <w:rFonts w:hint="eastAsia" w:ascii="楷体_GB2312" w:eastAsia="楷体_GB2312"/>
          <w:sz w:val="32"/>
          <w:szCs w:val="32"/>
        </w:rPr>
        <w:t>（三）</w:t>
      </w:r>
      <w:r>
        <w:rPr>
          <w:rFonts w:hint="eastAsia" w:ascii="楷体_GB2312" w:eastAsia="楷体_GB2312"/>
          <w:sz w:val="32"/>
          <w:szCs w:val="32"/>
          <w:lang w:eastAsia="zh-CN"/>
        </w:rPr>
        <w:t>强化政策解读回应工作</w:t>
      </w:r>
      <w:r>
        <w:rPr>
          <w:rFonts w:hint="eastAsia" w:ascii="楷体_GB2312" w:eastAsia="楷体_GB2312"/>
          <w:sz w:val="32"/>
          <w:szCs w:val="32"/>
        </w:rPr>
        <w:t>。</w:t>
      </w:r>
      <w:r>
        <w:rPr>
          <w:rFonts w:hint="eastAsia" w:ascii="楷体_GB2312" w:eastAsia="楷体_GB2312"/>
          <w:sz w:val="32"/>
          <w:szCs w:val="32"/>
          <w:lang w:eastAsia="zh-CN"/>
        </w:rPr>
        <w:t>一是</w:t>
      </w:r>
      <w:r>
        <w:rPr>
          <w:rFonts w:hint="eastAsia" w:ascii="Times New Roman" w:hAnsi="Times New Roman" w:eastAsia="仿宋_GB2312"/>
          <w:color w:val="000000" w:themeColor="text1"/>
          <w:spacing w:val="-4"/>
          <w:sz w:val="32"/>
          <w:szCs w:val="32"/>
          <w:lang w:val="en-US" w:eastAsia="zh-CN"/>
        </w:rPr>
        <w:t>积极扩大政策解读覆盖面。认真落实政策解读方案、解读材料与政策文件同步组织、同步审签、同步部署工作机制，运用新闻发布会、吹风会、简明问答、图表图解、案例说明等多种方式，主动设置发布议题，及时发布权威信息，对涉及群众切身利益、影响市场预期等重要政策进行解读，增进沟通，凝聚共识。全年发布政策解读信息</w:t>
      </w:r>
      <w:r>
        <w:rPr>
          <w:rFonts w:hint="default" w:ascii="Times New Roman" w:hAnsi="Times New Roman" w:eastAsia="仿宋_GB2312"/>
          <w:color w:val="000000" w:themeColor="text1"/>
          <w:spacing w:val="-4"/>
          <w:sz w:val="32"/>
          <w:szCs w:val="32"/>
          <w:lang w:val="en" w:eastAsia="zh-CN"/>
        </w:rPr>
        <w:t>801</w:t>
      </w:r>
      <w:r>
        <w:rPr>
          <w:rFonts w:hint="eastAsia" w:ascii="Times New Roman" w:hAnsi="Times New Roman" w:eastAsia="仿宋_GB2312"/>
          <w:color w:val="000000" w:themeColor="text1"/>
          <w:spacing w:val="-4"/>
          <w:sz w:val="32"/>
          <w:szCs w:val="32"/>
          <w:lang w:val="en-US" w:eastAsia="zh-CN"/>
        </w:rPr>
        <w:t>条，市级政策文件解读率达100%。二是</w:t>
      </w:r>
      <w:r>
        <w:rPr>
          <w:rFonts w:hint="eastAsia" w:ascii="Times New Roman" w:hAnsi="Times New Roman" w:eastAsia="仿宋_GB2312"/>
          <w:color w:val="000000" w:themeColor="text1"/>
          <w:spacing w:val="-4"/>
          <w:sz w:val="32"/>
          <w:szCs w:val="32"/>
          <w:lang w:val="en" w:eastAsia="zh-CN"/>
        </w:rPr>
        <w:t>推动政策解读形式创新。</w:t>
      </w:r>
      <w:r>
        <w:rPr>
          <w:rFonts w:hint="eastAsia" w:ascii="Times New Roman" w:hAnsi="Times New Roman" w:eastAsia="仿宋_GB2312"/>
          <w:color w:val="000000" w:themeColor="text1"/>
          <w:spacing w:val="-4"/>
          <w:sz w:val="32"/>
          <w:szCs w:val="32"/>
          <w:lang w:val="en-US" w:eastAsia="zh-CN"/>
        </w:rPr>
        <w:t>承接省政府办公厅</w:t>
      </w:r>
      <w:r>
        <w:rPr>
          <w:rFonts w:hint="eastAsia" w:ascii="Times New Roman" w:hAnsi="Times New Roman" w:eastAsia="仿宋_GB2312"/>
          <w:color w:val="000000" w:themeColor="text1"/>
          <w:spacing w:val="-4"/>
          <w:sz w:val="32"/>
          <w:szCs w:val="32"/>
          <w:lang w:val="en" w:eastAsia="zh-CN"/>
        </w:rPr>
        <w:t>“政务公开在行动—民生政策进万家”网络宣传活动，通过广场政策宣介、小队宣讲、微视频等多种形式，面对面为群众解读政策，线上线下实时互动，把便民惠民利民政策送到千家万户，有效破解政府与群众间政策信息不对称问题，切实推动便民、惠民政策走进群众、深入人心。推动“政三角”品牌升级改造。创新推行AI公报快讯，以虚拟主播播报与MG动画结合的方式，对政府公报内容进行解读；在《政三角》微信公众号、温州都市报全媒体平台等载体基础上，拓展宣传载体，每月将4期公报快讯剪辑为一期AI公报播报，在公交车车载媒体上播放，进一步扩大政府公报影响力；在认真做好政策解读的内容外，聚焦高质量发展建设共同富裕示范区市域样板，结合各地各部门出台的政策，在《政三角》栏目上进行专题解读。今年，“政三角”微信公众号共刊发解读报道25篇，在温州都市报全媒体各平台累计刊发报道66篇，总点击量超100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000000" w:themeColor="text1"/>
          <w:spacing w:val="-4"/>
          <w:sz w:val="32"/>
          <w:szCs w:val="32"/>
          <w:lang w:val="en-US" w:eastAsia="zh-CN"/>
        </w:rPr>
      </w:pPr>
      <w:r>
        <w:rPr>
          <w:rFonts w:hint="eastAsia" w:ascii="楷体_GB2312" w:eastAsia="楷体_GB2312"/>
          <w:sz w:val="32"/>
          <w:szCs w:val="32"/>
        </w:rPr>
        <w:t>（四）</w:t>
      </w:r>
      <w:r>
        <w:rPr>
          <w:rFonts w:hint="eastAsia" w:ascii="楷体_GB2312" w:hAnsi="楷体_GB2312" w:eastAsia="楷体_GB2312" w:cs="楷体_GB2312"/>
          <w:color w:val="000000" w:themeColor="text1"/>
          <w:spacing w:val="-4"/>
          <w:sz w:val="32"/>
          <w:szCs w:val="32"/>
          <w:lang w:val="en-US" w:eastAsia="zh-CN"/>
        </w:rPr>
        <w:t>推进政务公开“两化”建设</w:t>
      </w:r>
      <w:r>
        <w:rPr>
          <w:rFonts w:hint="eastAsia" w:ascii="楷体_GB2312" w:hAnsi="Times New Roman" w:eastAsia="楷体_GB2312"/>
          <w:spacing w:val="-4"/>
          <w:sz w:val="32"/>
          <w:szCs w:val="32"/>
        </w:rPr>
        <w:t>。</w:t>
      </w:r>
      <w:r>
        <w:rPr>
          <w:rFonts w:hint="eastAsia" w:ascii="Times New Roman" w:hAnsi="Times New Roman" w:eastAsia="仿宋_GB2312"/>
          <w:color w:val="000000" w:themeColor="text1"/>
          <w:spacing w:val="-4"/>
          <w:sz w:val="32"/>
          <w:szCs w:val="32"/>
          <w:lang w:val="en-US" w:eastAsia="zh-CN"/>
        </w:rPr>
        <w:t>在顺利完成全市基层政务公开标准化体系建设后，鼓励各地坚持推进基层政务公开智治创新，开展“政务公开+政务服务”一体化打造，充分利用数字赋能，跨地区协同提供“套餐式服务”，跨层级共享实现“数据多跑路”，数字化、便民化创新举措层出不穷。一是指导泰顺县探索以数字化改革打通浙闽边界政务公开与政务服务壁垒，与周边福建省县市协同合作，以公安12类户口事项办理为试点，构建政府信息无线公开、远程系统连线通办、实体窗口专线通办和自助终端全线通办四大平台，突破行政区域限制，探索共建“跨省通办”合作机制，实现两地政府信息和服务双向交。二是支持瓯海区以东风村为试点积极推进基层政务公开标准化规范化向村务公开延伸，通过建设村级数字驾驶舱、打造村务云端数据库、推出民情工作室，实现公开方式从“墙上贴”到“网上挂”，公开内容从“扁平单一”到“立体全面”，不断畅通基层政音民声通道。三是鼓励苍南县深化数字门牌场景应用，推动政务服务事项、惠民惠农政策和资金发放信息公开向村（社）延伸，打通基层政务公开的</w:t>
      </w:r>
      <w:bookmarkStart w:id="1" w:name="_GoBack"/>
      <w:r>
        <w:rPr>
          <w:rFonts w:hint="eastAsia" w:ascii="Times New Roman" w:hAnsi="Times New Roman" w:eastAsia="仿宋_GB2312"/>
          <w:color w:val="000000" w:themeColor="text1"/>
          <w:spacing w:val="-4"/>
          <w:sz w:val="32"/>
          <w:szCs w:val="32"/>
          <w:lang w:val="en-US" w:eastAsia="zh-CN"/>
        </w:rPr>
        <w:t>“</w:t>
      </w:r>
      <w:bookmarkEnd w:id="1"/>
      <w:r>
        <w:rPr>
          <w:rFonts w:hint="eastAsia" w:ascii="Times New Roman" w:hAnsi="Times New Roman" w:eastAsia="仿宋_GB2312"/>
          <w:color w:val="000000" w:themeColor="text1"/>
          <w:spacing w:val="-4"/>
          <w:sz w:val="32"/>
          <w:szCs w:val="32"/>
          <w:lang w:val="en-US" w:eastAsia="zh-CN"/>
        </w:rPr>
        <w:t>最后一公里”。截至目前，智慧门牌已覆盖该全县39万户运行，群众访问总量487595人次，公开村（社）三务信息6078条，累计办结各项惠民服务申请需求32112件次。上述做法均得到省厅高度评价，经验做法在全省推广。</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olor w:val="000000" w:themeColor="text1"/>
          <w:spacing w:val="-4"/>
          <w:sz w:val="32"/>
          <w:szCs w:val="32"/>
          <w:lang w:val="en-US" w:eastAsia="zh-CN"/>
        </w:rPr>
      </w:pPr>
      <w:r>
        <w:rPr>
          <w:rFonts w:hint="eastAsia" w:ascii="楷体_GB2312" w:eastAsia="楷体_GB2312"/>
          <w:sz w:val="32"/>
          <w:szCs w:val="32"/>
        </w:rPr>
        <w:t>（五）切实加强信息公开监督保障。</w:t>
      </w:r>
      <w:r>
        <w:rPr>
          <w:rFonts w:hint="eastAsia" w:ascii="Times New Roman" w:hAnsi="Times New Roman" w:eastAsia="仿宋_GB2312"/>
          <w:color w:val="000000" w:themeColor="text1"/>
          <w:spacing w:val="-4"/>
          <w:sz w:val="32"/>
          <w:szCs w:val="32"/>
          <w:lang w:val="en-US" w:eastAsia="zh-CN"/>
        </w:rPr>
        <w:t>一是坚持精准培训、全员覆盖。通过以会代训、以考促学、以学促行等多种方式，切实提升公职人员的公开意识和业务水平。11月8日，全市开展了为期两天的政务公开集中培训学习，授课内容涵盖了政府信息公开案件司法审查、法治政府建设中“依法行政”的要件思维、数字化时代的舆论形态及舆情应对等。同时，增印下发《温州市政务公开工作指导手册》《温州市依申请公开政府信息文书参考模板》《政府信息公开诉讼案例参考手册》等指导资料，确保新《条例》的权威解读和落地执行覆盖到街镇级，让工作人员“一看就懂、一学就会”。二是规范政务信息流程。将政务信息管理要求全面落实到公文办理程序中。严格公文公开属性标注制度，规范公文类信息公开审核工作，明确公文类信息公开的范围、标准和程序，从源头上规范公文公开工作，确保政府公文“应公开尽公开”。加大政府信息网上发布审核力度，全市参照《市政府办公室政府信息网上发布审核规定》要求，发布到网站的信息一律先审后发，严格审查。三是建立常态化督促检查机制。继续将政务公开工作纳入温州市2021年度目标绩效考核，市县两级政府均建立较为完备的考核体系。做好日常工作的指导监督，强化对基层指导的力度与频次，重点就“两化”建设、政府网站更新、政务公开特色项目等进行专题指导和督查。严格考核扣分，市公开办根据监测检查情况下发《整改通知书》22期。同时，发挥绩效考核正向激励作用。</w:t>
      </w:r>
    </w:p>
    <w:p>
      <w:pPr>
        <w:spacing w:afterLines="100"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8"/>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1</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1</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40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40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40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65"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5</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657062元</w:t>
            </w:r>
          </w:p>
        </w:tc>
      </w:tr>
    </w:tbl>
    <w:p>
      <w:pPr>
        <w:widowControl/>
        <w:shd w:val="clear" w:color="auto" w:fill="FFFFFF"/>
        <w:rPr>
          <w:rFonts w:ascii="宋体" w:hAnsi="宋体" w:eastAsia="宋体" w:cs="宋体"/>
          <w:color w:val="333333"/>
          <w:kern w:val="0"/>
          <w:sz w:val="24"/>
          <w:szCs w:val="24"/>
        </w:rPr>
      </w:pPr>
    </w:p>
    <w:p>
      <w:pPr>
        <w:spacing w:afterLines="100"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071" w:type="dxa"/>
        <w:jc w:val="center"/>
        <w:tblLayout w:type="autofit"/>
        <w:tblCellMar>
          <w:top w:w="0" w:type="dxa"/>
          <w:left w:w="0" w:type="dxa"/>
          <w:bottom w:w="0" w:type="dxa"/>
          <w:right w:w="0" w:type="dxa"/>
        </w:tblCellMar>
      </w:tblPr>
      <w:tblGrid>
        <w:gridCol w:w="616"/>
        <w:gridCol w:w="854"/>
        <w:gridCol w:w="2082"/>
        <w:gridCol w:w="817"/>
        <w:gridCol w:w="755"/>
        <w:gridCol w:w="754"/>
        <w:gridCol w:w="812"/>
        <w:gridCol w:w="973"/>
        <w:gridCol w:w="710"/>
        <w:gridCol w:w="698"/>
      </w:tblGrid>
      <w:tr>
        <w:tblPrEx>
          <w:tblCellMar>
            <w:top w:w="0" w:type="dxa"/>
            <w:left w:w="0" w:type="dxa"/>
            <w:bottom w:w="0" w:type="dxa"/>
            <w:right w:w="0" w:type="dxa"/>
          </w:tblCellMar>
        </w:tblPrEx>
        <w:trPr>
          <w:jc w:val="center"/>
        </w:trPr>
        <w:tc>
          <w:tcPr>
            <w:tcW w:w="3552"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9"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81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自然人</w:t>
            </w:r>
          </w:p>
        </w:tc>
        <w:tc>
          <w:tcPr>
            <w:tcW w:w="400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其他</w:t>
            </w:r>
          </w:p>
        </w:tc>
        <w:tc>
          <w:tcPr>
            <w:tcW w:w="698" w:type="dxa"/>
            <w:vMerge w:val="continue"/>
            <w:tcBorders>
              <w:top w:val="single" w:color="auto" w:sz="8" w:space="0"/>
              <w:left w:val="nil"/>
              <w:bottom w:val="single" w:color="auto" w:sz="8" w:space="0"/>
              <w:right w:val="single" w:color="auto" w:sz="8" w:space="0"/>
            </w:tcBorders>
            <w:vAlign w:val="center"/>
          </w:tcPr>
          <w:p>
            <w:pPr>
              <w:widowControl/>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109</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198</w:t>
            </w:r>
          </w:p>
        </w:tc>
      </w:tr>
      <w:tr>
        <w:tblPrEx>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10" w:firstLineChars="10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45</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r>
        <w:tblPrEx>
          <w:tblCellMar>
            <w:top w:w="0" w:type="dxa"/>
            <w:left w:w="0" w:type="dxa"/>
            <w:bottom w:w="0" w:type="dxa"/>
            <w:right w:w="0" w:type="dxa"/>
          </w:tblCellMar>
        </w:tblPrEx>
        <w:trPr>
          <w:trHeight w:val="55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trHeight w:val="50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854"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75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5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71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17</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0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楷体" w:hAnsi="楷体" w:eastAsia="楷体" w:cs="宋体"/>
                <w:kern w:val="0"/>
                <w:sz w:val="20"/>
                <w:szCs w:val="20"/>
              </w:rPr>
              <w:t>（七）总计</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109</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198</w:t>
            </w:r>
          </w:p>
        </w:tc>
      </w:tr>
      <w:tr>
        <w:tblPrEx>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10" w:firstLineChars="10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10" w:firstLineChars="10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bl>
    <w:p>
      <w:pPr>
        <w:widowControl/>
        <w:shd w:val="clear" w:color="auto" w:fill="FFFFFF"/>
        <w:ind w:firstLine="480"/>
        <w:rPr>
          <w:rFonts w:ascii="宋体" w:hAnsi="宋体" w:eastAsia="宋体" w:cs="宋体"/>
          <w:color w:val="333333"/>
          <w:kern w:val="0"/>
          <w:sz w:val="24"/>
          <w:szCs w:val="24"/>
        </w:rPr>
      </w:pPr>
    </w:p>
    <w:p>
      <w:pPr>
        <w:spacing w:afterLines="100"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spacing w:line="560" w:lineRule="exact"/>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ascii="仿宋_GB2312" w:eastAsia="仿宋_GB2312"/>
          <w:sz w:val="32"/>
          <w:szCs w:val="32"/>
        </w:rPr>
        <w:t>年，</w:t>
      </w:r>
      <w:r>
        <w:rPr>
          <w:rFonts w:hint="eastAsia" w:ascii="仿宋_GB2312" w:eastAsia="仿宋_GB2312"/>
          <w:sz w:val="32"/>
          <w:szCs w:val="32"/>
        </w:rPr>
        <w:t>市</w:t>
      </w:r>
      <w:r>
        <w:rPr>
          <w:rFonts w:ascii="仿宋_GB2312" w:eastAsia="仿宋_GB2312"/>
          <w:sz w:val="32"/>
          <w:szCs w:val="32"/>
        </w:rPr>
        <w:t>政府办公</w:t>
      </w:r>
      <w:r>
        <w:rPr>
          <w:rFonts w:hint="eastAsia" w:ascii="仿宋_GB2312" w:eastAsia="仿宋_GB2312"/>
          <w:sz w:val="32"/>
          <w:szCs w:val="32"/>
        </w:rPr>
        <w:t>室</w:t>
      </w:r>
      <w:r>
        <w:rPr>
          <w:rFonts w:ascii="仿宋_GB2312" w:eastAsia="仿宋_GB2312"/>
          <w:sz w:val="32"/>
          <w:szCs w:val="32"/>
        </w:rPr>
        <w:t>政府信息公开工作取得</w:t>
      </w:r>
      <w:r>
        <w:rPr>
          <w:rFonts w:hint="eastAsia" w:ascii="仿宋_GB2312" w:eastAsia="仿宋_GB2312"/>
          <w:sz w:val="32"/>
          <w:szCs w:val="32"/>
        </w:rPr>
        <w:t>了明显</w:t>
      </w:r>
      <w:r>
        <w:rPr>
          <w:rFonts w:ascii="仿宋_GB2312" w:eastAsia="仿宋_GB2312"/>
          <w:sz w:val="32"/>
          <w:szCs w:val="32"/>
        </w:rPr>
        <w:t>成效，但仍存在一些</w:t>
      </w:r>
      <w:r>
        <w:rPr>
          <w:rFonts w:hint="eastAsia" w:ascii="仿宋_GB2312" w:eastAsia="仿宋_GB2312"/>
          <w:sz w:val="32"/>
          <w:szCs w:val="32"/>
        </w:rPr>
        <w:t>问题和</w:t>
      </w:r>
      <w:r>
        <w:rPr>
          <w:rFonts w:ascii="仿宋_GB2312" w:eastAsia="仿宋_GB2312"/>
          <w:sz w:val="32"/>
          <w:szCs w:val="32"/>
        </w:rPr>
        <w:t>不足，主要</w:t>
      </w:r>
      <w:r>
        <w:rPr>
          <w:rFonts w:hint="eastAsia" w:ascii="仿宋_GB2312" w:eastAsia="仿宋_GB2312"/>
          <w:sz w:val="32"/>
          <w:szCs w:val="32"/>
        </w:rPr>
        <w:t>是</w:t>
      </w:r>
      <w:r>
        <w:rPr>
          <w:rFonts w:ascii="仿宋_GB2312" w:eastAsia="仿宋_GB2312"/>
          <w:sz w:val="32"/>
          <w:szCs w:val="32"/>
        </w:rPr>
        <w:t>：</w:t>
      </w:r>
      <w:r>
        <w:rPr>
          <w:rFonts w:hint="eastAsia" w:ascii="仿宋_GB2312" w:eastAsia="仿宋_GB2312"/>
          <w:sz w:val="32"/>
          <w:szCs w:val="32"/>
        </w:rPr>
        <w:t>法定主动公开内容还不够全面，指导基层政务公开标准化规范化工作力度还不强，政府信息申请公开办理联动机制还不健全，政府信息公开平台规范建设有待持续加强等等。</w:t>
      </w:r>
    </w:p>
    <w:p>
      <w:pPr>
        <w:spacing w:line="560" w:lineRule="exact"/>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w:t>
      </w:r>
      <w:r>
        <w:rPr>
          <w:rFonts w:hint="eastAsia" w:ascii="仿宋_GB2312" w:eastAsia="仿宋_GB2312"/>
          <w:sz w:val="32"/>
          <w:szCs w:val="32"/>
        </w:rPr>
        <w:t>市政府办公室</w:t>
      </w:r>
      <w:r>
        <w:rPr>
          <w:rFonts w:ascii="仿宋_GB2312" w:eastAsia="仿宋_GB2312"/>
          <w:sz w:val="32"/>
          <w:szCs w:val="32"/>
        </w:rPr>
        <w:t>将继续认真贯彻执行《</w:t>
      </w:r>
      <w:r>
        <w:rPr>
          <w:rFonts w:hint="eastAsia" w:ascii="Times New Roman" w:hAnsi="Times New Roman" w:eastAsia="仿宋_GB2312" w:cs="仿宋_GB2312"/>
          <w:sz w:val="32"/>
          <w:szCs w:val="40"/>
        </w:rPr>
        <w:t>中华人民共和国</w:t>
      </w:r>
      <w:r>
        <w:rPr>
          <w:rFonts w:ascii="仿宋_GB2312" w:eastAsia="仿宋_GB2312"/>
          <w:sz w:val="32"/>
          <w:szCs w:val="32"/>
        </w:rPr>
        <w:t>政府信息公开条例》，</w:t>
      </w:r>
      <w:r>
        <w:rPr>
          <w:rFonts w:hint="eastAsia" w:ascii="Times New Roman" w:hAnsi="Times New Roman" w:eastAsia="仿宋_GB2312" w:cs="仿宋_GB2312"/>
          <w:sz w:val="32"/>
          <w:szCs w:val="40"/>
        </w:rPr>
        <w:t>充分发挥积极性、主动性、创造性，切实转变工作方式，加大工作力度，努力</w:t>
      </w:r>
      <w:r>
        <w:rPr>
          <w:rFonts w:hint="eastAsia" w:ascii="仿宋_GB2312" w:eastAsia="仿宋_GB2312"/>
          <w:sz w:val="32"/>
          <w:szCs w:val="32"/>
        </w:rPr>
        <w:t>推动政府信息公开工作取得新进展。</w:t>
      </w:r>
    </w:p>
    <w:p>
      <w:pPr>
        <w:adjustRightInd w:val="0"/>
        <w:snapToGrid w:val="0"/>
        <w:spacing w:line="338" w:lineRule="auto"/>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一是推动公开内容从依申请公开向主动公开转变。进一步推动信息载体以文字为主向多元化发展转变，进一步推动发布机制从高效履职向精准供给转变，增强政务公开的针对性、实效性。同时，充分发挥政府会议开放、基层政府公报等试点经验，结合各地职责权限和本地实际，完善基层行政决策公众参与机制，充分听取公众意见，扩大公众参与度，提高决策透明度。</w:t>
      </w:r>
    </w:p>
    <w:p>
      <w:pPr>
        <w:adjustRightInd w:val="0"/>
        <w:snapToGrid w:val="0"/>
        <w:spacing w:line="338" w:lineRule="auto"/>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是建立并完善全市依申请公开联合办理机制。合理整合分配现有行政资源，引导群众“最多向一个行政机关申请”，实现“最多一个行政机关办理”。推动依申请公开网上办理系统升级，落实网上交办制度和相关考核机制，最大限度降低全市因依申请公开引发的败诉风险。建立网上依申请办件共享机制，实现“一件多投”情况的实时跟踪反馈，正确引导申请人作出直接、高效的申请。</w:t>
      </w:r>
    </w:p>
    <w:p>
      <w:pPr>
        <w:adjustRightInd w:val="0"/>
        <w:snapToGrid w:val="0"/>
        <w:spacing w:line="338" w:lineRule="auto"/>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三是探索建立多渠道全媒体政务公开平台体系。</w:t>
      </w:r>
      <w:r>
        <w:rPr>
          <w:rFonts w:ascii="Times New Roman" w:hAnsi="Times New Roman" w:eastAsia="仿宋_GB2312"/>
          <w:spacing w:val="-4"/>
          <w:sz w:val="32"/>
          <w:szCs w:val="32"/>
        </w:rPr>
        <w:t>在集成发布、精准推送、智能查询、管理利用等方面探索创新</w:t>
      </w:r>
      <w:r>
        <w:rPr>
          <w:rFonts w:hint="eastAsia" w:ascii="Times New Roman" w:hAnsi="Times New Roman" w:eastAsia="仿宋_GB2312"/>
          <w:spacing w:val="-4"/>
          <w:sz w:val="32"/>
          <w:szCs w:val="32"/>
        </w:rPr>
        <w:t>。围绕政府网站和政府信息公开专栏规范化、集约化建设，优化页面设置和检索功能，落实运营和管理责任，突出政府网站和政府信息公开专栏的主渠道属性。加强政务新媒体平台使用和日常管理，落实专人管理、运营和维护，确保运转有序、安全可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本年度本机关未收取政府信息公开处理费。无其他需要报告的事项。</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文星简小标宋">
    <w:panose1 w:val="02010609000101010101"/>
    <w:charset w:val="86"/>
    <w:family w:val="modern"/>
    <w:pitch w:val="default"/>
    <w:sig w:usb0="00000000" w:usb1="00000000" w:usb2="00000000" w:usb3="00000000" w:csb0="00000000" w:csb1="00000000"/>
  </w:font>
  <w:font w:name="Microsoft Sans Serif">
    <w:panose1 w:val="020B0604020202020204"/>
    <w:charset w:val="00"/>
    <w:family w:val="swiss"/>
    <w:pitch w:val="default"/>
    <w:sig w:usb0="E1002AFF" w:usb1="C0000002"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123938"/>
      <w:docPartObj>
        <w:docPartGallery w:val="autotext"/>
      </w:docPartObj>
    </w:sdtPr>
    <w:sdtContent>
      <w:p>
        <w:pPr>
          <w:pStyle w:val="5"/>
          <w:jc w:val="center"/>
        </w:pPr>
        <w:r>
          <w:fldChar w:fldCharType="begin"/>
        </w:r>
        <w:r>
          <w:instrText xml:space="preserve"> PAGE   \* MERGEFORMAT </w:instrText>
        </w:r>
        <w:r>
          <w:fldChar w:fldCharType="separate"/>
        </w:r>
        <w:r>
          <w:rPr>
            <w:lang w:val="zh-CN"/>
          </w:rPr>
          <w:t>8</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483A0A"/>
    <w:rsid w:val="00000530"/>
    <w:rsid w:val="00000D11"/>
    <w:rsid w:val="0000210B"/>
    <w:rsid w:val="00003507"/>
    <w:rsid w:val="00005351"/>
    <w:rsid w:val="00007D27"/>
    <w:rsid w:val="000137B9"/>
    <w:rsid w:val="00013B22"/>
    <w:rsid w:val="00013E3B"/>
    <w:rsid w:val="00014112"/>
    <w:rsid w:val="0002024C"/>
    <w:rsid w:val="00020369"/>
    <w:rsid w:val="00021B26"/>
    <w:rsid w:val="0002379D"/>
    <w:rsid w:val="00023A1E"/>
    <w:rsid w:val="00025935"/>
    <w:rsid w:val="000271AB"/>
    <w:rsid w:val="00032743"/>
    <w:rsid w:val="000335F8"/>
    <w:rsid w:val="00034CFA"/>
    <w:rsid w:val="00035560"/>
    <w:rsid w:val="000359FD"/>
    <w:rsid w:val="000373B5"/>
    <w:rsid w:val="0003797C"/>
    <w:rsid w:val="0004692C"/>
    <w:rsid w:val="0004729C"/>
    <w:rsid w:val="0005169C"/>
    <w:rsid w:val="00055B53"/>
    <w:rsid w:val="00060CF2"/>
    <w:rsid w:val="00061B4D"/>
    <w:rsid w:val="00063CEA"/>
    <w:rsid w:val="00065DA6"/>
    <w:rsid w:val="00073DE1"/>
    <w:rsid w:val="00076611"/>
    <w:rsid w:val="00081B77"/>
    <w:rsid w:val="00082D0E"/>
    <w:rsid w:val="0008315F"/>
    <w:rsid w:val="0008382A"/>
    <w:rsid w:val="0008411D"/>
    <w:rsid w:val="00086882"/>
    <w:rsid w:val="00093717"/>
    <w:rsid w:val="00094BD3"/>
    <w:rsid w:val="00094E17"/>
    <w:rsid w:val="00096D0C"/>
    <w:rsid w:val="000A062A"/>
    <w:rsid w:val="000A1A07"/>
    <w:rsid w:val="000A2EF7"/>
    <w:rsid w:val="000A4BDB"/>
    <w:rsid w:val="000A4C84"/>
    <w:rsid w:val="000A6344"/>
    <w:rsid w:val="000B5642"/>
    <w:rsid w:val="000B7CBA"/>
    <w:rsid w:val="000C0E2C"/>
    <w:rsid w:val="000C1535"/>
    <w:rsid w:val="000C1CB5"/>
    <w:rsid w:val="000C79BA"/>
    <w:rsid w:val="000D02B8"/>
    <w:rsid w:val="000D0BDB"/>
    <w:rsid w:val="000D264A"/>
    <w:rsid w:val="000D4C30"/>
    <w:rsid w:val="000D60E5"/>
    <w:rsid w:val="000D683E"/>
    <w:rsid w:val="000E1071"/>
    <w:rsid w:val="000E7095"/>
    <w:rsid w:val="000E748B"/>
    <w:rsid w:val="000F1053"/>
    <w:rsid w:val="000F70B8"/>
    <w:rsid w:val="00104211"/>
    <w:rsid w:val="001056DE"/>
    <w:rsid w:val="00105EBA"/>
    <w:rsid w:val="00110B1D"/>
    <w:rsid w:val="00111595"/>
    <w:rsid w:val="00111DC6"/>
    <w:rsid w:val="0011227C"/>
    <w:rsid w:val="0011500D"/>
    <w:rsid w:val="0011606D"/>
    <w:rsid w:val="001200D6"/>
    <w:rsid w:val="00121745"/>
    <w:rsid w:val="001224DC"/>
    <w:rsid w:val="00123114"/>
    <w:rsid w:val="00123211"/>
    <w:rsid w:val="00123FC4"/>
    <w:rsid w:val="00125AC3"/>
    <w:rsid w:val="00125F7A"/>
    <w:rsid w:val="00126660"/>
    <w:rsid w:val="00130EFE"/>
    <w:rsid w:val="0013183D"/>
    <w:rsid w:val="00135396"/>
    <w:rsid w:val="00137F9D"/>
    <w:rsid w:val="001412DE"/>
    <w:rsid w:val="00141550"/>
    <w:rsid w:val="00142A4F"/>
    <w:rsid w:val="00146EC9"/>
    <w:rsid w:val="001522A7"/>
    <w:rsid w:val="001525D5"/>
    <w:rsid w:val="0015458E"/>
    <w:rsid w:val="0015477D"/>
    <w:rsid w:val="00155196"/>
    <w:rsid w:val="00160A0A"/>
    <w:rsid w:val="00160EA4"/>
    <w:rsid w:val="0016102E"/>
    <w:rsid w:val="0016449D"/>
    <w:rsid w:val="00166AB0"/>
    <w:rsid w:val="00170EFB"/>
    <w:rsid w:val="0017209E"/>
    <w:rsid w:val="0017540E"/>
    <w:rsid w:val="001776FA"/>
    <w:rsid w:val="00181F1F"/>
    <w:rsid w:val="00182BCB"/>
    <w:rsid w:val="00184626"/>
    <w:rsid w:val="00186B75"/>
    <w:rsid w:val="00187F28"/>
    <w:rsid w:val="00190B48"/>
    <w:rsid w:val="001939F3"/>
    <w:rsid w:val="0019555F"/>
    <w:rsid w:val="001961EB"/>
    <w:rsid w:val="001962D3"/>
    <w:rsid w:val="00196751"/>
    <w:rsid w:val="00197895"/>
    <w:rsid w:val="001A1A2F"/>
    <w:rsid w:val="001A35DE"/>
    <w:rsid w:val="001A41E4"/>
    <w:rsid w:val="001A594D"/>
    <w:rsid w:val="001B1216"/>
    <w:rsid w:val="001B36D6"/>
    <w:rsid w:val="001B4C29"/>
    <w:rsid w:val="001C35BC"/>
    <w:rsid w:val="001D0C8D"/>
    <w:rsid w:val="001D17B0"/>
    <w:rsid w:val="001D4DCA"/>
    <w:rsid w:val="001D4F48"/>
    <w:rsid w:val="001D6141"/>
    <w:rsid w:val="001D6B75"/>
    <w:rsid w:val="001D7C30"/>
    <w:rsid w:val="001E070F"/>
    <w:rsid w:val="001E0DB5"/>
    <w:rsid w:val="001E1577"/>
    <w:rsid w:val="001E4251"/>
    <w:rsid w:val="001E5397"/>
    <w:rsid w:val="001E5CB6"/>
    <w:rsid w:val="001E65CD"/>
    <w:rsid w:val="001E79D7"/>
    <w:rsid w:val="001F1256"/>
    <w:rsid w:val="001F35EA"/>
    <w:rsid w:val="001F3D39"/>
    <w:rsid w:val="001F4AD4"/>
    <w:rsid w:val="001F588A"/>
    <w:rsid w:val="001F613E"/>
    <w:rsid w:val="00200318"/>
    <w:rsid w:val="00201021"/>
    <w:rsid w:val="00202F80"/>
    <w:rsid w:val="0020547F"/>
    <w:rsid w:val="00207769"/>
    <w:rsid w:val="00207EF6"/>
    <w:rsid w:val="0021000D"/>
    <w:rsid w:val="00210B25"/>
    <w:rsid w:val="0021174A"/>
    <w:rsid w:val="00212395"/>
    <w:rsid w:val="00213CF6"/>
    <w:rsid w:val="0021483D"/>
    <w:rsid w:val="00216020"/>
    <w:rsid w:val="00217708"/>
    <w:rsid w:val="00220D7A"/>
    <w:rsid w:val="002238B3"/>
    <w:rsid w:val="00225500"/>
    <w:rsid w:val="002262E8"/>
    <w:rsid w:val="0022681A"/>
    <w:rsid w:val="00230720"/>
    <w:rsid w:val="002338CB"/>
    <w:rsid w:val="00235450"/>
    <w:rsid w:val="002377F6"/>
    <w:rsid w:val="00240AB4"/>
    <w:rsid w:val="00240EA7"/>
    <w:rsid w:val="002413AD"/>
    <w:rsid w:val="0024180F"/>
    <w:rsid w:val="002438DF"/>
    <w:rsid w:val="00244F2E"/>
    <w:rsid w:val="00245790"/>
    <w:rsid w:val="00247EF6"/>
    <w:rsid w:val="00252121"/>
    <w:rsid w:val="00255083"/>
    <w:rsid w:val="00260E04"/>
    <w:rsid w:val="0026373E"/>
    <w:rsid w:val="0026481E"/>
    <w:rsid w:val="00264E6A"/>
    <w:rsid w:val="0026706C"/>
    <w:rsid w:val="00270B98"/>
    <w:rsid w:val="00273F72"/>
    <w:rsid w:val="002775C7"/>
    <w:rsid w:val="002802DB"/>
    <w:rsid w:val="0029048B"/>
    <w:rsid w:val="002938F7"/>
    <w:rsid w:val="00295B3F"/>
    <w:rsid w:val="002971A1"/>
    <w:rsid w:val="00297970"/>
    <w:rsid w:val="002A15ED"/>
    <w:rsid w:val="002A48B5"/>
    <w:rsid w:val="002A5008"/>
    <w:rsid w:val="002A5951"/>
    <w:rsid w:val="002A7ADC"/>
    <w:rsid w:val="002B2BFC"/>
    <w:rsid w:val="002B6ACA"/>
    <w:rsid w:val="002C058E"/>
    <w:rsid w:val="002C49EF"/>
    <w:rsid w:val="002C584A"/>
    <w:rsid w:val="002C72CA"/>
    <w:rsid w:val="002C7BE1"/>
    <w:rsid w:val="002D01C8"/>
    <w:rsid w:val="002D318B"/>
    <w:rsid w:val="002D3F40"/>
    <w:rsid w:val="002D3F9B"/>
    <w:rsid w:val="002D466A"/>
    <w:rsid w:val="002D4771"/>
    <w:rsid w:val="002D6F31"/>
    <w:rsid w:val="002D779F"/>
    <w:rsid w:val="002D7E8A"/>
    <w:rsid w:val="002E10DA"/>
    <w:rsid w:val="002E5D28"/>
    <w:rsid w:val="002F02E7"/>
    <w:rsid w:val="002F0919"/>
    <w:rsid w:val="002F1643"/>
    <w:rsid w:val="002F2182"/>
    <w:rsid w:val="002F4E3A"/>
    <w:rsid w:val="002F7978"/>
    <w:rsid w:val="00301872"/>
    <w:rsid w:val="00306C9E"/>
    <w:rsid w:val="00310855"/>
    <w:rsid w:val="0031379A"/>
    <w:rsid w:val="00314CDA"/>
    <w:rsid w:val="00314F9D"/>
    <w:rsid w:val="003209EF"/>
    <w:rsid w:val="00322118"/>
    <w:rsid w:val="00324C91"/>
    <w:rsid w:val="003300DA"/>
    <w:rsid w:val="0033412E"/>
    <w:rsid w:val="00334873"/>
    <w:rsid w:val="00336095"/>
    <w:rsid w:val="0033786E"/>
    <w:rsid w:val="003412B9"/>
    <w:rsid w:val="003432F7"/>
    <w:rsid w:val="0034363C"/>
    <w:rsid w:val="003441ED"/>
    <w:rsid w:val="00345713"/>
    <w:rsid w:val="003511C1"/>
    <w:rsid w:val="0035364A"/>
    <w:rsid w:val="0035528E"/>
    <w:rsid w:val="00356842"/>
    <w:rsid w:val="00356CB0"/>
    <w:rsid w:val="003624FE"/>
    <w:rsid w:val="00366601"/>
    <w:rsid w:val="00367BDD"/>
    <w:rsid w:val="00372879"/>
    <w:rsid w:val="003728D3"/>
    <w:rsid w:val="00372FB6"/>
    <w:rsid w:val="0037300A"/>
    <w:rsid w:val="003730ED"/>
    <w:rsid w:val="0037471F"/>
    <w:rsid w:val="003752F5"/>
    <w:rsid w:val="00375624"/>
    <w:rsid w:val="003769F1"/>
    <w:rsid w:val="00382730"/>
    <w:rsid w:val="003835D5"/>
    <w:rsid w:val="0038583B"/>
    <w:rsid w:val="00387FB2"/>
    <w:rsid w:val="00391213"/>
    <w:rsid w:val="003926D8"/>
    <w:rsid w:val="003947E7"/>
    <w:rsid w:val="0039572D"/>
    <w:rsid w:val="003957C6"/>
    <w:rsid w:val="003A10B7"/>
    <w:rsid w:val="003A1ED6"/>
    <w:rsid w:val="003A28D1"/>
    <w:rsid w:val="003A382C"/>
    <w:rsid w:val="003A4962"/>
    <w:rsid w:val="003A5868"/>
    <w:rsid w:val="003B1BDE"/>
    <w:rsid w:val="003B4078"/>
    <w:rsid w:val="003B43F4"/>
    <w:rsid w:val="003B56E3"/>
    <w:rsid w:val="003B5D93"/>
    <w:rsid w:val="003B5FDD"/>
    <w:rsid w:val="003B78AE"/>
    <w:rsid w:val="003C5F95"/>
    <w:rsid w:val="003C61D7"/>
    <w:rsid w:val="003D3113"/>
    <w:rsid w:val="003D321F"/>
    <w:rsid w:val="003D37DF"/>
    <w:rsid w:val="003D477F"/>
    <w:rsid w:val="003D4AAB"/>
    <w:rsid w:val="003D5EE1"/>
    <w:rsid w:val="003D610A"/>
    <w:rsid w:val="003D6E5C"/>
    <w:rsid w:val="003E05F7"/>
    <w:rsid w:val="003E0635"/>
    <w:rsid w:val="003E37B0"/>
    <w:rsid w:val="003E46FE"/>
    <w:rsid w:val="003F21E8"/>
    <w:rsid w:val="003F467D"/>
    <w:rsid w:val="004005DF"/>
    <w:rsid w:val="00401F85"/>
    <w:rsid w:val="004022E6"/>
    <w:rsid w:val="0040249B"/>
    <w:rsid w:val="00402921"/>
    <w:rsid w:val="004040BC"/>
    <w:rsid w:val="00405456"/>
    <w:rsid w:val="0040785B"/>
    <w:rsid w:val="00412D25"/>
    <w:rsid w:val="00416914"/>
    <w:rsid w:val="00416943"/>
    <w:rsid w:val="00417674"/>
    <w:rsid w:val="0042118B"/>
    <w:rsid w:val="00424420"/>
    <w:rsid w:val="004249DA"/>
    <w:rsid w:val="0042630B"/>
    <w:rsid w:val="00430278"/>
    <w:rsid w:val="00431638"/>
    <w:rsid w:val="004332E6"/>
    <w:rsid w:val="004411EC"/>
    <w:rsid w:val="0044147F"/>
    <w:rsid w:val="0044656F"/>
    <w:rsid w:val="00446848"/>
    <w:rsid w:val="00452483"/>
    <w:rsid w:val="00454C4E"/>
    <w:rsid w:val="00454C9C"/>
    <w:rsid w:val="004579D1"/>
    <w:rsid w:val="00462A53"/>
    <w:rsid w:val="00463A7B"/>
    <w:rsid w:val="00464241"/>
    <w:rsid w:val="00465FD7"/>
    <w:rsid w:val="004662BD"/>
    <w:rsid w:val="00466DC1"/>
    <w:rsid w:val="00467093"/>
    <w:rsid w:val="00471F6C"/>
    <w:rsid w:val="0048061A"/>
    <w:rsid w:val="0048324E"/>
    <w:rsid w:val="00483A0A"/>
    <w:rsid w:val="00485784"/>
    <w:rsid w:val="00486FE2"/>
    <w:rsid w:val="0048723A"/>
    <w:rsid w:val="00492D62"/>
    <w:rsid w:val="00493B09"/>
    <w:rsid w:val="0049481E"/>
    <w:rsid w:val="004951F4"/>
    <w:rsid w:val="0049655E"/>
    <w:rsid w:val="00497C6D"/>
    <w:rsid w:val="004A1514"/>
    <w:rsid w:val="004A32E7"/>
    <w:rsid w:val="004A4640"/>
    <w:rsid w:val="004A4829"/>
    <w:rsid w:val="004A700C"/>
    <w:rsid w:val="004A7126"/>
    <w:rsid w:val="004A78B0"/>
    <w:rsid w:val="004B007A"/>
    <w:rsid w:val="004B02E1"/>
    <w:rsid w:val="004B0748"/>
    <w:rsid w:val="004B1A31"/>
    <w:rsid w:val="004B22A1"/>
    <w:rsid w:val="004B4174"/>
    <w:rsid w:val="004B7540"/>
    <w:rsid w:val="004C034A"/>
    <w:rsid w:val="004C22BC"/>
    <w:rsid w:val="004C2E98"/>
    <w:rsid w:val="004C6B21"/>
    <w:rsid w:val="004C7CE6"/>
    <w:rsid w:val="004D3FC2"/>
    <w:rsid w:val="004D6F42"/>
    <w:rsid w:val="004D7C26"/>
    <w:rsid w:val="004E3663"/>
    <w:rsid w:val="004E5519"/>
    <w:rsid w:val="004E6AF1"/>
    <w:rsid w:val="004E76E7"/>
    <w:rsid w:val="004F6610"/>
    <w:rsid w:val="004F7DB1"/>
    <w:rsid w:val="005016E4"/>
    <w:rsid w:val="00502E83"/>
    <w:rsid w:val="0050319B"/>
    <w:rsid w:val="00507AD3"/>
    <w:rsid w:val="00507D06"/>
    <w:rsid w:val="00510446"/>
    <w:rsid w:val="0051075A"/>
    <w:rsid w:val="005122C9"/>
    <w:rsid w:val="00512633"/>
    <w:rsid w:val="005146F5"/>
    <w:rsid w:val="00516A59"/>
    <w:rsid w:val="00522E0D"/>
    <w:rsid w:val="0052436A"/>
    <w:rsid w:val="005260E7"/>
    <w:rsid w:val="005264A2"/>
    <w:rsid w:val="00526FA1"/>
    <w:rsid w:val="00530D58"/>
    <w:rsid w:val="005310B8"/>
    <w:rsid w:val="005331E1"/>
    <w:rsid w:val="00534EB3"/>
    <w:rsid w:val="0053666B"/>
    <w:rsid w:val="00536E95"/>
    <w:rsid w:val="00537760"/>
    <w:rsid w:val="00541E8E"/>
    <w:rsid w:val="00542B45"/>
    <w:rsid w:val="00545E78"/>
    <w:rsid w:val="00545F56"/>
    <w:rsid w:val="00555099"/>
    <w:rsid w:val="005558A5"/>
    <w:rsid w:val="00560F16"/>
    <w:rsid w:val="0056225F"/>
    <w:rsid w:val="00563359"/>
    <w:rsid w:val="00564A73"/>
    <w:rsid w:val="00567310"/>
    <w:rsid w:val="005676B7"/>
    <w:rsid w:val="00572735"/>
    <w:rsid w:val="00575CD5"/>
    <w:rsid w:val="005763CC"/>
    <w:rsid w:val="005764F9"/>
    <w:rsid w:val="00583131"/>
    <w:rsid w:val="00583EE1"/>
    <w:rsid w:val="00583EFD"/>
    <w:rsid w:val="0058462C"/>
    <w:rsid w:val="005870E3"/>
    <w:rsid w:val="005873AA"/>
    <w:rsid w:val="00590CA5"/>
    <w:rsid w:val="00591E68"/>
    <w:rsid w:val="0059243A"/>
    <w:rsid w:val="00592898"/>
    <w:rsid w:val="00595D99"/>
    <w:rsid w:val="005A4855"/>
    <w:rsid w:val="005B20EE"/>
    <w:rsid w:val="005B7566"/>
    <w:rsid w:val="005C0372"/>
    <w:rsid w:val="005C1A04"/>
    <w:rsid w:val="005C25F8"/>
    <w:rsid w:val="005C3111"/>
    <w:rsid w:val="005C396E"/>
    <w:rsid w:val="005C47F7"/>
    <w:rsid w:val="005C6631"/>
    <w:rsid w:val="005C7F79"/>
    <w:rsid w:val="005D153E"/>
    <w:rsid w:val="005D2729"/>
    <w:rsid w:val="005D3967"/>
    <w:rsid w:val="005D5475"/>
    <w:rsid w:val="005D54CE"/>
    <w:rsid w:val="005E26A1"/>
    <w:rsid w:val="005E424F"/>
    <w:rsid w:val="005E775A"/>
    <w:rsid w:val="005F099B"/>
    <w:rsid w:val="005F1DEE"/>
    <w:rsid w:val="005F1DF6"/>
    <w:rsid w:val="005F23A8"/>
    <w:rsid w:val="005F2F8F"/>
    <w:rsid w:val="005F3113"/>
    <w:rsid w:val="005F3369"/>
    <w:rsid w:val="005F5EA5"/>
    <w:rsid w:val="00602C4C"/>
    <w:rsid w:val="006034F5"/>
    <w:rsid w:val="006058BF"/>
    <w:rsid w:val="00607E57"/>
    <w:rsid w:val="00610013"/>
    <w:rsid w:val="006117F0"/>
    <w:rsid w:val="00613D98"/>
    <w:rsid w:val="006140B3"/>
    <w:rsid w:val="00615FEE"/>
    <w:rsid w:val="0061637B"/>
    <w:rsid w:val="00620B43"/>
    <w:rsid w:val="00620E59"/>
    <w:rsid w:val="006242EA"/>
    <w:rsid w:val="00625EAA"/>
    <w:rsid w:val="006321AC"/>
    <w:rsid w:val="00637C64"/>
    <w:rsid w:val="00637EE7"/>
    <w:rsid w:val="0064131D"/>
    <w:rsid w:val="00642612"/>
    <w:rsid w:val="00643ED3"/>
    <w:rsid w:val="00644831"/>
    <w:rsid w:val="00646135"/>
    <w:rsid w:val="0065170D"/>
    <w:rsid w:val="0065177E"/>
    <w:rsid w:val="0065290A"/>
    <w:rsid w:val="0065306B"/>
    <w:rsid w:val="006536DF"/>
    <w:rsid w:val="00654C74"/>
    <w:rsid w:val="00654CB7"/>
    <w:rsid w:val="00654CE1"/>
    <w:rsid w:val="00654F1D"/>
    <w:rsid w:val="006566F2"/>
    <w:rsid w:val="00656D7D"/>
    <w:rsid w:val="00670319"/>
    <w:rsid w:val="00673BA7"/>
    <w:rsid w:val="00676522"/>
    <w:rsid w:val="00677F2A"/>
    <w:rsid w:val="00681A6A"/>
    <w:rsid w:val="006821C2"/>
    <w:rsid w:val="00682689"/>
    <w:rsid w:val="00682A66"/>
    <w:rsid w:val="00682E24"/>
    <w:rsid w:val="00684090"/>
    <w:rsid w:val="006848F3"/>
    <w:rsid w:val="00687D4D"/>
    <w:rsid w:val="006907FB"/>
    <w:rsid w:val="006924F4"/>
    <w:rsid w:val="006925DE"/>
    <w:rsid w:val="006940AF"/>
    <w:rsid w:val="006960B7"/>
    <w:rsid w:val="006A24AF"/>
    <w:rsid w:val="006A2A09"/>
    <w:rsid w:val="006A2A20"/>
    <w:rsid w:val="006A4FC6"/>
    <w:rsid w:val="006B4A3A"/>
    <w:rsid w:val="006C132F"/>
    <w:rsid w:val="006C2EF0"/>
    <w:rsid w:val="006C31B9"/>
    <w:rsid w:val="006D3B4F"/>
    <w:rsid w:val="006D6F56"/>
    <w:rsid w:val="006D7707"/>
    <w:rsid w:val="006E4381"/>
    <w:rsid w:val="006F173E"/>
    <w:rsid w:val="006F50B2"/>
    <w:rsid w:val="006F6E39"/>
    <w:rsid w:val="006F7132"/>
    <w:rsid w:val="007056F8"/>
    <w:rsid w:val="00705D2A"/>
    <w:rsid w:val="00707DCC"/>
    <w:rsid w:val="00707FED"/>
    <w:rsid w:val="007127A5"/>
    <w:rsid w:val="00712A93"/>
    <w:rsid w:val="00715614"/>
    <w:rsid w:val="0071624F"/>
    <w:rsid w:val="00717D2C"/>
    <w:rsid w:val="00717DE4"/>
    <w:rsid w:val="00720AEB"/>
    <w:rsid w:val="007225C4"/>
    <w:rsid w:val="00725ACB"/>
    <w:rsid w:val="00727C92"/>
    <w:rsid w:val="0073400F"/>
    <w:rsid w:val="00737045"/>
    <w:rsid w:val="00740365"/>
    <w:rsid w:val="00741E4B"/>
    <w:rsid w:val="007439F6"/>
    <w:rsid w:val="00744B8B"/>
    <w:rsid w:val="00750378"/>
    <w:rsid w:val="007510B8"/>
    <w:rsid w:val="0075404A"/>
    <w:rsid w:val="00755CFE"/>
    <w:rsid w:val="0076036D"/>
    <w:rsid w:val="00762968"/>
    <w:rsid w:val="00762CB4"/>
    <w:rsid w:val="00764000"/>
    <w:rsid w:val="00766CB1"/>
    <w:rsid w:val="00767654"/>
    <w:rsid w:val="00767BD4"/>
    <w:rsid w:val="00770568"/>
    <w:rsid w:val="0077245C"/>
    <w:rsid w:val="00772D8C"/>
    <w:rsid w:val="0077350B"/>
    <w:rsid w:val="00774E8A"/>
    <w:rsid w:val="00776BE2"/>
    <w:rsid w:val="00782972"/>
    <w:rsid w:val="007858FF"/>
    <w:rsid w:val="00785CE0"/>
    <w:rsid w:val="0079561A"/>
    <w:rsid w:val="00796E00"/>
    <w:rsid w:val="007A3634"/>
    <w:rsid w:val="007A4020"/>
    <w:rsid w:val="007A52FE"/>
    <w:rsid w:val="007A5784"/>
    <w:rsid w:val="007A69A9"/>
    <w:rsid w:val="007B2079"/>
    <w:rsid w:val="007B384D"/>
    <w:rsid w:val="007B4477"/>
    <w:rsid w:val="007B470F"/>
    <w:rsid w:val="007C2348"/>
    <w:rsid w:val="007C3B86"/>
    <w:rsid w:val="007C41F7"/>
    <w:rsid w:val="007C45DF"/>
    <w:rsid w:val="007C4D68"/>
    <w:rsid w:val="007C6D52"/>
    <w:rsid w:val="007C7CA8"/>
    <w:rsid w:val="007C7EF1"/>
    <w:rsid w:val="007D3912"/>
    <w:rsid w:val="007D4077"/>
    <w:rsid w:val="007D7256"/>
    <w:rsid w:val="007E0C35"/>
    <w:rsid w:val="007E2009"/>
    <w:rsid w:val="007E32FE"/>
    <w:rsid w:val="007E3A5D"/>
    <w:rsid w:val="007E5FB7"/>
    <w:rsid w:val="007F0063"/>
    <w:rsid w:val="007F4066"/>
    <w:rsid w:val="007F4E3E"/>
    <w:rsid w:val="007F6A22"/>
    <w:rsid w:val="007F6ED8"/>
    <w:rsid w:val="007F7BC4"/>
    <w:rsid w:val="007F7FCD"/>
    <w:rsid w:val="0080299B"/>
    <w:rsid w:val="00803CCF"/>
    <w:rsid w:val="008050E1"/>
    <w:rsid w:val="0080548A"/>
    <w:rsid w:val="0080724C"/>
    <w:rsid w:val="0081023E"/>
    <w:rsid w:val="008103F3"/>
    <w:rsid w:val="00812565"/>
    <w:rsid w:val="0081325E"/>
    <w:rsid w:val="00816C79"/>
    <w:rsid w:val="00820596"/>
    <w:rsid w:val="00821ECD"/>
    <w:rsid w:val="00825BC3"/>
    <w:rsid w:val="008323B1"/>
    <w:rsid w:val="00832A5D"/>
    <w:rsid w:val="00834A3A"/>
    <w:rsid w:val="00835A0F"/>
    <w:rsid w:val="00835E96"/>
    <w:rsid w:val="00835FDF"/>
    <w:rsid w:val="008441A3"/>
    <w:rsid w:val="008455E1"/>
    <w:rsid w:val="008457D0"/>
    <w:rsid w:val="00847303"/>
    <w:rsid w:val="00847368"/>
    <w:rsid w:val="0084743A"/>
    <w:rsid w:val="00847EE7"/>
    <w:rsid w:val="008509AE"/>
    <w:rsid w:val="00853586"/>
    <w:rsid w:val="00854AB5"/>
    <w:rsid w:val="0086132F"/>
    <w:rsid w:val="008622D6"/>
    <w:rsid w:val="00862336"/>
    <w:rsid w:val="00865F56"/>
    <w:rsid w:val="00866133"/>
    <w:rsid w:val="0087148E"/>
    <w:rsid w:val="00872940"/>
    <w:rsid w:val="00872E40"/>
    <w:rsid w:val="008735FF"/>
    <w:rsid w:val="0087525C"/>
    <w:rsid w:val="008758E9"/>
    <w:rsid w:val="008811AE"/>
    <w:rsid w:val="0088197E"/>
    <w:rsid w:val="00882426"/>
    <w:rsid w:val="0088243E"/>
    <w:rsid w:val="00883483"/>
    <w:rsid w:val="008836BD"/>
    <w:rsid w:val="00885A6C"/>
    <w:rsid w:val="00886322"/>
    <w:rsid w:val="00887215"/>
    <w:rsid w:val="00892300"/>
    <w:rsid w:val="008A51E6"/>
    <w:rsid w:val="008A60CA"/>
    <w:rsid w:val="008A6DB1"/>
    <w:rsid w:val="008A6E88"/>
    <w:rsid w:val="008A774A"/>
    <w:rsid w:val="008B0508"/>
    <w:rsid w:val="008B4038"/>
    <w:rsid w:val="008B50EF"/>
    <w:rsid w:val="008B6CE3"/>
    <w:rsid w:val="008B7785"/>
    <w:rsid w:val="008C1AE6"/>
    <w:rsid w:val="008D06BC"/>
    <w:rsid w:val="008D270F"/>
    <w:rsid w:val="008D398A"/>
    <w:rsid w:val="008D4A73"/>
    <w:rsid w:val="008D7F42"/>
    <w:rsid w:val="008E2090"/>
    <w:rsid w:val="008E378A"/>
    <w:rsid w:val="008E3E5D"/>
    <w:rsid w:val="008E5A4B"/>
    <w:rsid w:val="008E64EE"/>
    <w:rsid w:val="008E7615"/>
    <w:rsid w:val="008F1F79"/>
    <w:rsid w:val="008F3539"/>
    <w:rsid w:val="008F5E57"/>
    <w:rsid w:val="00902816"/>
    <w:rsid w:val="00906360"/>
    <w:rsid w:val="00907419"/>
    <w:rsid w:val="0091063B"/>
    <w:rsid w:val="009124D7"/>
    <w:rsid w:val="009145DD"/>
    <w:rsid w:val="009176EA"/>
    <w:rsid w:val="00923640"/>
    <w:rsid w:val="00924CAF"/>
    <w:rsid w:val="0092537C"/>
    <w:rsid w:val="00925544"/>
    <w:rsid w:val="00925CCC"/>
    <w:rsid w:val="0092681B"/>
    <w:rsid w:val="00926F8D"/>
    <w:rsid w:val="00931668"/>
    <w:rsid w:val="00933CDA"/>
    <w:rsid w:val="009377A8"/>
    <w:rsid w:val="00937F4F"/>
    <w:rsid w:val="00940074"/>
    <w:rsid w:val="00941C36"/>
    <w:rsid w:val="00942705"/>
    <w:rsid w:val="00944775"/>
    <w:rsid w:val="00953140"/>
    <w:rsid w:val="00960C97"/>
    <w:rsid w:val="009610D8"/>
    <w:rsid w:val="00961B3B"/>
    <w:rsid w:val="00966D34"/>
    <w:rsid w:val="00971B84"/>
    <w:rsid w:val="00976033"/>
    <w:rsid w:val="00977170"/>
    <w:rsid w:val="00977BC4"/>
    <w:rsid w:val="00982BF6"/>
    <w:rsid w:val="00983A4F"/>
    <w:rsid w:val="00983FBD"/>
    <w:rsid w:val="0098608F"/>
    <w:rsid w:val="00987EC8"/>
    <w:rsid w:val="009927CC"/>
    <w:rsid w:val="009928DC"/>
    <w:rsid w:val="00994653"/>
    <w:rsid w:val="009976A1"/>
    <w:rsid w:val="009A01D9"/>
    <w:rsid w:val="009A44A1"/>
    <w:rsid w:val="009A47E3"/>
    <w:rsid w:val="009A6E8D"/>
    <w:rsid w:val="009B150E"/>
    <w:rsid w:val="009C3250"/>
    <w:rsid w:val="009C458E"/>
    <w:rsid w:val="009C6F90"/>
    <w:rsid w:val="009C73CA"/>
    <w:rsid w:val="009C7D7B"/>
    <w:rsid w:val="009D5402"/>
    <w:rsid w:val="009D6F2C"/>
    <w:rsid w:val="009D7117"/>
    <w:rsid w:val="009E0A4C"/>
    <w:rsid w:val="009E31C0"/>
    <w:rsid w:val="009E3655"/>
    <w:rsid w:val="009E3F9E"/>
    <w:rsid w:val="009E4982"/>
    <w:rsid w:val="009E548D"/>
    <w:rsid w:val="009E60E9"/>
    <w:rsid w:val="009E6F83"/>
    <w:rsid w:val="009E7288"/>
    <w:rsid w:val="009F1123"/>
    <w:rsid w:val="009F2F3C"/>
    <w:rsid w:val="009F497F"/>
    <w:rsid w:val="00A01E10"/>
    <w:rsid w:val="00A033EC"/>
    <w:rsid w:val="00A047B6"/>
    <w:rsid w:val="00A0493B"/>
    <w:rsid w:val="00A05382"/>
    <w:rsid w:val="00A06509"/>
    <w:rsid w:val="00A10BE9"/>
    <w:rsid w:val="00A14A88"/>
    <w:rsid w:val="00A14B5B"/>
    <w:rsid w:val="00A15390"/>
    <w:rsid w:val="00A1698E"/>
    <w:rsid w:val="00A16DC7"/>
    <w:rsid w:val="00A27D89"/>
    <w:rsid w:val="00A30A8B"/>
    <w:rsid w:val="00A33868"/>
    <w:rsid w:val="00A3449D"/>
    <w:rsid w:val="00A353DA"/>
    <w:rsid w:val="00A412C0"/>
    <w:rsid w:val="00A41960"/>
    <w:rsid w:val="00A4666A"/>
    <w:rsid w:val="00A476E4"/>
    <w:rsid w:val="00A508EA"/>
    <w:rsid w:val="00A54B39"/>
    <w:rsid w:val="00A55F6B"/>
    <w:rsid w:val="00A564E8"/>
    <w:rsid w:val="00A62AB2"/>
    <w:rsid w:val="00A634FD"/>
    <w:rsid w:val="00A63EA8"/>
    <w:rsid w:val="00A65A80"/>
    <w:rsid w:val="00A6693F"/>
    <w:rsid w:val="00A7061B"/>
    <w:rsid w:val="00A7159E"/>
    <w:rsid w:val="00A75FD6"/>
    <w:rsid w:val="00A768FD"/>
    <w:rsid w:val="00A775EF"/>
    <w:rsid w:val="00A77A3C"/>
    <w:rsid w:val="00A80016"/>
    <w:rsid w:val="00A8332B"/>
    <w:rsid w:val="00A92790"/>
    <w:rsid w:val="00A927A8"/>
    <w:rsid w:val="00A92C79"/>
    <w:rsid w:val="00A93444"/>
    <w:rsid w:val="00A95948"/>
    <w:rsid w:val="00A97E98"/>
    <w:rsid w:val="00AA0005"/>
    <w:rsid w:val="00AA201C"/>
    <w:rsid w:val="00AA2C1D"/>
    <w:rsid w:val="00AA46BA"/>
    <w:rsid w:val="00AA4E26"/>
    <w:rsid w:val="00AA50A4"/>
    <w:rsid w:val="00AB1303"/>
    <w:rsid w:val="00AB1C6A"/>
    <w:rsid w:val="00AB40B8"/>
    <w:rsid w:val="00AB51F4"/>
    <w:rsid w:val="00AC08E6"/>
    <w:rsid w:val="00AC14E3"/>
    <w:rsid w:val="00AC2218"/>
    <w:rsid w:val="00AC369A"/>
    <w:rsid w:val="00AC427D"/>
    <w:rsid w:val="00AC42A4"/>
    <w:rsid w:val="00AC4512"/>
    <w:rsid w:val="00AC4BD1"/>
    <w:rsid w:val="00AC5A4D"/>
    <w:rsid w:val="00AC7E1D"/>
    <w:rsid w:val="00AD4E45"/>
    <w:rsid w:val="00AD6319"/>
    <w:rsid w:val="00AD79D3"/>
    <w:rsid w:val="00AE2110"/>
    <w:rsid w:val="00AE32BE"/>
    <w:rsid w:val="00AE32D4"/>
    <w:rsid w:val="00AE4781"/>
    <w:rsid w:val="00AE65A1"/>
    <w:rsid w:val="00AE6B5D"/>
    <w:rsid w:val="00AF6227"/>
    <w:rsid w:val="00B003DB"/>
    <w:rsid w:val="00B05C94"/>
    <w:rsid w:val="00B05CED"/>
    <w:rsid w:val="00B06AFA"/>
    <w:rsid w:val="00B1068A"/>
    <w:rsid w:val="00B201A9"/>
    <w:rsid w:val="00B20676"/>
    <w:rsid w:val="00B2201A"/>
    <w:rsid w:val="00B22194"/>
    <w:rsid w:val="00B30F8A"/>
    <w:rsid w:val="00B31FE8"/>
    <w:rsid w:val="00B33C66"/>
    <w:rsid w:val="00B34AE4"/>
    <w:rsid w:val="00B409F8"/>
    <w:rsid w:val="00B460BB"/>
    <w:rsid w:val="00B47814"/>
    <w:rsid w:val="00B50834"/>
    <w:rsid w:val="00B51364"/>
    <w:rsid w:val="00B52E09"/>
    <w:rsid w:val="00B5402F"/>
    <w:rsid w:val="00B579D6"/>
    <w:rsid w:val="00B60104"/>
    <w:rsid w:val="00B61C1F"/>
    <w:rsid w:val="00B6427E"/>
    <w:rsid w:val="00B64952"/>
    <w:rsid w:val="00B66CE9"/>
    <w:rsid w:val="00B72358"/>
    <w:rsid w:val="00B730FD"/>
    <w:rsid w:val="00B7479D"/>
    <w:rsid w:val="00B74A9E"/>
    <w:rsid w:val="00B82598"/>
    <w:rsid w:val="00B82877"/>
    <w:rsid w:val="00B83159"/>
    <w:rsid w:val="00B8333E"/>
    <w:rsid w:val="00B903EB"/>
    <w:rsid w:val="00B9402A"/>
    <w:rsid w:val="00B952B0"/>
    <w:rsid w:val="00B95C1A"/>
    <w:rsid w:val="00BA056A"/>
    <w:rsid w:val="00BA122E"/>
    <w:rsid w:val="00BA12F3"/>
    <w:rsid w:val="00BA243A"/>
    <w:rsid w:val="00BA5F3D"/>
    <w:rsid w:val="00BA76D1"/>
    <w:rsid w:val="00BB5374"/>
    <w:rsid w:val="00BC15A4"/>
    <w:rsid w:val="00BC4BCD"/>
    <w:rsid w:val="00BC71EA"/>
    <w:rsid w:val="00BD33F0"/>
    <w:rsid w:val="00BD5CF0"/>
    <w:rsid w:val="00BD7049"/>
    <w:rsid w:val="00BD7DE1"/>
    <w:rsid w:val="00BE2675"/>
    <w:rsid w:val="00BE5C6F"/>
    <w:rsid w:val="00BF02B9"/>
    <w:rsid w:val="00BF0729"/>
    <w:rsid w:val="00BF1DD5"/>
    <w:rsid w:val="00BF46D8"/>
    <w:rsid w:val="00BF4826"/>
    <w:rsid w:val="00BF4C2E"/>
    <w:rsid w:val="00BF5157"/>
    <w:rsid w:val="00BF6348"/>
    <w:rsid w:val="00BF6C85"/>
    <w:rsid w:val="00BF7377"/>
    <w:rsid w:val="00C01B31"/>
    <w:rsid w:val="00C022BE"/>
    <w:rsid w:val="00C025D2"/>
    <w:rsid w:val="00C0277A"/>
    <w:rsid w:val="00C047A6"/>
    <w:rsid w:val="00C064AF"/>
    <w:rsid w:val="00C06877"/>
    <w:rsid w:val="00C12AEC"/>
    <w:rsid w:val="00C13969"/>
    <w:rsid w:val="00C15A10"/>
    <w:rsid w:val="00C203F0"/>
    <w:rsid w:val="00C205BD"/>
    <w:rsid w:val="00C20D0D"/>
    <w:rsid w:val="00C220A5"/>
    <w:rsid w:val="00C22D00"/>
    <w:rsid w:val="00C23075"/>
    <w:rsid w:val="00C34C58"/>
    <w:rsid w:val="00C42154"/>
    <w:rsid w:val="00C4238B"/>
    <w:rsid w:val="00C43883"/>
    <w:rsid w:val="00C45DDB"/>
    <w:rsid w:val="00C45EC4"/>
    <w:rsid w:val="00C50517"/>
    <w:rsid w:val="00C53853"/>
    <w:rsid w:val="00C5650D"/>
    <w:rsid w:val="00C57DE0"/>
    <w:rsid w:val="00C61A1F"/>
    <w:rsid w:val="00C657C9"/>
    <w:rsid w:val="00C65C65"/>
    <w:rsid w:val="00C71131"/>
    <w:rsid w:val="00C712ED"/>
    <w:rsid w:val="00C71A09"/>
    <w:rsid w:val="00C71FBA"/>
    <w:rsid w:val="00C7268D"/>
    <w:rsid w:val="00C72CC7"/>
    <w:rsid w:val="00C7381A"/>
    <w:rsid w:val="00C803DB"/>
    <w:rsid w:val="00C826BC"/>
    <w:rsid w:val="00C83F17"/>
    <w:rsid w:val="00C84748"/>
    <w:rsid w:val="00C85406"/>
    <w:rsid w:val="00C86D21"/>
    <w:rsid w:val="00C86E94"/>
    <w:rsid w:val="00C92AC3"/>
    <w:rsid w:val="00C94801"/>
    <w:rsid w:val="00C95DEB"/>
    <w:rsid w:val="00CA0F54"/>
    <w:rsid w:val="00CA1058"/>
    <w:rsid w:val="00CA4E29"/>
    <w:rsid w:val="00CA7DCF"/>
    <w:rsid w:val="00CB1C4C"/>
    <w:rsid w:val="00CB22FB"/>
    <w:rsid w:val="00CB75FA"/>
    <w:rsid w:val="00CC2DF7"/>
    <w:rsid w:val="00CC2EC0"/>
    <w:rsid w:val="00CC67BA"/>
    <w:rsid w:val="00CC6AD7"/>
    <w:rsid w:val="00CD1AA2"/>
    <w:rsid w:val="00CD4E50"/>
    <w:rsid w:val="00CD75A7"/>
    <w:rsid w:val="00CE1234"/>
    <w:rsid w:val="00CE28B1"/>
    <w:rsid w:val="00CE2D31"/>
    <w:rsid w:val="00CE2F98"/>
    <w:rsid w:val="00CF1BED"/>
    <w:rsid w:val="00CF1ED0"/>
    <w:rsid w:val="00CF57EB"/>
    <w:rsid w:val="00CF5B06"/>
    <w:rsid w:val="00D01669"/>
    <w:rsid w:val="00D03F75"/>
    <w:rsid w:val="00D059DF"/>
    <w:rsid w:val="00D12AEE"/>
    <w:rsid w:val="00D13B66"/>
    <w:rsid w:val="00D13DFF"/>
    <w:rsid w:val="00D15FD7"/>
    <w:rsid w:val="00D2210E"/>
    <w:rsid w:val="00D23224"/>
    <w:rsid w:val="00D23494"/>
    <w:rsid w:val="00D24B8D"/>
    <w:rsid w:val="00D25FCC"/>
    <w:rsid w:val="00D316D8"/>
    <w:rsid w:val="00D318E4"/>
    <w:rsid w:val="00D31B99"/>
    <w:rsid w:val="00D36FEE"/>
    <w:rsid w:val="00D4194D"/>
    <w:rsid w:val="00D41A7F"/>
    <w:rsid w:val="00D4306B"/>
    <w:rsid w:val="00D44872"/>
    <w:rsid w:val="00D45B72"/>
    <w:rsid w:val="00D47440"/>
    <w:rsid w:val="00D51005"/>
    <w:rsid w:val="00D525AE"/>
    <w:rsid w:val="00D54AF5"/>
    <w:rsid w:val="00D555C6"/>
    <w:rsid w:val="00D558CD"/>
    <w:rsid w:val="00D6135E"/>
    <w:rsid w:val="00D63519"/>
    <w:rsid w:val="00D63D04"/>
    <w:rsid w:val="00D6553A"/>
    <w:rsid w:val="00D67E46"/>
    <w:rsid w:val="00D73E7F"/>
    <w:rsid w:val="00D7493B"/>
    <w:rsid w:val="00D753B2"/>
    <w:rsid w:val="00D766DD"/>
    <w:rsid w:val="00D76D1B"/>
    <w:rsid w:val="00D81A1A"/>
    <w:rsid w:val="00D81CA7"/>
    <w:rsid w:val="00D85027"/>
    <w:rsid w:val="00D921FA"/>
    <w:rsid w:val="00D93045"/>
    <w:rsid w:val="00D93315"/>
    <w:rsid w:val="00D96F4F"/>
    <w:rsid w:val="00D97726"/>
    <w:rsid w:val="00DA1FB5"/>
    <w:rsid w:val="00DA2329"/>
    <w:rsid w:val="00DA33AC"/>
    <w:rsid w:val="00DA4935"/>
    <w:rsid w:val="00DA67A2"/>
    <w:rsid w:val="00DA684D"/>
    <w:rsid w:val="00DB01BE"/>
    <w:rsid w:val="00DB1194"/>
    <w:rsid w:val="00DB4068"/>
    <w:rsid w:val="00DB47E8"/>
    <w:rsid w:val="00DB5DE3"/>
    <w:rsid w:val="00DB67D2"/>
    <w:rsid w:val="00DB6A0B"/>
    <w:rsid w:val="00DC1E60"/>
    <w:rsid w:val="00DC6867"/>
    <w:rsid w:val="00DD14B8"/>
    <w:rsid w:val="00DD22C9"/>
    <w:rsid w:val="00DD3042"/>
    <w:rsid w:val="00DD410B"/>
    <w:rsid w:val="00DD4467"/>
    <w:rsid w:val="00DD5515"/>
    <w:rsid w:val="00DD5C58"/>
    <w:rsid w:val="00DD627B"/>
    <w:rsid w:val="00DE04E6"/>
    <w:rsid w:val="00DE17DF"/>
    <w:rsid w:val="00DE21B0"/>
    <w:rsid w:val="00DE72F8"/>
    <w:rsid w:val="00DF132D"/>
    <w:rsid w:val="00DF3736"/>
    <w:rsid w:val="00E01CB6"/>
    <w:rsid w:val="00E03095"/>
    <w:rsid w:val="00E07997"/>
    <w:rsid w:val="00E12658"/>
    <w:rsid w:val="00E1489A"/>
    <w:rsid w:val="00E14F90"/>
    <w:rsid w:val="00E17A62"/>
    <w:rsid w:val="00E23202"/>
    <w:rsid w:val="00E247D0"/>
    <w:rsid w:val="00E2516E"/>
    <w:rsid w:val="00E34EDB"/>
    <w:rsid w:val="00E405FC"/>
    <w:rsid w:val="00E40FC5"/>
    <w:rsid w:val="00E42904"/>
    <w:rsid w:val="00E43374"/>
    <w:rsid w:val="00E43607"/>
    <w:rsid w:val="00E43CA8"/>
    <w:rsid w:val="00E46C65"/>
    <w:rsid w:val="00E56C32"/>
    <w:rsid w:val="00E63C52"/>
    <w:rsid w:val="00E65233"/>
    <w:rsid w:val="00E67B52"/>
    <w:rsid w:val="00E67BE9"/>
    <w:rsid w:val="00E67C68"/>
    <w:rsid w:val="00E729E8"/>
    <w:rsid w:val="00E72DC8"/>
    <w:rsid w:val="00E82127"/>
    <w:rsid w:val="00E83B72"/>
    <w:rsid w:val="00E84B9C"/>
    <w:rsid w:val="00E94491"/>
    <w:rsid w:val="00E94867"/>
    <w:rsid w:val="00E9565E"/>
    <w:rsid w:val="00E9690F"/>
    <w:rsid w:val="00EA1076"/>
    <w:rsid w:val="00EA2184"/>
    <w:rsid w:val="00EA298D"/>
    <w:rsid w:val="00EA29E9"/>
    <w:rsid w:val="00EA2E51"/>
    <w:rsid w:val="00EA433E"/>
    <w:rsid w:val="00EA4F0D"/>
    <w:rsid w:val="00EA526A"/>
    <w:rsid w:val="00EA5341"/>
    <w:rsid w:val="00EA5422"/>
    <w:rsid w:val="00EA64E1"/>
    <w:rsid w:val="00EA7C88"/>
    <w:rsid w:val="00EB1C64"/>
    <w:rsid w:val="00EB3645"/>
    <w:rsid w:val="00EB6D30"/>
    <w:rsid w:val="00EB7054"/>
    <w:rsid w:val="00EB798A"/>
    <w:rsid w:val="00EB7F26"/>
    <w:rsid w:val="00EC19B8"/>
    <w:rsid w:val="00EC3074"/>
    <w:rsid w:val="00ED2746"/>
    <w:rsid w:val="00ED3C20"/>
    <w:rsid w:val="00ED4A04"/>
    <w:rsid w:val="00ED7B8B"/>
    <w:rsid w:val="00EE1052"/>
    <w:rsid w:val="00EE2412"/>
    <w:rsid w:val="00EE393F"/>
    <w:rsid w:val="00EE479B"/>
    <w:rsid w:val="00EE5718"/>
    <w:rsid w:val="00EE6AC9"/>
    <w:rsid w:val="00EE7EEF"/>
    <w:rsid w:val="00EF12B4"/>
    <w:rsid w:val="00EF1316"/>
    <w:rsid w:val="00EF174A"/>
    <w:rsid w:val="00EF1E2B"/>
    <w:rsid w:val="00EF2032"/>
    <w:rsid w:val="00EF3723"/>
    <w:rsid w:val="00EF3931"/>
    <w:rsid w:val="00EF66CD"/>
    <w:rsid w:val="00F004E6"/>
    <w:rsid w:val="00F02B11"/>
    <w:rsid w:val="00F0415B"/>
    <w:rsid w:val="00F051CC"/>
    <w:rsid w:val="00F05509"/>
    <w:rsid w:val="00F102DF"/>
    <w:rsid w:val="00F12183"/>
    <w:rsid w:val="00F14994"/>
    <w:rsid w:val="00F1714A"/>
    <w:rsid w:val="00F2108B"/>
    <w:rsid w:val="00F21E78"/>
    <w:rsid w:val="00F21F0C"/>
    <w:rsid w:val="00F24216"/>
    <w:rsid w:val="00F253C5"/>
    <w:rsid w:val="00F33CF6"/>
    <w:rsid w:val="00F3412A"/>
    <w:rsid w:val="00F36093"/>
    <w:rsid w:val="00F36A04"/>
    <w:rsid w:val="00F370FC"/>
    <w:rsid w:val="00F37A93"/>
    <w:rsid w:val="00F40A8B"/>
    <w:rsid w:val="00F41980"/>
    <w:rsid w:val="00F44CF0"/>
    <w:rsid w:val="00F45BF1"/>
    <w:rsid w:val="00F477AA"/>
    <w:rsid w:val="00F51F43"/>
    <w:rsid w:val="00F54809"/>
    <w:rsid w:val="00F5567D"/>
    <w:rsid w:val="00F5723F"/>
    <w:rsid w:val="00F57B9A"/>
    <w:rsid w:val="00F6053B"/>
    <w:rsid w:val="00F62EBA"/>
    <w:rsid w:val="00F64F0B"/>
    <w:rsid w:val="00F6608D"/>
    <w:rsid w:val="00F663AA"/>
    <w:rsid w:val="00F67D9D"/>
    <w:rsid w:val="00F71E42"/>
    <w:rsid w:val="00F72445"/>
    <w:rsid w:val="00F72820"/>
    <w:rsid w:val="00F839F7"/>
    <w:rsid w:val="00F90298"/>
    <w:rsid w:val="00F94C61"/>
    <w:rsid w:val="00F967FE"/>
    <w:rsid w:val="00F97E04"/>
    <w:rsid w:val="00FA46B0"/>
    <w:rsid w:val="00FA46BC"/>
    <w:rsid w:val="00FA5C6D"/>
    <w:rsid w:val="00FA7991"/>
    <w:rsid w:val="00FB016E"/>
    <w:rsid w:val="00FB4A4A"/>
    <w:rsid w:val="00FB5662"/>
    <w:rsid w:val="00FB5CC4"/>
    <w:rsid w:val="00FC0DB6"/>
    <w:rsid w:val="00FC132D"/>
    <w:rsid w:val="00FC4401"/>
    <w:rsid w:val="00FC5090"/>
    <w:rsid w:val="00FC6379"/>
    <w:rsid w:val="00FD1CE4"/>
    <w:rsid w:val="00FD2542"/>
    <w:rsid w:val="00FD30A1"/>
    <w:rsid w:val="00FD31BC"/>
    <w:rsid w:val="00FD41B1"/>
    <w:rsid w:val="00FD7E3C"/>
    <w:rsid w:val="00FE1816"/>
    <w:rsid w:val="00FE1ABF"/>
    <w:rsid w:val="00FE3022"/>
    <w:rsid w:val="00FE3ABE"/>
    <w:rsid w:val="00FE4BAD"/>
    <w:rsid w:val="00FE62FE"/>
    <w:rsid w:val="00FF081C"/>
    <w:rsid w:val="00FF0E20"/>
    <w:rsid w:val="00FF462D"/>
    <w:rsid w:val="00FF6E2B"/>
    <w:rsid w:val="12E662E9"/>
    <w:rsid w:val="23813257"/>
    <w:rsid w:val="286F201E"/>
    <w:rsid w:val="2A9F6434"/>
    <w:rsid w:val="31432D5D"/>
    <w:rsid w:val="33A101D5"/>
    <w:rsid w:val="37F66ACC"/>
    <w:rsid w:val="394D213C"/>
    <w:rsid w:val="3A2638E7"/>
    <w:rsid w:val="3DFF2ADB"/>
    <w:rsid w:val="514751F3"/>
    <w:rsid w:val="55A54511"/>
    <w:rsid w:val="5A732CEB"/>
    <w:rsid w:val="5FA952CB"/>
    <w:rsid w:val="61FF3379"/>
    <w:rsid w:val="74AE1E16"/>
    <w:rsid w:val="75E20245"/>
    <w:rsid w:val="7889792B"/>
    <w:rsid w:val="78F52805"/>
    <w:rsid w:val="79A22D2A"/>
    <w:rsid w:val="7F3F6C4D"/>
    <w:rsid w:val="7FAE82DA"/>
    <w:rsid w:val="9D769F43"/>
    <w:rsid w:val="AF7FA1BB"/>
    <w:rsid w:val="CB0B4A9E"/>
    <w:rsid w:val="DFDF6C78"/>
    <w:rsid w:val="FDEB8D55"/>
    <w:rsid w:val="FEDBB634"/>
    <w:rsid w:val="FF3BB654"/>
    <w:rsid w:val="FFD00F18"/>
    <w:rsid w:val="FFF3B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qFormat/>
    <w:uiPriority w:val="99"/>
    <w:pPr>
      <w:spacing w:after="120"/>
    </w:pPr>
    <w:rPr>
      <w:rFonts w:cs="Calibri"/>
      <w:szCs w:val="21"/>
    </w:rPr>
  </w:style>
  <w:style w:type="paragraph" w:styleId="3">
    <w:name w:val="Body Text First Indent"/>
    <w:basedOn w:val="2"/>
    <w:next w:val="1"/>
    <w:qFormat/>
    <w:uiPriority w:val="99"/>
    <w:pPr>
      <w:ind w:firstLine="420" w:firstLineChars="100"/>
    </w:pPr>
    <w:rPr>
      <w:rFonts w:ascii="仿宋_GB2312" w:eastAsia="仿宋_GB2312" w:cs="仿宋_GB2312"/>
      <w:sz w:val="32"/>
      <w:szCs w:val="32"/>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4810</Words>
  <Characters>4982</Characters>
  <Lines>36</Lines>
  <Paragraphs>10</Paragraphs>
  <TotalTime>0</TotalTime>
  <ScaleCrop>false</ScaleCrop>
  <LinksUpToDate>false</LinksUpToDate>
  <CharactersWithSpaces>4985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2021-01-29T17:03:00Z</dcterms:created>
  <dc:creator>伟 陈</dc:creator>
  <cp:lastModifiedBy>Administrator</cp:lastModifiedBy>
  <dcterms:modified xsi:type="dcterms:W3CDTF">2022-09-09T08:49:49Z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D370BE00D1464012B9A08A9D36FB8905</vt:lpwstr>
  </property>
</Properties>
</file>